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1E21" w14:textId="1E956C32" w:rsidR="00D94C4E" w:rsidRPr="00D94C4E" w:rsidRDefault="00D94C4E" w:rsidP="00D94C4E">
      <w:pPr>
        <w:pStyle w:val="Title"/>
        <w:rPr>
          <w:b/>
          <w:bCs/>
          <w:sz w:val="72"/>
          <w:szCs w:val="72"/>
        </w:rPr>
      </w:pPr>
      <w:r w:rsidRPr="00D94C4E">
        <w:rPr>
          <w:b/>
          <w:bCs/>
          <w:sz w:val="72"/>
          <w:szCs w:val="72"/>
        </w:rPr>
        <w:t>Action For Gender Equality</w:t>
      </w:r>
    </w:p>
    <w:p w14:paraId="65647A9A" w14:textId="5AC047E0" w:rsidR="00D94C4E" w:rsidRDefault="00D94C4E" w:rsidP="00D94C4E"/>
    <w:p w14:paraId="1D9245BA" w14:textId="77777777" w:rsidR="00D94C4E" w:rsidRPr="00D94C4E" w:rsidRDefault="00D94C4E" w:rsidP="00D94C4E"/>
    <w:p w14:paraId="05DA7801" w14:textId="24825868" w:rsidR="00D94C4E" w:rsidRDefault="004C12CB" w:rsidP="00D94C4E">
      <w:pPr>
        <w:pStyle w:val="Title"/>
      </w:pPr>
      <w:r>
        <w:t>‘Defined entity educational strategy for gender impact assessment’</w:t>
      </w:r>
    </w:p>
    <w:p w14:paraId="2714BE26" w14:textId="77777777" w:rsidR="00D94C4E" w:rsidRPr="00D94C4E" w:rsidRDefault="00D94C4E" w:rsidP="00D94C4E"/>
    <w:p w14:paraId="69D4C65B" w14:textId="6D7D956D" w:rsidR="004C12CB" w:rsidRPr="00D94C4E" w:rsidRDefault="004C12CB" w:rsidP="00D94C4E">
      <w:pPr>
        <w:rPr>
          <w:sz w:val="32"/>
          <w:szCs w:val="32"/>
        </w:rPr>
      </w:pPr>
      <w:r w:rsidRPr="00D94C4E">
        <w:rPr>
          <w:sz w:val="32"/>
          <w:szCs w:val="32"/>
        </w:rPr>
        <w:t>Report for the Commission for Gender Equality in the Public Sector</w:t>
      </w:r>
    </w:p>
    <w:p w14:paraId="3ACD1819" w14:textId="692254D1" w:rsidR="00D94C4E" w:rsidRDefault="00D94C4E" w:rsidP="004C12CB"/>
    <w:p w14:paraId="651CB8AE" w14:textId="5013128F" w:rsidR="00D94C4E" w:rsidRDefault="00D94C4E" w:rsidP="004C12CB"/>
    <w:p w14:paraId="06BBC6A1" w14:textId="6CBFB752" w:rsidR="00D94C4E" w:rsidRDefault="00D94C4E" w:rsidP="004C12CB"/>
    <w:p w14:paraId="11E8C4C5" w14:textId="29D17656" w:rsidR="00D94C4E" w:rsidRDefault="00D94C4E" w:rsidP="004C12CB"/>
    <w:p w14:paraId="63B580A1" w14:textId="451493F4" w:rsidR="00D94C4E" w:rsidRDefault="00D94C4E" w:rsidP="004C12CB"/>
    <w:p w14:paraId="417CCDF5" w14:textId="6BF6136E" w:rsidR="00D94C4E" w:rsidRDefault="00D94C4E" w:rsidP="004C12CB"/>
    <w:p w14:paraId="5A546496" w14:textId="72A3B19F" w:rsidR="00D94C4E" w:rsidRDefault="00D94C4E" w:rsidP="004C12CB"/>
    <w:p w14:paraId="0CE20685" w14:textId="5620C334" w:rsidR="00D94C4E" w:rsidRDefault="00D94C4E" w:rsidP="004C12CB"/>
    <w:p w14:paraId="41ED8625" w14:textId="504014A1" w:rsidR="00D94C4E" w:rsidRDefault="00D94C4E" w:rsidP="004C12CB"/>
    <w:p w14:paraId="45644080" w14:textId="320B4A70" w:rsidR="00D94C4E" w:rsidRDefault="00D94C4E" w:rsidP="004C12CB"/>
    <w:p w14:paraId="76337FA7" w14:textId="30B5291F" w:rsidR="00D94C4E" w:rsidRDefault="00D94C4E" w:rsidP="004C12CB"/>
    <w:p w14:paraId="30F7630E" w14:textId="1D9FCCEE" w:rsidR="00D94C4E" w:rsidRDefault="00D94C4E" w:rsidP="004C12CB"/>
    <w:p w14:paraId="16858CD2" w14:textId="77777777" w:rsidR="00D94C4E" w:rsidRPr="004C12CB" w:rsidRDefault="00D94C4E" w:rsidP="004C12CB"/>
    <w:p w14:paraId="199E1CCB" w14:textId="77777777" w:rsidR="00D94C4E" w:rsidRDefault="00D94C4E">
      <w:pPr>
        <w:rPr>
          <w:rFonts w:ascii="Calibri Light" w:eastAsia="Times New Roman" w:hAnsi="Calibri Light" w:cs="Times New Roman"/>
          <w:color w:val="404040"/>
          <w:sz w:val="30"/>
          <w:szCs w:val="30"/>
        </w:rPr>
      </w:pPr>
    </w:p>
    <w:p w14:paraId="1D7FABFE" w14:textId="77777777" w:rsidR="00D94C4E" w:rsidRDefault="00D94C4E">
      <w:pPr>
        <w:rPr>
          <w:rFonts w:ascii="Calibri Light" w:eastAsia="Times New Roman" w:hAnsi="Calibri Light" w:cs="Times New Roman"/>
          <w:color w:val="404040"/>
          <w:sz w:val="30"/>
          <w:szCs w:val="30"/>
        </w:rPr>
      </w:pPr>
    </w:p>
    <w:p w14:paraId="063683D9" w14:textId="77777777" w:rsidR="00D94C4E" w:rsidRDefault="00D94C4E">
      <w:pPr>
        <w:rPr>
          <w:rFonts w:ascii="Calibri Light" w:eastAsia="Times New Roman" w:hAnsi="Calibri Light" w:cs="Times New Roman"/>
          <w:color w:val="404040"/>
          <w:sz w:val="30"/>
          <w:szCs w:val="30"/>
        </w:rPr>
      </w:pPr>
    </w:p>
    <w:p w14:paraId="0BAD8EA5" w14:textId="77777777" w:rsidR="00D94C4E" w:rsidRDefault="00D94C4E">
      <w:pPr>
        <w:rPr>
          <w:rFonts w:ascii="Calibri Light" w:eastAsia="Times New Roman" w:hAnsi="Calibri Light" w:cs="Times New Roman"/>
          <w:color w:val="404040"/>
          <w:sz w:val="30"/>
          <w:szCs w:val="30"/>
        </w:rPr>
      </w:pPr>
    </w:p>
    <w:p w14:paraId="44F831CD" w14:textId="77777777" w:rsidR="00D94C4E" w:rsidRPr="00D94C4E" w:rsidRDefault="00D94C4E"/>
    <w:p w14:paraId="0F8353C2" w14:textId="77777777" w:rsidR="00D94C4E" w:rsidRPr="00D94C4E" w:rsidRDefault="00D94C4E" w:rsidP="00D94C4E">
      <w:pPr>
        <w:jc w:val="right"/>
        <w:rPr>
          <w:b/>
          <w:bCs/>
        </w:rPr>
      </w:pPr>
      <w:r w:rsidRPr="00D94C4E">
        <w:rPr>
          <w:b/>
          <w:bCs/>
        </w:rPr>
        <w:t>Action for Gender Equality Partnership</w:t>
      </w:r>
    </w:p>
    <w:p w14:paraId="1B15E981" w14:textId="3FA8E7F2" w:rsidR="00D94C4E" w:rsidRDefault="00D94C4E" w:rsidP="00D94C4E">
      <w:pPr>
        <w:jc w:val="right"/>
        <w:rPr>
          <w:rFonts w:ascii="Calibri Light" w:eastAsia="Times New Roman" w:hAnsi="Calibri Light" w:cs="Times New Roman"/>
          <w:color w:val="404040"/>
          <w:sz w:val="30"/>
          <w:szCs w:val="30"/>
        </w:rPr>
      </w:pPr>
      <w:r w:rsidRPr="00D94C4E">
        <w:t>February 2022</w:t>
      </w:r>
      <w:r w:rsidR="004C12CB">
        <w:rPr>
          <w:rFonts w:ascii="Calibri Light" w:eastAsia="Times New Roman" w:hAnsi="Calibri Light" w:cs="Times New Roman"/>
          <w:color w:val="404040"/>
          <w:sz w:val="30"/>
          <w:szCs w:val="30"/>
        </w:rPr>
        <w:br w:type="page"/>
      </w:r>
    </w:p>
    <w:p w14:paraId="6B6380A6" w14:textId="0546750A" w:rsidR="004A25F6" w:rsidRPr="006276EF" w:rsidRDefault="00381257">
      <w:r>
        <w:rPr>
          <w:rFonts w:ascii="Calibri Light" w:eastAsia="Times New Roman" w:hAnsi="Calibri Light" w:cs="Times New Roman"/>
          <w:color w:val="404040"/>
          <w:sz w:val="30"/>
          <w:szCs w:val="30"/>
        </w:rPr>
        <w:lastRenderedPageBreak/>
        <w:t xml:space="preserve">Acknowledgement </w:t>
      </w:r>
    </w:p>
    <w:p w14:paraId="167E3CD2" w14:textId="20EDA77B" w:rsidR="004F07C6" w:rsidRPr="0038704E" w:rsidRDefault="00363AE3">
      <w:r>
        <w:t xml:space="preserve">The </w:t>
      </w:r>
      <w:r w:rsidR="003D6255">
        <w:t>Action for Gender Equ</w:t>
      </w:r>
      <w:r w:rsidR="00987E95">
        <w:t>ality</w:t>
      </w:r>
      <w:r w:rsidR="003D6255">
        <w:t xml:space="preserve"> Partnership</w:t>
      </w:r>
      <w:r w:rsidR="00AE2AFA">
        <w:t xml:space="preserve"> </w:t>
      </w:r>
      <w:r w:rsidR="003D6255" w:rsidRPr="003D6255">
        <w:t>acknowledges the people</w:t>
      </w:r>
      <w:r w:rsidR="00283CF7">
        <w:t>s</w:t>
      </w:r>
      <w:r w:rsidR="003D6255" w:rsidRPr="003D6255">
        <w:t xml:space="preserve"> of the Kulin Nation, the Traditional Owners of the land on which we work. We pay our respects to Elders past, present</w:t>
      </w:r>
      <w:r w:rsidR="00D51FF3">
        <w:t>,</w:t>
      </w:r>
      <w:r w:rsidR="003D6255" w:rsidRPr="003D6255">
        <w:t xml:space="preserve"> and</w:t>
      </w:r>
      <w:r w:rsidR="00283CF7">
        <w:t xml:space="preserve"> emerging.</w:t>
      </w:r>
      <w:r w:rsidR="003D6255" w:rsidRPr="003D6255">
        <w:t xml:space="preserve"> We affirm that sovereignty was never </w:t>
      </w:r>
      <w:r w:rsidR="0038704E" w:rsidRPr="003D6255">
        <w:t>ceded,</w:t>
      </w:r>
      <w:r w:rsidR="003D6255" w:rsidRPr="003D6255">
        <w:t xml:space="preserve"> and that colonialism and racism continue to impact on the lives of Aboriginal and Torres Strait Islander </w:t>
      </w:r>
      <w:r w:rsidR="00283CF7">
        <w:t>w</w:t>
      </w:r>
      <w:r w:rsidR="003D6255" w:rsidRPr="003D6255">
        <w:t xml:space="preserve">omen and can contribute to the high rates of violence </w:t>
      </w:r>
      <w:r w:rsidR="00283CF7">
        <w:t xml:space="preserve">they </w:t>
      </w:r>
      <w:r w:rsidR="003D6255" w:rsidRPr="003D6255">
        <w:t>experience. We recognise the strength, resilience</w:t>
      </w:r>
      <w:r w:rsidR="00D51FF3">
        <w:t>,</w:t>
      </w:r>
      <w:r w:rsidR="003D6255" w:rsidRPr="003D6255">
        <w:t xml:space="preserve"> and leadership of Aboriginal and Torres Strait Islander </w:t>
      </w:r>
      <w:r w:rsidR="003D6255">
        <w:t>communities</w:t>
      </w:r>
      <w:r w:rsidR="003D6255" w:rsidRPr="003D6255">
        <w:t xml:space="preserve"> and express our </w:t>
      </w:r>
      <w:r w:rsidR="003C43CD">
        <w:t xml:space="preserve">commitment to </w:t>
      </w:r>
      <w:r w:rsidR="003D6255" w:rsidRPr="003D6255">
        <w:t>reconciliation.</w:t>
      </w:r>
    </w:p>
    <w:p w14:paraId="32F6FD57" w14:textId="5315DE9D" w:rsidR="004F07C6" w:rsidRDefault="004F07C6">
      <w:pPr>
        <w:rPr>
          <w:rFonts w:ascii="Calibri Light" w:eastAsia="Times New Roman" w:hAnsi="Calibri Light" w:cs="Times New Roman"/>
          <w:color w:val="404040"/>
          <w:sz w:val="30"/>
          <w:szCs w:val="30"/>
        </w:rPr>
      </w:pPr>
      <w:r w:rsidRPr="3B9CB1CB">
        <w:rPr>
          <w:rFonts w:ascii="Calibri Light" w:eastAsia="Times New Roman" w:hAnsi="Calibri Light" w:cs="Times New Roman"/>
          <w:color w:val="404040" w:themeColor="text1" w:themeTint="BF"/>
          <w:sz w:val="30"/>
          <w:szCs w:val="30"/>
        </w:rPr>
        <w:t>Who is the Action for Gender Equality Partnership</w:t>
      </w:r>
      <w:r w:rsidR="4689CA24" w:rsidRPr="3B9CB1CB">
        <w:rPr>
          <w:rFonts w:ascii="Calibri Light" w:eastAsia="Times New Roman" w:hAnsi="Calibri Light" w:cs="Times New Roman"/>
          <w:color w:val="404040" w:themeColor="text1" w:themeTint="BF"/>
          <w:sz w:val="30"/>
          <w:szCs w:val="30"/>
        </w:rPr>
        <w:t>?</w:t>
      </w:r>
    </w:p>
    <w:p w14:paraId="5BA395AA" w14:textId="6A7EE2BE" w:rsidR="004F07C6" w:rsidRPr="00211B88" w:rsidRDefault="00363AE3" w:rsidP="004F07C6">
      <w:pPr>
        <w:spacing w:before="120"/>
        <w:rPr>
          <w:rFonts w:cs="Segoe UI"/>
          <w:color w:val="000000" w:themeColor="text1"/>
        </w:rPr>
      </w:pPr>
      <w:r>
        <w:rPr>
          <w:color w:val="000000" w:themeColor="text1"/>
        </w:rPr>
        <w:t xml:space="preserve">The </w:t>
      </w:r>
      <w:r w:rsidR="004F07C6" w:rsidRPr="00211B88">
        <w:rPr>
          <w:color w:val="000000" w:themeColor="text1"/>
        </w:rPr>
        <w:t>Action for Gender Equ</w:t>
      </w:r>
      <w:r w:rsidR="00987E95">
        <w:rPr>
          <w:color w:val="000000" w:themeColor="text1"/>
        </w:rPr>
        <w:t>ality</w:t>
      </w:r>
      <w:r w:rsidR="004F07C6" w:rsidRPr="00211B88">
        <w:rPr>
          <w:color w:val="000000" w:themeColor="text1"/>
        </w:rPr>
        <w:t xml:space="preserve"> Partnership (</w:t>
      </w:r>
      <w:r w:rsidR="00AE2AFA" w:rsidRPr="00211B88">
        <w:rPr>
          <w:color w:val="000000" w:themeColor="text1"/>
        </w:rPr>
        <w:t>AGEP</w:t>
      </w:r>
      <w:r w:rsidR="004F07C6" w:rsidRPr="00211B88">
        <w:rPr>
          <w:color w:val="000000" w:themeColor="text1"/>
        </w:rPr>
        <w:t xml:space="preserve">) is a network of gender equity experts providing services in </w:t>
      </w:r>
      <w:r w:rsidR="1293BF25" w:rsidRPr="00211B88">
        <w:rPr>
          <w:color w:val="000000" w:themeColor="text1"/>
        </w:rPr>
        <w:t>g</w:t>
      </w:r>
      <w:r w:rsidR="004F07C6" w:rsidRPr="00211B88">
        <w:rPr>
          <w:color w:val="000000" w:themeColor="text1"/>
        </w:rPr>
        <w:t xml:space="preserve">ender </w:t>
      </w:r>
      <w:r w:rsidR="778CCA8A" w:rsidRPr="00211B88">
        <w:rPr>
          <w:color w:val="000000" w:themeColor="text1"/>
        </w:rPr>
        <w:t>e</w:t>
      </w:r>
      <w:r w:rsidR="004F07C6" w:rsidRPr="00211B88">
        <w:rPr>
          <w:color w:val="000000" w:themeColor="text1"/>
        </w:rPr>
        <w:t>quity to the public, not-for-profit</w:t>
      </w:r>
      <w:r w:rsidR="6EDC7D80" w:rsidRPr="00211B88">
        <w:rPr>
          <w:color w:val="000000" w:themeColor="text1"/>
        </w:rPr>
        <w:t>,</w:t>
      </w:r>
      <w:r w:rsidR="004F07C6" w:rsidRPr="00211B88">
        <w:rPr>
          <w:color w:val="000000" w:themeColor="text1"/>
        </w:rPr>
        <w:t xml:space="preserve"> and private sectors across Victoria.</w:t>
      </w:r>
      <w:r w:rsidR="00987E95">
        <w:rPr>
          <w:color w:val="000000" w:themeColor="text1"/>
        </w:rPr>
        <w:t xml:space="preserve"> AGEP</w:t>
      </w:r>
      <w:r w:rsidR="004F07C6" w:rsidRPr="00211B88">
        <w:rPr>
          <w:color w:val="000000" w:themeColor="text1"/>
        </w:rPr>
        <w:t xml:space="preserve"> is state-wide, and the only provider of gender equity change that is place-based and regionalised. Members of </w:t>
      </w:r>
      <w:r w:rsidR="003E160A" w:rsidRPr="00211B88">
        <w:rPr>
          <w:color w:val="000000" w:themeColor="text1"/>
        </w:rPr>
        <w:t>AGEP</w:t>
      </w:r>
      <w:r w:rsidR="004F07C6" w:rsidRPr="00211B88">
        <w:rPr>
          <w:color w:val="000000" w:themeColor="text1"/>
        </w:rPr>
        <w:t xml:space="preserve"> deliver local and state-wide action for gender equality</w:t>
      </w:r>
      <w:r w:rsidR="00D51FF3">
        <w:rPr>
          <w:color w:val="000000" w:themeColor="text1"/>
        </w:rPr>
        <w:t>,</w:t>
      </w:r>
      <w:r w:rsidR="004F07C6" w:rsidRPr="00211B88">
        <w:rPr>
          <w:color w:val="000000" w:themeColor="text1"/>
        </w:rPr>
        <w:t xml:space="preserve"> tailored to all metropolitan and regional settings. In December 2021,</w:t>
      </w:r>
      <w:r w:rsidR="003E160A" w:rsidRPr="00211B88">
        <w:rPr>
          <w:color w:val="000000" w:themeColor="text1"/>
        </w:rPr>
        <w:t xml:space="preserve"> AGEP</w:t>
      </w:r>
      <w:r w:rsidR="004F07C6" w:rsidRPr="00211B88">
        <w:rPr>
          <w:color w:val="000000" w:themeColor="text1"/>
        </w:rPr>
        <w:t xml:space="preserve"> successfully tendered to undertake a sector needs assessment and provide </w:t>
      </w:r>
      <w:r w:rsidR="004F07C6" w:rsidRPr="00211B88">
        <w:rPr>
          <w:rFonts w:cs="Segoe UI"/>
          <w:color w:val="000000" w:themeColor="text1"/>
        </w:rPr>
        <w:t>advice and recommendations to the Commission</w:t>
      </w:r>
      <w:r w:rsidR="00211B88" w:rsidRPr="00211B88">
        <w:rPr>
          <w:rFonts w:cs="Segoe UI"/>
          <w:color w:val="000000" w:themeColor="text1"/>
        </w:rPr>
        <w:t xml:space="preserve"> for Gender Equality in the Public Sector</w:t>
      </w:r>
      <w:r w:rsidR="00D51FF3">
        <w:rPr>
          <w:rFonts w:cs="Segoe UI"/>
          <w:color w:val="000000" w:themeColor="text1"/>
        </w:rPr>
        <w:t xml:space="preserve"> (CGEPS)</w:t>
      </w:r>
      <w:r w:rsidR="004F07C6" w:rsidRPr="00211B88">
        <w:rPr>
          <w:rFonts w:cs="Segoe UI"/>
          <w:color w:val="000000" w:themeColor="text1"/>
        </w:rPr>
        <w:t xml:space="preserve"> regarding how to strengthen its efficiency, effectiveness, and capability to meet emerging gender impact assessment</w:t>
      </w:r>
      <w:r w:rsidR="00D51FF3">
        <w:rPr>
          <w:rFonts w:cs="Segoe UI"/>
          <w:color w:val="000000" w:themeColor="text1"/>
        </w:rPr>
        <w:t xml:space="preserve"> (GIA)</w:t>
      </w:r>
      <w:r w:rsidR="004F07C6" w:rsidRPr="00211B88">
        <w:rPr>
          <w:rFonts w:cs="Segoe UI"/>
          <w:color w:val="000000" w:themeColor="text1"/>
        </w:rPr>
        <w:t xml:space="preserve"> needs and deliver high quality advice to entities planning and undertaking</w:t>
      </w:r>
      <w:r w:rsidR="00D51FF3">
        <w:rPr>
          <w:rFonts w:cs="Segoe UI"/>
          <w:color w:val="000000" w:themeColor="text1"/>
        </w:rPr>
        <w:t xml:space="preserve"> GIAs.</w:t>
      </w:r>
      <w:r w:rsidR="004F07C6" w:rsidRPr="00211B88">
        <w:rPr>
          <w:rFonts w:cs="Segoe UI"/>
          <w:color w:val="000000" w:themeColor="text1"/>
        </w:rPr>
        <w:t xml:space="preserve"> </w:t>
      </w:r>
    </w:p>
    <w:p w14:paraId="2DFBBCB0" w14:textId="77777777" w:rsidR="008E26FD" w:rsidRPr="00B76E2C" w:rsidRDefault="008E26FD" w:rsidP="00B76E2C">
      <w:pPr>
        <w:rPr>
          <w:rFonts w:ascii="Calibri Light" w:eastAsia="Times New Roman" w:hAnsi="Calibri Light" w:cs="Times New Roman"/>
          <w:color w:val="404040"/>
          <w:sz w:val="30"/>
          <w:szCs w:val="30"/>
        </w:rPr>
      </w:pPr>
      <w:r w:rsidRPr="00B76E2C">
        <w:rPr>
          <w:rFonts w:ascii="Calibri Light" w:eastAsia="Times New Roman" w:hAnsi="Calibri Light" w:cs="Times New Roman"/>
          <w:color w:val="404040"/>
          <w:sz w:val="30"/>
          <w:szCs w:val="30"/>
        </w:rPr>
        <w:t>Glossary of Terms</w:t>
      </w:r>
    </w:p>
    <w:tbl>
      <w:tblPr>
        <w:tblStyle w:val="TableGrid"/>
        <w:tblW w:w="0" w:type="auto"/>
        <w:tblLook w:val="04A0" w:firstRow="1" w:lastRow="0" w:firstColumn="1" w:lastColumn="0" w:noHBand="0" w:noVBand="1"/>
      </w:tblPr>
      <w:tblGrid>
        <w:gridCol w:w="2830"/>
        <w:gridCol w:w="6186"/>
      </w:tblGrid>
      <w:tr w:rsidR="008E26FD" w:rsidRPr="00B00FDD" w14:paraId="2AC9A415" w14:textId="77777777" w:rsidTr="00B76E2C">
        <w:tc>
          <w:tcPr>
            <w:tcW w:w="2830" w:type="dxa"/>
          </w:tcPr>
          <w:p w14:paraId="2D82760B" w14:textId="77777777" w:rsidR="008E26FD" w:rsidRPr="00B00FDD" w:rsidRDefault="008E26FD" w:rsidP="008C10D9">
            <w:pPr>
              <w:rPr>
                <w:rFonts w:cstheme="minorHAnsi"/>
                <w:b/>
                <w:bCs/>
              </w:rPr>
            </w:pPr>
            <w:r w:rsidRPr="00B00FDD">
              <w:rPr>
                <w:rFonts w:cstheme="minorHAnsi"/>
                <w:b/>
                <w:bCs/>
              </w:rPr>
              <w:t>Term</w:t>
            </w:r>
          </w:p>
        </w:tc>
        <w:tc>
          <w:tcPr>
            <w:tcW w:w="6186" w:type="dxa"/>
          </w:tcPr>
          <w:p w14:paraId="00F75021" w14:textId="77777777" w:rsidR="008E26FD" w:rsidRPr="00B00FDD" w:rsidRDefault="008E26FD" w:rsidP="008C10D9">
            <w:pPr>
              <w:rPr>
                <w:rFonts w:cstheme="minorHAnsi"/>
                <w:b/>
                <w:bCs/>
              </w:rPr>
            </w:pPr>
            <w:r w:rsidRPr="00B00FDD">
              <w:rPr>
                <w:rFonts w:cstheme="minorHAnsi"/>
                <w:b/>
                <w:bCs/>
              </w:rPr>
              <w:t>Definition</w:t>
            </w:r>
          </w:p>
        </w:tc>
      </w:tr>
      <w:tr w:rsidR="008E26FD" w:rsidRPr="00B00FDD" w14:paraId="6B884C07" w14:textId="77777777" w:rsidTr="00B76E2C">
        <w:tc>
          <w:tcPr>
            <w:tcW w:w="2830" w:type="dxa"/>
          </w:tcPr>
          <w:p w14:paraId="14A885E9" w14:textId="77777777" w:rsidR="008E26FD" w:rsidRPr="00B00FDD" w:rsidRDefault="008E26FD" w:rsidP="008C10D9">
            <w:pPr>
              <w:rPr>
                <w:rFonts w:cstheme="minorHAnsi"/>
              </w:rPr>
            </w:pPr>
            <w:r w:rsidRPr="00B00FDD">
              <w:rPr>
                <w:rFonts w:eastAsia="Times New Roman" w:cstheme="minorHAnsi"/>
              </w:rPr>
              <w:t>AGEP</w:t>
            </w:r>
          </w:p>
        </w:tc>
        <w:tc>
          <w:tcPr>
            <w:tcW w:w="6186" w:type="dxa"/>
          </w:tcPr>
          <w:p w14:paraId="2025F72D" w14:textId="77777777" w:rsidR="008E26FD" w:rsidRPr="00B00FDD" w:rsidRDefault="008E26FD" w:rsidP="008C10D9">
            <w:pPr>
              <w:rPr>
                <w:rFonts w:cstheme="minorHAnsi"/>
              </w:rPr>
            </w:pPr>
            <w:r w:rsidRPr="00B00FDD">
              <w:rPr>
                <w:rFonts w:eastAsia="Times New Roman" w:cstheme="minorHAnsi"/>
              </w:rPr>
              <w:t>Action for Gender Equality Partnership</w:t>
            </w:r>
          </w:p>
        </w:tc>
      </w:tr>
      <w:tr w:rsidR="008E26FD" w:rsidRPr="00B00FDD" w14:paraId="4670BFFB" w14:textId="77777777" w:rsidTr="00B76E2C">
        <w:tc>
          <w:tcPr>
            <w:tcW w:w="2830" w:type="dxa"/>
          </w:tcPr>
          <w:p w14:paraId="66D9A675" w14:textId="558337C2" w:rsidR="008E26FD" w:rsidRPr="00B00FDD" w:rsidRDefault="008E26FD" w:rsidP="008C10D9">
            <w:pPr>
              <w:rPr>
                <w:rFonts w:cstheme="minorHAnsi"/>
              </w:rPr>
            </w:pPr>
            <w:r w:rsidRPr="00B00FDD">
              <w:rPr>
                <w:rFonts w:eastAsia="Times New Roman" w:cstheme="minorHAnsi"/>
              </w:rPr>
              <w:t>CGEPS</w:t>
            </w:r>
            <w:r>
              <w:rPr>
                <w:rFonts w:eastAsia="Times New Roman" w:cstheme="minorHAnsi"/>
              </w:rPr>
              <w:t xml:space="preserve"> or the Commission</w:t>
            </w:r>
          </w:p>
        </w:tc>
        <w:tc>
          <w:tcPr>
            <w:tcW w:w="6186" w:type="dxa"/>
          </w:tcPr>
          <w:p w14:paraId="46D3CD1E" w14:textId="77777777" w:rsidR="008E26FD" w:rsidRPr="00B00FDD" w:rsidRDefault="008E26FD" w:rsidP="008C10D9">
            <w:pPr>
              <w:rPr>
                <w:rFonts w:cstheme="minorHAnsi"/>
              </w:rPr>
            </w:pPr>
            <w:r w:rsidRPr="00B00FDD">
              <w:rPr>
                <w:rFonts w:eastAsia="Times New Roman" w:cstheme="minorHAnsi"/>
              </w:rPr>
              <w:t>Commission for Gender Equality in the Public Sector</w:t>
            </w:r>
          </w:p>
        </w:tc>
      </w:tr>
      <w:tr w:rsidR="00A6119C" w:rsidRPr="00B00FDD" w14:paraId="2F3B5812" w14:textId="77777777" w:rsidTr="00B76E2C">
        <w:tc>
          <w:tcPr>
            <w:tcW w:w="2830" w:type="dxa"/>
          </w:tcPr>
          <w:p w14:paraId="256D8CFB" w14:textId="7A39C0C6" w:rsidR="00A6119C" w:rsidRPr="00B00FDD" w:rsidRDefault="00A6119C" w:rsidP="008C10D9">
            <w:pPr>
              <w:rPr>
                <w:rFonts w:eastAsia="Times New Roman" w:cstheme="minorHAnsi"/>
              </w:rPr>
            </w:pPr>
            <w:r>
              <w:rPr>
                <w:rFonts w:eastAsia="Times New Roman" w:cstheme="minorHAnsi"/>
              </w:rPr>
              <w:t>D&amp;I</w:t>
            </w:r>
          </w:p>
        </w:tc>
        <w:tc>
          <w:tcPr>
            <w:tcW w:w="6186" w:type="dxa"/>
          </w:tcPr>
          <w:p w14:paraId="76C64469" w14:textId="7C5E461D" w:rsidR="00A6119C" w:rsidRPr="00B00FDD" w:rsidRDefault="00A6119C" w:rsidP="008C10D9">
            <w:pPr>
              <w:rPr>
                <w:rFonts w:eastAsia="Times New Roman" w:cstheme="minorHAnsi"/>
              </w:rPr>
            </w:pPr>
            <w:r>
              <w:rPr>
                <w:rFonts w:eastAsia="Times New Roman" w:cstheme="minorHAnsi"/>
              </w:rPr>
              <w:t xml:space="preserve">Diversity and inclusion </w:t>
            </w:r>
          </w:p>
        </w:tc>
      </w:tr>
      <w:tr w:rsidR="008E26FD" w:rsidRPr="00B00FDD" w14:paraId="075DBC3D" w14:textId="77777777" w:rsidTr="00B76E2C">
        <w:tc>
          <w:tcPr>
            <w:tcW w:w="2830" w:type="dxa"/>
          </w:tcPr>
          <w:p w14:paraId="6E81CFFB" w14:textId="77777777" w:rsidR="008E26FD" w:rsidRPr="00B00FDD" w:rsidRDefault="008E26FD" w:rsidP="008C10D9">
            <w:pPr>
              <w:rPr>
                <w:rFonts w:cstheme="minorHAnsi"/>
              </w:rPr>
            </w:pPr>
            <w:r w:rsidRPr="00B00FDD">
              <w:rPr>
                <w:rFonts w:eastAsia="Times New Roman" w:cstheme="minorHAnsi"/>
              </w:rPr>
              <w:t>GE Act</w:t>
            </w:r>
          </w:p>
        </w:tc>
        <w:tc>
          <w:tcPr>
            <w:tcW w:w="6186" w:type="dxa"/>
          </w:tcPr>
          <w:p w14:paraId="0514BB2F" w14:textId="078C19F1" w:rsidR="008E26FD" w:rsidRPr="00B00FDD" w:rsidRDefault="008E26FD" w:rsidP="008C10D9">
            <w:pPr>
              <w:rPr>
                <w:rFonts w:cstheme="minorHAnsi"/>
              </w:rPr>
            </w:pPr>
            <w:r w:rsidRPr="005B17FE">
              <w:rPr>
                <w:rFonts w:eastAsia="Times New Roman" w:cstheme="minorHAnsi"/>
                <w:i/>
                <w:iCs/>
              </w:rPr>
              <w:t>Gender Equality Act</w:t>
            </w:r>
            <w:r w:rsidR="007E3A17" w:rsidRPr="005B17FE">
              <w:rPr>
                <w:rFonts w:eastAsia="Times New Roman" w:cstheme="minorHAnsi"/>
                <w:i/>
                <w:iCs/>
              </w:rPr>
              <w:t xml:space="preserve"> 2020</w:t>
            </w:r>
            <w:r w:rsidR="007E3A17">
              <w:rPr>
                <w:rFonts w:eastAsia="Times New Roman" w:cstheme="minorHAnsi"/>
              </w:rPr>
              <w:t xml:space="preserve"> (Vic)</w:t>
            </w:r>
          </w:p>
        </w:tc>
      </w:tr>
      <w:tr w:rsidR="008E26FD" w:rsidRPr="00B00FDD" w14:paraId="583C2F18" w14:textId="77777777" w:rsidTr="00B76E2C">
        <w:tc>
          <w:tcPr>
            <w:tcW w:w="2830" w:type="dxa"/>
          </w:tcPr>
          <w:p w14:paraId="320B328C" w14:textId="05F293A6" w:rsidR="008E26FD" w:rsidRPr="00B00FDD" w:rsidRDefault="008E26FD" w:rsidP="008C10D9">
            <w:pPr>
              <w:rPr>
                <w:rFonts w:cstheme="minorHAnsi"/>
              </w:rPr>
            </w:pPr>
            <w:r w:rsidRPr="00B00FDD">
              <w:rPr>
                <w:rFonts w:eastAsia="Times New Roman" w:cstheme="minorHAnsi"/>
              </w:rPr>
              <w:t xml:space="preserve">GEAP </w:t>
            </w:r>
          </w:p>
        </w:tc>
        <w:tc>
          <w:tcPr>
            <w:tcW w:w="6186" w:type="dxa"/>
          </w:tcPr>
          <w:p w14:paraId="729EFC26" w14:textId="4616F2D7" w:rsidR="008E26FD" w:rsidRPr="00B00FDD" w:rsidRDefault="008E26FD" w:rsidP="008C10D9">
            <w:pPr>
              <w:rPr>
                <w:rFonts w:cstheme="minorHAnsi"/>
              </w:rPr>
            </w:pPr>
            <w:r w:rsidRPr="00B00FDD">
              <w:rPr>
                <w:rFonts w:eastAsia="Times New Roman" w:cstheme="minorHAnsi"/>
              </w:rPr>
              <w:t>Gender Equality Action Plan</w:t>
            </w:r>
          </w:p>
        </w:tc>
      </w:tr>
      <w:tr w:rsidR="008E26FD" w:rsidRPr="00B00FDD" w14:paraId="431FA94A" w14:textId="77777777" w:rsidTr="00B76E2C">
        <w:tc>
          <w:tcPr>
            <w:tcW w:w="2830" w:type="dxa"/>
          </w:tcPr>
          <w:p w14:paraId="17E79E23" w14:textId="77777777" w:rsidR="008E26FD" w:rsidRPr="00B00FDD" w:rsidRDefault="008E26FD" w:rsidP="008C10D9">
            <w:pPr>
              <w:rPr>
                <w:rFonts w:cstheme="minorHAnsi"/>
              </w:rPr>
            </w:pPr>
            <w:r w:rsidRPr="00B00FDD">
              <w:rPr>
                <w:rFonts w:eastAsia="Times New Roman" w:cstheme="minorHAnsi"/>
              </w:rPr>
              <w:t>GIA</w:t>
            </w:r>
          </w:p>
        </w:tc>
        <w:tc>
          <w:tcPr>
            <w:tcW w:w="6186" w:type="dxa"/>
          </w:tcPr>
          <w:p w14:paraId="2BAA6634" w14:textId="796EEA09" w:rsidR="008E26FD" w:rsidRPr="00B00FDD" w:rsidRDefault="008E26FD" w:rsidP="008C10D9">
            <w:pPr>
              <w:rPr>
                <w:rFonts w:cstheme="minorHAnsi"/>
              </w:rPr>
            </w:pPr>
            <w:r w:rsidRPr="00B00FDD">
              <w:rPr>
                <w:rFonts w:eastAsia="Times New Roman" w:cstheme="minorHAnsi"/>
              </w:rPr>
              <w:t xml:space="preserve">Gender </w:t>
            </w:r>
            <w:r w:rsidR="00563BE6">
              <w:rPr>
                <w:rFonts w:eastAsia="Times New Roman" w:cstheme="minorHAnsi"/>
              </w:rPr>
              <w:t>i</w:t>
            </w:r>
            <w:r w:rsidRPr="00B00FDD">
              <w:rPr>
                <w:rFonts w:eastAsia="Times New Roman" w:cstheme="minorHAnsi"/>
              </w:rPr>
              <w:t xml:space="preserve">mpact </w:t>
            </w:r>
            <w:r w:rsidR="00563BE6">
              <w:rPr>
                <w:rFonts w:eastAsia="Times New Roman" w:cstheme="minorHAnsi"/>
              </w:rPr>
              <w:t>a</w:t>
            </w:r>
            <w:r w:rsidRPr="00B00FDD">
              <w:rPr>
                <w:rFonts w:eastAsia="Times New Roman" w:cstheme="minorHAnsi"/>
              </w:rPr>
              <w:t>ssessment</w:t>
            </w:r>
          </w:p>
        </w:tc>
      </w:tr>
    </w:tbl>
    <w:p w14:paraId="7C0D62C3" w14:textId="77777777" w:rsidR="008E26FD" w:rsidRPr="00B00FDD" w:rsidRDefault="008E26FD" w:rsidP="008E26FD"/>
    <w:p w14:paraId="289AF487" w14:textId="503CD8AF" w:rsidR="004F07C6" w:rsidRDefault="00947297">
      <w:pPr>
        <w:rPr>
          <w:rFonts w:ascii="Calibri Light" w:eastAsia="Times New Roman" w:hAnsi="Calibri Light" w:cs="Times New Roman"/>
          <w:color w:val="404040"/>
          <w:sz w:val="30"/>
          <w:szCs w:val="30"/>
        </w:rPr>
      </w:pPr>
      <w:r>
        <w:rPr>
          <w:rFonts w:ascii="Calibri Light" w:eastAsia="Times New Roman" w:hAnsi="Calibri Light" w:cs="Times New Roman"/>
          <w:color w:val="404040"/>
          <w:sz w:val="30"/>
          <w:szCs w:val="30"/>
        </w:rPr>
        <w:t xml:space="preserve">Citation </w:t>
      </w:r>
    </w:p>
    <w:p w14:paraId="49519262" w14:textId="77777777" w:rsidR="00947297" w:rsidRPr="006B75D8" w:rsidRDefault="00947297" w:rsidP="003C43CD">
      <w:pPr>
        <w:spacing w:after="0" w:line="276" w:lineRule="auto"/>
        <w:contextualSpacing/>
        <w:rPr>
          <w:rFonts w:eastAsia="Times New Roman" w:cs="Times New Roman"/>
          <w:spacing w:val="-7"/>
        </w:rPr>
      </w:pPr>
      <w:r w:rsidRPr="006B75D8">
        <w:rPr>
          <w:rFonts w:eastAsia="Times New Roman" w:cs="Times New Roman"/>
        </w:rPr>
        <w:t>Action for Gender Equ</w:t>
      </w:r>
      <w:r w:rsidR="00987E95">
        <w:rPr>
          <w:rFonts w:eastAsia="Times New Roman" w:cs="Times New Roman"/>
        </w:rPr>
        <w:t>ality</w:t>
      </w:r>
      <w:r w:rsidRPr="006B75D8">
        <w:rPr>
          <w:rFonts w:eastAsia="Times New Roman" w:cs="Times New Roman"/>
        </w:rPr>
        <w:t xml:space="preserve"> Partnership</w:t>
      </w:r>
      <w:r w:rsidR="003D21B5">
        <w:rPr>
          <w:rFonts w:eastAsia="Times New Roman" w:cs="Times New Roman"/>
        </w:rPr>
        <w:t xml:space="preserve"> (</w:t>
      </w:r>
      <w:r w:rsidRPr="006B75D8">
        <w:rPr>
          <w:rFonts w:eastAsia="Times New Roman" w:cs="Times New Roman"/>
        </w:rPr>
        <w:t>2022</w:t>
      </w:r>
      <w:r w:rsidR="003D21B5">
        <w:rPr>
          <w:rFonts w:eastAsia="Times New Roman" w:cs="Times New Roman"/>
        </w:rPr>
        <w:t>)</w:t>
      </w:r>
      <w:r w:rsidRPr="006B75D8">
        <w:rPr>
          <w:rFonts w:eastAsia="Times New Roman" w:cs="Times New Roman"/>
        </w:rPr>
        <w:t xml:space="preserve"> </w:t>
      </w:r>
      <w:r w:rsidRPr="006B75D8">
        <w:rPr>
          <w:rFonts w:eastAsia="Times New Roman" w:cs="Times New Roman"/>
          <w:i/>
          <w:iCs/>
          <w:spacing w:val="-7"/>
        </w:rPr>
        <w:t xml:space="preserve">Report for the Commission for Gender Equality in the Public Sector: </w:t>
      </w:r>
      <w:r w:rsidRPr="006B75D8">
        <w:rPr>
          <w:rFonts w:eastAsia="Times New Roman" w:cs="Times New Roman"/>
          <w:i/>
          <w:iCs/>
        </w:rPr>
        <w:t>Defined entity educational strategy for gender impact assessments</w:t>
      </w:r>
      <w:r w:rsidRPr="00B64FE2">
        <w:rPr>
          <w:rFonts w:eastAsia="Times New Roman" w:cs="Times New Roman"/>
        </w:rPr>
        <w:t xml:space="preserve">, </w:t>
      </w:r>
      <w:r w:rsidRPr="00947297">
        <w:rPr>
          <w:rFonts w:eastAsia="Times New Roman" w:cs="Times New Roman"/>
        </w:rPr>
        <w:t>A</w:t>
      </w:r>
      <w:r w:rsidR="00987E95">
        <w:rPr>
          <w:rFonts w:eastAsia="Times New Roman" w:cs="Times New Roman"/>
        </w:rPr>
        <w:t>GEP</w:t>
      </w:r>
      <w:r w:rsidRPr="00B64FE2">
        <w:rPr>
          <w:rFonts w:eastAsia="Times New Roman" w:cs="Times New Roman"/>
        </w:rPr>
        <w:t xml:space="preserve">, Melbourne. </w:t>
      </w:r>
    </w:p>
    <w:p w14:paraId="07183FE3" w14:textId="4857AEB9" w:rsidR="004A25F6" w:rsidRDefault="004A25F6">
      <w:pPr>
        <w:rPr>
          <w:rFonts w:ascii="Calibri Light" w:eastAsia="Times New Roman" w:hAnsi="Calibri Light" w:cs="Times New Roman"/>
          <w:color w:val="404040"/>
          <w:sz w:val="30"/>
          <w:szCs w:val="30"/>
        </w:rPr>
      </w:pPr>
    </w:p>
    <w:p w14:paraId="66D6BF14" w14:textId="576D543B" w:rsidR="004A25F6" w:rsidRDefault="004A25F6">
      <w:pPr>
        <w:rPr>
          <w:rFonts w:ascii="Calibri Light" w:eastAsia="Times New Roman" w:hAnsi="Calibri Light" w:cs="Times New Roman"/>
          <w:color w:val="404040"/>
          <w:sz w:val="30"/>
          <w:szCs w:val="30"/>
        </w:rPr>
      </w:pPr>
    </w:p>
    <w:p w14:paraId="18453FD7" w14:textId="33AEDDDE" w:rsidR="004A25F6" w:rsidRDefault="004A25F6">
      <w:pPr>
        <w:rPr>
          <w:rFonts w:ascii="Calibri Light" w:eastAsia="Times New Roman" w:hAnsi="Calibri Light" w:cs="Times New Roman"/>
          <w:color w:val="404040"/>
          <w:sz w:val="30"/>
          <w:szCs w:val="30"/>
        </w:rPr>
      </w:pPr>
    </w:p>
    <w:p w14:paraId="5682616B" w14:textId="62E0228E" w:rsidR="004A25F6" w:rsidRDefault="004A25F6">
      <w:pPr>
        <w:rPr>
          <w:rFonts w:ascii="Calibri Light" w:eastAsia="Times New Roman" w:hAnsi="Calibri Light" w:cs="Times New Roman"/>
          <w:color w:val="404040"/>
          <w:sz w:val="30"/>
          <w:szCs w:val="30"/>
        </w:rPr>
      </w:pPr>
    </w:p>
    <w:p w14:paraId="4B9A95E0" w14:textId="0474889F" w:rsidR="004A25F6" w:rsidRDefault="004A25F6">
      <w:pPr>
        <w:rPr>
          <w:rFonts w:ascii="Calibri Light" w:eastAsia="Times New Roman" w:hAnsi="Calibri Light" w:cs="Times New Roman"/>
          <w:color w:val="404040"/>
          <w:sz w:val="30"/>
          <w:szCs w:val="30"/>
        </w:rPr>
      </w:pPr>
    </w:p>
    <w:p w14:paraId="05A9F1DD" w14:textId="73652035" w:rsidR="004A25F6" w:rsidRDefault="004A25F6">
      <w:pPr>
        <w:rPr>
          <w:rFonts w:ascii="Calibri Light" w:eastAsia="Times New Roman" w:hAnsi="Calibri Light" w:cs="Times New Roman"/>
          <w:color w:val="404040"/>
          <w:sz w:val="30"/>
          <w:szCs w:val="30"/>
        </w:rPr>
      </w:pPr>
    </w:p>
    <w:p w14:paraId="099197C1" w14:textId="77777777" w:rsidR="003C43CD" w:rsidRDefault="003C43CD">
      <w:pPr>
        <w:rPr>
          <w:rFonts w:ascii="Calibri Light" w:eastAsia="Times New Roman" w:hAnsi="Calibri Light" w:cs="Times New Roman"/>
          <w:color w:val="404040"/>
          <w:sz w:val="30"/>
          <w:szCs w:val="30"/>
        </w:rPr>
      </w:pPr>
    </w:p>
    <w:p w14:paraId="456F9C6A" w14:textId="1F6F6230" w:rsidR="004A25F6" w:rsidRDefault="0001450A">
      <w:pPr>
        <w:rPr>
          <w:rFonts w:ascii="Calibri Light" w:eastAsia="Times New Roman" w:hAnsi="Calibri Light" w:cs="Times New Roman"/>
          <w:color w:val="404040"/>
          <w:sz w:val="30"/>
          <w:szCs w:val="30"/>
        </w:rPr>
      </w:pPr>
      <w:r>
        <w:rPr>
          <w:rFonts w:ascii="Calibri Light" w:eastAsia="Times New Roman" w:hAnsi="Calibri Light" w:cs="Times New Roman"/>
          <w:color w:val="404040"/>
          <w:sz w:val="30"/>
          <w:szCs w:val="30"/>
        </w:rPr>
        <w:lastRenderedPageBreak/>
        <w:t>Table of Contents</w:t>
      </w:r>
    </w:p>
    <w:p w14:paraId="75F741C7" w14:textId="293E412D" w:rsidR="000518DD" w:rsidRDefault="00A80637">
      <w:pPr>
        <w:pStyle w:val="TOC1"/>
        <w:tabs>
          <w:tab w:val="right" w:leader="dot" w:pos="9016"/>
        </w:tabs>
        <w:rPr>
          <w:rFonts w:eastAsiaTheme="minorEastAsia"/>
          <w:noProof/>
          <w:lang w:eastAsia="en-AU"/>
        </w:rPr>
      </w:pPr>
      <w:r>
        <w:rPr>
          <w:rFonts w:ascii="Calibri Light" w:eastAsia="Times New Roman" w:hAnsi="Calibri Light" w:cs="Times New Roman"/>
          <w:color w:val="404040"/>
          <w:sz w:val="30"/>
          <w:szCs w:val="30"/>
        </w:rPr>
        <w:fldChar w:fldCharType="begin"/>
      </w:r>
      <w:r>
        <w:rPr>
          <w:rFonts w:ascii="Calibri Light" w:eastAsia="Times New Roman" w:hAnsi="Calibri Light" w:cs="Times New Roman"/>
          <w:color w:val="404040"/>
          <w:sz w:val="30"/>
          <w:szCs w:val="30"/>
        </w:rPr>
        <w:instrText xml:space="preserve"> TOC \h \z \t "Heading 1,2,Heading 2,3,Title,1" </w:instrText>
      </w:r>
      <w:r>
        <w:rPr>
          <w:rFonts w:ascii="Calibri Light" w:eastAsia="Times New Roman" w:hAnsi="Calibri Light" w:cs="Times New Roman"/>
          <w:color w:val="404040"/>
          <w:sz w:val="30"/>
          <w:szCs w:val="30"/>
        </w:rPr>
        <w:fldChar w:fldCharType="separate"/>
      </w:r>
      <w:hyperlink w:anchor="_Toc96348267" w:history="1">
        <w:r w:rsidR="000518DD" w:rsidRPr="00D97E5C">
          <w:rPr>
            <w:rStyle w:val="Hyperlink"/>
            <w:rFonts w:eastAsia="Times New Roman"/>
            <w:noProof/>
          </w:rPr>
          <w:t>Executive summary</w:t>
        </w:r>
        <w:r w:rsidR="000518DD">
          <w:rPr>
            <w:noProof/>
            <w:webHidden/>
          </w:rPr>
          <w:tab/>
        </w:r>
        <w:r w:rsidR="000518DD">
          <w:rPr>
            <w:noProof/>
            <w:webHidden/>
          </w:rPr>
          <w:fldChar w:fldCharType="begin"/>
        </w:r>
        <w:r w:rsidR="000518DD">
          <w:rPr>
            <w:noProof/>
            <w:webHidden/>
          </w:rPr>
          <w:instrText xml:space="preserve"> PAGEREF _Toc96348267 \h </w:instrText>
        </w:r>
        <w:r w:rsidR="000518DD">
          <w:rPr>
            <w:noProof/>
            <w:webHidden/>
          </w:rPr>
        </w:r>
        <w:r w:rsidR="000518DD">
          <w:rPr>
            <w:noProof/>
            <w:webHidden/>
          </w:rPr>
          <w:fldChar w:fldCharType="separate"/>
        </w:r>
        <w:r w:rsidR="00A276D5">
          <w:rPr>
            <w:noProof/>
            <w:webHidden/>
          </w:rPr>
          <w:t>2</w:t>
        </w:r>
        <w:r w:rsidR="000518DD">
          <w:rPr>
            <w:noProof/>
            <w:webHidden/>
          </w:rPr>
          <w:fldChar w:fldCharType="end"/>
        </w:r>
      </w:hyperlink>
    </w:p>
    <w:p w14:paraId="29A35340" w14:textId="0AD1AAE4" w:rsidR="000518DD" w:rsidRDefault="008F5B7C">
      <w:pPr>
        <w:pStyle w:val="TOC1"/>
        <w:tabs>
          <w:tab w:val="right" w:leader="dot" w:pos="9016"/>
        </w:tabs>
        <w:rPr>
          <w:rFonts w:eastAsiaTheme="minorEastAsia"/>
          <w:noProof/>
          <w:lang w:eastAsia="en-AU"/>
        </w:rPr>
      </w:pPr>
      <w:hyperlink w:anchor="_Toc96348268" w:history="1">
        <w:r w:rsidR="000518DD" w:rsidRPr="00D97E5C">
          <w:rPr>
            <w:rStyle w:val="Hyperlink"/>
            <w:rFonts w:eastAsia="Times New Roman"/>
            <w:noProof/>
          </w:rPr>
          <w:t>Background</w:t>
        </w:r>
        <w:r w:rsidR="000518DD">
          <w:rPr>
            <w:noProof/>
            <w:webHidden/>
          </w:rPr>
          <w:tab/>
        </w:r>
        <w:r w:rsidR="000518DD">
          <w:rPr>
            <w:noProof/>
            <w:webHidden/>
          </w:rPr>
          <w:fldChar w:fldCharType="begin"/>
        </w:r>
        <w:r w:rsidR="000518DD">
          <w:rPr>
            <w:noProof/>
            <w:webHidden/>
          </w:rPr>
          <w:instrText xml:space="preserve"> PAGEREF _Toc96348268 \h </w:instrText>
        </w:r>
        <w:r w:rsidR="000518DD">
          <w:rPr>
            <w:noProof/>
            <w:webHidden/>
          </w:rPr>
        </w:r>
        <w:r w:rsidR="000518DD">
          <w:rPr>
            <w:noProof/>
            <w:webHidden/>
          </w:rPr>
          <w:fldChar w:fldCharType="separate"/>
        </w:r>
        <w:r w:rsidR="00A276D5">
          <w:rPr>
            <w:noProof/>
            <w:webHidden/>
          </w:rPr>
          <w:t>4</w:t>
        </w:r>
        <w:r w:rsidR="000518DD">
          <w:rPr>
            <w:noProof/>
            <w:webHidden/>
          </w:rPr>
          <w:fldChar w:fldCharType="end"/>
        </w:r>
      </w:hyperlink>
    </w:p>
    <w:p w14:paraId="79BD7DB6" w14:textId="12611D69" w:rsidR="000518DD" w:rsidRDefault="008F5B7C">
      <w:pPr>
        <w:pStyle w:val="TOC2"/>
        <w:tabs>
          <w:tab w:val="right" w:leader="dot" w:pos="9016"/>
        </w:tabs>
        <w:rPr>
          <w:rFonts w:eastAsiaTheme="minorEastAsia"/>
          <w:noProof/>
          <w:lang w:eastAsia="en-AU"/>
        </w:rPr>
      </w:pPr>
      <w:hyperlink w:anchor="_Toc96348269" w:history="1">
        <w:r w:rsidR="000518DD" w:rsidRPr="00D97E5C">
          <w:rPr>
            <w:rStyle w:val="Hyperlink"/>
            <w:noProof/>
          </w:rPr>
          <w:t>Context to the report</w:t>
        </w:r>
        <w:r w:rsidR="000518DD">
          <w:rPr>
            <w:noProof/>
            <w:webHidden/>
          </w:rPr>
          <w:tab/>
        </w:r>
        <w:r w:rsidR="000518DD">
          <w:rPr>
            <w:noProof/>
            <w:webHidden/>
          </w:rPr>
          <w:fldChar w:fldCharType="begin"/>
        </w:r>
        <w:r w:rsidR="000518DD">
          <w:rPr>
            <w:noProof/>
            <w:webHidden/>
          </w:rPr>
          <w:instrText xml:space="preserve"> PAGEREF _Toc96348269 \h </w:instrText>
        </w:r>
        <w:r w:rsidR="000518DD">
          <w:rPr>
            <w:noProof/>
            <w:webHidden/>
          </w:rPr>
        </w:r>
        <w:r w:rsidR="000518DD">
          <w:rPr>
            <w:noProof/>
            <w:webHidden/>
          </w:rPr>
          <w:fldChar w:fldCharType="separate"/>
        </w:r>
        <w:r w:rsidR="00A276D5">
          <w:rPr>
            <w:noProof/>
            <w:webHidden/>
          </w:rPr>
          <w:t>4</w:t>
        </w:r>
        <w:r w:rsidR="000518DD">
          <w:rPr>
            <w:noProof/>
            <w:webHidden/>
          </w:rPr>
          <w:fldChar w:fldCharType="end"/>
        </w:r>
      </w:hyperlink>
    </w:p>
    <w:p w14:paraId="758CA98C" w14:textId="73FCF681" w:rsidR="000518DD" w:rsidRDefault="008F5B7C">
      <w:pPr>
        <w:pStyle w:val="TOC2"/>
        <w:tabs>
          <w:tab w:val="right" w:leader="dot" w:pos="9016"/>
        </w:tabs>
        <w:rPr>
          <w:rFonts w:eastAsiaTheme="minorEastAsia"/>
          <w:noProof/>
          <w:lang w:eastAsia="en-AU"/>
        </w:rPr>
      </w:pPr>
      <w:hyperlink w:anchor="_Toc96348270" w:history="1">
        <w:r w:rsidR="000518DD" w:rsidRPr="00D97E5C">
          <w:rPr>
            <w:rStyle w:val="Hyperlink"/>
            <w:rFonts w:eastAsia="Times New Roman"/>
            <w:noProof/>
          </w:rPr>
          <w:t>Brief of work</w:t>
        </w:r>
        <w:r w:rsidR="000518DD">
          <w:rPr>
            <w:noProof/>
            <w:webHidden/>
          </w:rPr>
          <w:tab/>
        </w:r>
        <w:r w:rsidR="000518DD">
          <w:rPr>
            <w:noProof/>
            <w:webHidden/>
          </w:rPr>
          <w:fldChar w:fldCharType="begin"/>
        </w:r>
        <w:r w:rsidR="000518DD">
          <w:rPr>
            <w:noProof/>
            <w:webHidden/>
          </w:rPr>
          <w:instrText xml:space="preserve"> PAGEREF _Toc96348270 \h </w:instrText>
        </w:r>
        <w:r w:rsidR="000518DD">
          <w:rPr>
            <w:noProof/>
            <w:webHidden/>
          </w:rPr>
        </w:r>
        <w:r w:rsidR="000518DD">
          <w:rPr>
            <w:noProof/>
            <w:webHidden/>
          </w:rPr>
          <w:fldChar w:fldCharType="separate"/>
        </w:r>
        <w:r w:rsidR="00A276D5">
          <w:rPr>
            <w:noProof/>
            <w:webHidden/>
          </w:rPr>
          <w:t>5</w:t>
        </w:r>
        <w:r w:rsidR="000518DD">
          <w:rPr>
            <w:noProof/>
            <w:webHidden/>
          </w:rPr>
          <w:fldChar w:fldCharType="end"/>
        </w:r>
      </w:hyperlink>
    </w:p>
    <w:p w14:paraId="30515892" w14:textId="1DAA9BE4" w:rsidR="000518DD" w:rsidRDefault="008F5B7C">
      <w:pPr>
        <w:pStyle w:val="TOC1"/>
        <w:tabs>
          <w:tab w:val="right" w:leader="dot" w:pos="9016"/>
        </w:tabs>
        <w:rPr>
          <w:rFonts w:eastAsiaTheme="minorEastAsia"/>
          <w:noProof/>
          <w:lang w:eastAsia="en-AU"/>
        </w:rPr>
      </w:pPr>
      <w:hyperlink w:anchor="_Toc96348271" w:history="1">
        <w:r w:rsidR="000518DD" w:rsidRPr="00D97E5C">
          <w:rPr>
            <w:rStyle w:val="Hyperlink"/>
            <w:rFonts w:eastAsia="Times New Roman"/>
            <w:noProof/>
          </w:rPr>
          <w:t>Methodology and approach</w:t>
        </w:r>
        <w:r w:rsidR="000518DD">
          <w:rPr>
            <w:noProof/>
            <w:webHidden/>
          </w:rPr>
          <w:tab/>
        </w:r>
        <w:r w:rsidR="000518DD">
          <w:rPr>
            <w:noProof/>
            <w:webHidden/>
          </w:rPr>
          <w:fldChar w:fldCharType="begin"/>
        </w:r>
        <w:r w:rsidR="000518DD">
          <w:rPr>
            <w:noProof/>
            <w:webHidden/>
          </w:rPr>
          <w:instrText xml:space="preserve"> PAGEREF _Toc96348271 \h </w:instrText>
        </w:r>
        <w:r w:rsidR="000518DD">
          <w:rPr>
            <w:noProof/>
            <w:webHidden/>
          </w:rPr>
        </w:r>
        <w:r w:rsidR="000518DD">
          <w:rPr>
            <w:noProof/>
            <w:webHidden/>
          </w:rPr>
          <w:fldChar w:fldCharType="separate"/>
        </w:r>
        <w:r w:rsidR="00A276D5">
          <w:rPr>
            <w:noProof/>
            <w:webHidden/>
          </w:rPr>
          <w:t>6</w:t>
        </w:r>
        <w:r w:rsidR="000518DD">
          <w:rPr>
            <w:noProof/>
            <w:webHidden/>
          </w:rPr>
          <w:fldChar w:fldCharType="end"/>
        </w:r>
      </w:hyperlink>
    </w:p>
    <w:p w14:paraId="3BBFA47E" w14:textId="568F62D3" w:rsidR="000518DD" w:rsidRDefault="008F5B7C">
      <w:pPr>
        <w:pStyle w:val="TOC2"/>
        <w:tabs>
          <w:tab w:val="right" w:leader="dot" w:pos="9016"/>
        </w:tabs>
        <w:rPr>
          <w:rFonts w:eastAsiaTheme="minorEastAsia"/>
          <w:noProof/>
          <w:lang w:eastAsia="en-AU"/>
        </w:rPr>
      </w:pPr>
      <w:hyperlink w:anchor="_Toc96348272" w:history="1">
        <w:r w:rsidR="000518DD" w:rsidRPr="00D97E5C">
          <w:rPr>
            <w:rStyle w:val="Hyperlink"/>
            <w:noProof/>
          </w:rPr>
          <w:t>Introduction</w:t>
        </w:r>
        <w:r w:rsidR="000518DD">
          <w:rPr>
            <w:noProof/>
            <w:webHidden/>
          </w:rPr>
          <w:tab/>
        </w:r>
        <w:r w:rsidR="000518DD">
          <w:rPr>
            <w:noProof/>
            <w:webHidden/>
          </w:rPr>
          <w:fldChar w:fldCharType="begin"/>
        </w:r>
        <w:r w:rsidR="000518DD">
          <w:rPr>
            <w:noProof/>
            <w:webHidden/>
          </w:rPr>
          <w:instrText xml:space="preserve"> PAGEREF _Toc96348272 \h </w:instrText>
        </w:r>
        <w:r w:rsidR="000518DD">
          <w:rPr>
            <w:noProof/>
            <w:webHidden/>
          </w:rPr>
        </w:r>
        <w:r w:rsidR="000518DD">
          <w:rPr>
            <w:noProof/>
            <w:webHidden/>
          </w:rPr>
          <w:fldChar w:fldCharType="separate"/>
        </w:r>
        <w:r w:rsidR="00A276D5">
          <w:rPr>
            <w:noProof/>
            <w:webHidden/>
          </w:rPr>
          <w:t>6</w:t>
        </w:r>
        <w:r w:rsidR="000518DD">
          <w:rPr>
            <w:noProof/>
            <w:webHidden/>
          </w:rPr>
          <w:fldChar w:fldCharType="end"/>
        </w:r>
      </w:hyperlink>
    </w:p>
    <w:p w14:paraId="42164C3E" w14:textId="0372A40B" w:rsidR="000518DD" w:rsidRDefault="008F5B7C">
      <w:pPr>
        <w:pStyle w:val="TOC3"/>
        <w:tabs>
          <w:tab w:val="right" w:leader="dot" w:pos="9016"/>
        </w:tabs>
        <w:rPr>
          <w:rFonts w:eastAsiaTheme="minorEastAsia"/>
          <w:noProof/>
          <w:lang w:eastAsia="en-AU"/>
        </w:rPr>
      </w:pPr>
      <w:hyperlink w:anchor="_Toc96348273" w:history="1">
        <w:r w:rsidR="000518DD" w:rsidRPr="00D97E5C">
          <w:rPr>
            <w:rStyle w:val="Hyperlink"/>
            <w:noProof/>
          </w:rPr>
          <w:t>Background and methodology framework</w:t>
        </w:r>
        <w:r w:rsidR="000518DD">
          <w:rPr>
            <w:noProof/>
            <w:webHidden/>
          </w:rPr>
          <w:tab/>
        </w:r>
        <w:r w:rsidR="000518DD">
          <w:rPr>
            <w:noProof/>
            <w:webHidden/>
          </w:rPr>
          <w:fldChar w:fldCharType="begin"/>
        </w:r>
        <w:r w:rsidR="000518DD">
          <w:rPr>
            <w:noProof/>
            <w:webHidden/>
          </w:rPr>
          <w:instrText xml:space="preserve"> PAGEREF _Toc96348273 \h </w:instrText>
        </w:r>
        <w:r w:rsidR="000518DD">
          <w:rPr>
            <w:noProof/>
            <w:webHidden/>
          </w:rPr>
        </w:r>
        <w:r w:rsidR="000518DD">
          <w:rPr>
            <w:noProof/>
            <w:webHidden/>
          </w:rPr>
          <w:fldChar w:fldCharType="separate"/>
        </w:r>
        <w:r w:rsidR="00A276D5">
          <w:rPr>
            <w:noProof/>
            <w:webHidden/>
          </w:rPr>
          <w:t>6</w:t>
        </w:r>
        <w:r w:rsidR="000518DD">
          <w:rPr>
            <w:noProof/>
            <w:webHidden/>
          </w:rPr>
          <w:fldChar w:fldCharType="end"/>
        </w:r>
      </w:hyperlink>
    </w:p>
    <w:p w14:paraId="6C77B186" w14:textId="47510DB8" w:rsidR="000518DD" w:rsidRDefault="008F5B7C">
      <w:pPr>
        <w:pStyle w:val="TOC1"/>
        <w:tabs>
          <w:tab w:val="right" w:leader="dot" w:pos="9016"/>
        </w:tabs>
        <w:rPr>
          <w:rFonts w:eastAsiaTheme="minorEastAsia"/>
          <w:noProof/>
          <w:lang w:eastAsia="en-AU"/>
        </w:rPr>
      </w:pPr>
      <w:hyperlink w:anchor="_Toc96348274" w:history="1">
        <w:r w:rsidR="000518DD" w:rsidRPr="00D97E5C">
          <w:rPr>
            <w:rStyle w:val="Hyperlink"/>
            <w:rFonts w:eastAsia="Times New Roman"/>
            <w:noProof/>
          </w:rPr>
          <w:t>Survey results</w:t>
        </w:r>
        <w:r w:rsidR="000518DD">
          <w:rPr>
            <w:noProof/>
            <w:webHidden/>
          </w:rPr>
          <w:tab/>
        </w:r>
        <w:r w:rsidR="000518DD">
          <w:rPr>
            <w:noProof/>
            <w:webHidden/>
          </w:rPr>
          <w:fldChar w:fldCharType="begin"/>
        </w:r>
        <w:r w:rsidR="000518DD">
          <w:rPr>
            <w:noProof/>
            <w:webHidden/>
          </w:rPr>
          <w:instrText xml:space="preserve"> PAGEREF _Toc96348274 \h </w:instrText>
        </w:r>
        <w:r w:rsidR="000518DD">
          <w:rPr>
            <w:noProof/>
            <w:webHidden/>
          </w:rPr>
        </w:r>
        <w:r w:rsidR="000518DD">
          <w:rPr>
            <w:noProof/>
            <w:webHidden/>
          </w:rPr>
          <w:fldChar w:fldCharType="separate"/>
        </w:r>
        <w:r w:rsidR="00A276D5">
          <w:rPr>
            <w:noProof/>
            <w:webHidden/>
          </w:rPr>
          <w:t>11</w:t>
        </w:r>
        <w:r w:rsidR="000518DD">
          <w:rPr>
            <w:noProof/>
            <w:webHidden/>
          </w:rPr>
          <w:fldChar w:fldCharType="end"/>
        </w:r>
      </w:hyperlink>
    </w:p>
    <w:p w14:paraId="46E25B10" w14:textId="02E9476E" w:rsidR="000518DD" w:rsidRDefault="008F5B7C">
      <w:pPr>
        <w:pStyle w:val="TOC2"/>
        <w:tabs>
          <w:tab w:val="right" w:leader="dot" w:pos="9016"/>
        </w:tabs>
        <w:rPr>
          <w:rFonts w:eastAsiaTheme="minorEastAsia"/>
          <w:noProof/>
          <w:lang w:eastAsia="en-AU"/>
        </w:rPr>
      </w:pPr>
      <w:hyperlink w:anchor="_Toc96348275" w:history="1">
        <w:r w:rsidR="000518DD" w:rsidRPr="00D97E5C">
          <w:rPr>
            <w:rStyle w:val="Hyperlink"/>
            <w:noProof/>
          </w:rPr>
          <w:t>Survey structure</w:t>
        </w:r>
        <w:r w:rsidR="000518DD">
          <w:rPr>
            <w:noProof/>
            <w:webHidden/>
          </w:rPr>
          <w:tab/>
        </w:r>
        <w:r w:rsidR="000518DD">
          <w:rPr>
            <w:noProof/>
            <w:webHidden/>
          </w:rPr>
          <w:fldChar w:fldCharType="begin"/>
        </w:r>
        <w:r w:rsidR="000518DD">
          <w:rPr>
            <w:noProof/>
            <w:webHidden/>
          </w:rPr>
          <w:instrText xml:space="preserve"> PAGEREF _Toc96348275 \h </w:instrText>
        </w:r>
        <w:r w:rsidR="000518DD">
          <w:rPr>
            <w:noProof/>
            <w:webHidden/>
          </w:rPr>
        </w:r>
        <w:r w:rsidR="000518DD">
          <w:rPr>
            <w:noProof/>
            <w:webHidden/>
          </w:rPr>
          <w:fldChar w:fldCharType="separate"/>
        </w:r>
        <w:r w:rsidR="00A276D5">
          <w:rPr>
            <w:noProof/>
            <w:webHidden/>
          </w:rPr>
          <w:t>11</w:t>
        </w:r>
        <w:r w:rsidR="000518DD">
          <w:rPr>
            <w:noProof/>
            <w:webHidden/>
          </w:rPr>
          <w:fldChar w:fldCharType="end"/>
        </w:r>
      </w:hyperlink>
    </w:p>
    <w:p w14:paraId="74CC588A" w14:textId="438220AA" w:rsidR="000518DD" w:rsidRDefault="008F5B7C">
      <w:pPr>
        <w:pStyle w:val="TOC2"/>
        <w:tabs>
          <w:tab w:val="right" w:leader="dot" w:pos="9016"/>
        </w:tabs>
        <w:rPr>
          <w:rFonts w:eastAsiaTheme="minorEastAsia"/>
          <w:noProof/>
          <w:lang w:eastAsia="en-AU"/>
        </w:rPr>
      </w:pPr>
      <w:hyperlink w:anchor="_Toc96348276" w:history="1">
        <w:r w:rsidR="000518DD" w:rsidRPr="00D97E5C">
          <w:rPr>
            <w:rStyle w:val="Hyperlink"/>
            <w:noProof/>
          </w:rPr>
          <w:t>Characteristics of respondents</w:t>
        </w:r>
        <w:r w:rsidR="000518DD">
          <w:rPr>
            <w:noProof/>
            <w:webHidden/>
          </w:rPr>
          <w:tab/>
        </w:r>
        <w:r w:rsidR="000518DD">
          <w:rPr>
            <w:noProof/>
            <w:webHidden/>
          </w:rPr>
          <w:fldChar w:fldCharType="begin"/>
        </w:r>
        <w:r w:rsidR="000518DD">
          <w:rPr>
            <w:noProof/>
            <w:webHidden/>
          </w:rPr>
          <w:instrText xml:space="preserve"> PAGEREF _Toc96348276 \h </w:instrText>
        </w:r>
        <w:r w:rsidR="000518DD">
          <w:rPr>
            <w:noProof/>
            <w:webHidden/>
          </w:rPr>
        </w:r>
        <w:r w:rsidR="000518DD">
          <w:rPr>
            <w:noProof/>
            <w:webHidden/>
          </w:rPr>
          <w:fldChar w:fldCharType="separate"/>
        </w:r>
        <w:r w:rsidR="00A276D5">
          <w:rPr>
            <w:noProof/>
            <w:webHidden/>
          </w:rPr>
          <w:t>11</w:t>
        </w:r>
        <w:r w:rsidR="000518DD">
          <w:rPr>
            <w:noProof/>
            <w:webHidden/>
          </w:rPr>
          <w:fldChar w:fldCharType="end"/>
        </w:r>
      </w:hyperlink>
    </w:p>
    <w:p w14:paraId="5E6D9D44" w14:textId="1DC7E841" w:rsidR="000518DD" w:rsidRDefault="008F5B7C">
      <w:pPr>
        <w:pStyle w:val="TOC2"/>
        <w:tabs>
          <w:tab w:val="right" w:leader="dot" w:pos="9016"/>
        </w:tabs>
        <w:rPr>
          <w:rFonts w:eastAsiaTheme="minorEastAsia"/>
          <w:noProof/>
          <w:lang w:eastAsia="en-AU"/>
        </w:rPr>
      </w:pPr>
      <w:hyperlink w:anchor="_Toc96348277" w:history="1">
        <w:r w:rsidR="000518DD" w:rsidRPr="00D97E5C">
          <w:rPr>
            <w:rStyle w:val="Hyperlink"/>
            <w:noProof/>
          </w:rPr>
          <w:t>Questions for defined entities currently implementing GIA</w:t>
        </w:r>
        <w:r w:rsidR="00D51FF3">
          <w:rPr>
            <w:rStyle w:val="Hyperlink"/>
            <w:noProof/>
          </w:rPr>
          <w:t>s</w:t>
        </w:r>
        <w:r w:rsidR="000518DD">
          <w:rPr>
            <w:noProof/>
            <w:webHidden/>
          </w:rPr>
          <w:tab/>
        </w:r>
        <w:r w:rsidR="000518DD">
          <w:rPr>
            <w:noProof/>
            <w:webHidden/>
          </w:rPr>
          <w:fldChar w:fldCharType="begin"/>
        </w:r>
        <w:r w:rsidR="000518DD">
          <w:rPr>
            <w:noProof/>
            <w:webHidden/>
          </w:rPr>
          <w:instrText xml:space="preserve"> PAGEREF _Toc96348277 \h </w:instrText>
        </w:r>
        <w:r w:rsidR="000518DD">
          <w:rPr>
            <w:noProof/>
            <w:webHidden/>
          </w:rPr>
        </w:r>
        <w:r w:rsidR="000518DD">
          <w:rPr>
            <w:noProof/>
            <w:webHidden/>
          </w:rPr>
          <w:fldChar w:fldCharType="separate"/>
        </w:r>
        <w:r w:rsidR="00A276D5">
          <w:rPr>
            <w:noProof/>
            <w:webHidden/>
          </w:rPr>
          <w:t>12</w:t>
        </w:r>
        <w:r w:rsidR="000518DD">
          <w:rPr>
            <w:noProof/>
            <w:webHidden/>
          </w:rPr>
          <w:fldChar w:fldCharType="end"/>
        </w:r>
      </w:hyperlink>
    </w:p>
    <w:p w14:paraId="2E3732B7" w14:textId="57A1F45F" w:rsidR="000518DD" w:rsidRDefault="008F5B7C">
      <w:pPr>
        <w:pStyle w:val="TOC2"/>
        <w:tabs>
          <w:tab w:val="right" w:leader="dot" w:pos="9016"/>
        </w:tabs>
        <w:rPr>
          <w:rFonts w:eastAsiaTheme="minorEastAsia"/>
          <w:noProof/>
          <w:lang w:eastAsia="en-AU"/>
        </w:rPr>
      </w:pPr>
      <w:hyperlink w:anchor="_Toc96348278" w:history="1">
        <w:r w:rsidR="000518DD" w:rsidRPr="00D97E5C">
          <w:rPr>
            <w:rStyle w:val="Hyperlink"/>
            <w:noProof/>
          </w:rPr>
          <w:t>Questions for defined entities who have not commenced GIA</w:t>
        </w:r>
        <w:r w:rsidR="00D51FF3">
          <w:rPr>
            <w:rStyle w:val="Hyperlink"/>
            <w:noProof/>
          </w:rPr>
          <w:t>s</w:t>
        </w:r>
        <w:r w:rsidR="000518DD">
          <w:rPr>
            <w:noProof/>
            <w:webHidden/>
          </w:rPr>
          <w:tab/>
        </w:r>
        <w:r w:rsidR="000518DD">
          <w:rPr>
            <w:noProof/>
            <w:webHidden/>
          </w:rPr>
          <w:fldChar w:fldCharType="begin"/>
        </w:r>
        <w:r w:rsidR="000518DD">
          <w:rPr>
            <w:noProof/>
            <w:webHidden/>
          </w:rPr>
          <w:instrText xml:space="preserve"> PAGEREF _Toc96348278 \h </w:instrText>
        </w:r>
        <w:r w:rsidR="000518DD">
          <w:rPr>
            <w:noProof/>
            <w:webHidden/>
          </w:rPr>
        </w:r>
        <w:r w:rsidR="000518DD">
          <w:rPr>
            <w:noProof/>
            <w:webHidden/>
          </w:rPr>
          <w:fldChar w:fldCharType="separate"/>
        </w:r>
        <w:r w:rsidR="00A276D5">
          <w:rPr>
            <w:noProof/>
            <w:webHidden/>
          </w:rPr>
          <w:t>19</w:t>
        </w:r>
        <w:r w:rsidR="000518DD">
          <w:rPr>
            <w:noProof/>
            <w:webHidden/>
          </w:rPr>
          <w:fldChar w:fldCharType="end"/>
        </w:r>
      </w:hyperlink>
    </w:p>
    <w:p w14:paraId="16A1575F" w14:textId="65341859" w:rsidR="000518DD" w:rsidRDefault="008F5B7C">
      <w:pPr>
        <w:pStyle w:val="TOC1"/>
        <w:tabs>
          <w:tab w:val="right" w:leader="dot" w:pos="9016"/>
        </w:tabs>
        <w:rPr>
          <w:rFonts w:eastAsiaTheme="minorEastAsia"/>
          <w:noProof/>
          <w:lang w:eastAsia="en-AU"/>
        </w:rPr>
      </w:pPr>
      <w:hyperlink w:anchor="_Toc96348279" w:history="1">
        <w:r w:rsidR="000518DD" w:rsidRPr="00D97E5C">
          <w:rPr>
            <w:rStyle w:val="Hyperlink"/>
            <w:rFonts w:eastAsia="Times New Roman"/>
            <w:noProof/>
          </w:rPr>
          <w:t>Focus group and interview results</w:t>
        </w:r>
        <w:r w:rsidR="000518DD">
          <w:rPr>
            <w:noProof/>
            <w:webHidden/>
          </w:rPr>
          <w:tab/>
        </w:r>
        <w:r w:rsidR="000518DD">
          <w:rPr>
            <w:noProof/>
            <w:webHidden/>
          </w:rPr>
          <w:fldChar w:fldCharType="begin"/>
        </w:r>
        <w:r w:rsidR="000518DD">
          <w:rPr>
            <w:noProof/>
            <w:webHidden/>
          </w:rPr>
          <w:instrText xml:space="preserve"> PAGEREF _Toc96348279 \h </w:instrText>
        </w:r>
        <w:r w:rsidR="000518DD">
          <w:rPr>
            <w:noProof/>
            <w:webHidden/>
          </w:rPr>
        </w:r>
        <w:r w:rsidR="000518DD">
          <w:rPr>
            <w:noProof/>
            <w:webHidden/>
          </w:rPr>
          <w:fldChar w:fldCharType="separate"/>
        </w:r>
        <w:r w:rsidR="00A276D5">
          <w:rPr>
            <w:noProof/>
            <w:webHidden/>
          </w:rPr>
          <w:t>23</w:t>
        </w:r>
        <w:r w:rsidR="000518DD">
          <w:rPr>
            <w:noProof/>
            <w:webHidden/>
          </w:rPr>
          <w:fldChar w:fldCharType="end"/>
        </w:r>
      </w:hyperlink>
    </w:p>
    <w:p w14:paraId="46A19687" w14:textId="2C389BEE" w:rsidR="000518DD" w:rsidRDefault="008F5B7C">
      <w:pPr>
        <w:pStyle w:val="TOC3"/>
        <w:tabs>
          <w:tab w:val="right" w:leader="dot" w:pos="9016"/>
        </w:tabs>
        <w:rPr>
          <w:rFonts w:eastAsiaTheme="minorEastAsia"/>
          <w:noProof/>
          <w:lang w:eastAsia="en-AU"/>
        </w:rPr>
      </w:pPr>
      <w:hyperlink w:anchor="_Toc96348280" w:history="1">
        <w:r w:rsidR="000518DD" w:rsidRPr="00D97E5C">
          <w:rPr>
            <w:rStyle w:val="Hyperlink"/>
            <w:noProof/>
          </w:rPr>
          <w:t>Time and funding</w:t>
        </w:r>
        <w:r w:rsidR="000518DD">
          <w:rPr>
            <w:noProof/>
            <w:webHidden/>
          </w:rPr>
          <w:tab/>
        </w:r>
        <w:r w:rsidR="000518DD">
          <w:rPr>
            <w:noProof/>
            <w:webHidden/>
          </w:rPr>
          <w:fldChar w:fldCharType="begin"/>
        </w:r>
        <w:r w:rsidR="000518DD">
          <w:rPr>
            <w:noProof/>
            <w:webHidden/>
          </w:rPr>
          <w:instrText xml:space="preserve"> PAGEREF _Toc96348280 \h </w:instrText>
        </w:r>
        <w:r w:rsidR="000518DD">
          <w:rPr>
            <w:noProof/>
            <w:webHidden/>
          </w:rPr>
        </w:r>
        <w:r w:rsidR="000518DD">
          <w:rPr>
            <w:noProof/>
            <w:webHidden/>
          </w:rPr>
          <w:fldChar w:fldCharType="separate"/>
        </w:r>
        <w:r w:rsidR="00A276D5">
          <w:rPr>
            <w:noProof/>
            <w:webHidden/>
          </w:rPr>
          <w:t>23</w:t>
        </w:r>
        <w:r w:rsidR="000518DD">
          <w:rPr>
            <w:noProof/>
            <w:webHidden/>
          </w:rPr>
          <w:fldChar w:fldCharType="end"/>
        </w:r>
      </w:hyperlink>
    </w:p>
    <w:p w14:paraId="401889AB" w14:textId="56DAC686" w:rsidR="000518DD" w:rsidRDefault="008F5B7C">
      <w:pPr>
        <w:pStyle w:val="TOC3"/>
        <w:tabs>
          <w:tab w:val="right" w:leader="dot" w:pos="9016"/>
        </w:tabs>
        <w:rPr>
          <w:rFonts w:eastAsiaTheme="minorEastAsia"/>
          <w:noProof/>
          <w:lang w:eastAsia="en-AU"/>
        </w:rPr>
      </w:pPr>
      <w:hyperlink w:anchor="_Toc96348281" w:history="1">
        <w:r w:rsidR="000518DD" w:rsidRPr="00D97E5C">
          <w:rPr>
            <w:rStyle w:val="Hyperlink"/>
            <w:noProof/>
          </w:rPr>
          <w:t>Access to gender equality expertise</w:t>
        </w:r>
        <w:r w:rsidR="000518DD">
          <w:rPr>
            <w:noProof/>
            <w:webHidden/>
          </w:rPr>
          <w:tab/>
        </w:r>
        <w:r w:rsidR="000518DD">
          <w:rPr>
            <w:noProof/>
            <w:webHidden/>
          </w:rPr>
          <w:fldChar w:fldCharType="begin"/>
        </w:r>
        <w:r w:rsidR="000518DD">
          <w:rPr>
            <w:noProof/>
            <w:webHidden/>
          </w:rPr>
          <w:instrText xml:space="preserve"> PAGEREF _Toc96348281 \h </w:instrText>
        </w:r>
        <w:r w:rsidR="000518DD">
          <w:rPr>
            <w:noProof/>
            <w:webHidden/>
          </w:rPr>
        </w:r>
        <w:r w:rsidR="000518DD">
          <w:rPr>
            <w:noProof/>
            <w:webHidden/>
          </w:rPr>
          <w:fldChar w:fldCharType="separate"/>
        </w:r>
        <w:r w:rsidR="00A276D5">
          <w:rPr>
            <w:noProof/>
            <w:webHidden/>
          </w:rPr>
          <w:t>26</w:t>
        </w:r>
        <w:r w:rsidR="000518DD">
          <w:rPr>
            <w:noProof/>
            <w:webHidden/>
          </w:rPr>
          <w:fldChar w:fldCharType="end"/>
        </w:r>
      </w:hyperlink>
    </w:p>
    <w:p w14:paraId="086629AF" w14:textId="4A951E05" w:rsidR="000518DD" w:rsidRDefault="008F5B7C">
      <w:pPr>
        <w:pStyle w:val="TOC3"/>
        <w:tabs>
          <w:tab w:val="right" w:leader="dot" w:pos="9016"/>
        </w:tabs>
        <w:rPr>
          <w:rFonts w:eastAsiaTheme="minorEastAsia"/>
          <w:noProof/>
          <w:lang w:eastAsia="en-AU"/>
        </w:rPr>
      </w:pPr>
      <w:hyperlink w:anchor="_Toc96348282" w:history="1">
        <w:r w:rsidR="000518DD" w:rsidRPr="00D97E5C">
          <w:rPr>
            <w:rStyle w:val="Hyperlink"/>
            <w:noProof/>
          </w:rPr>
          <w:t>The role of the Commission</w:t>
        </w:r>
        <w:r w:rsidR="000518DD">
          <w:rPr>
            <w:noProof/>
            <w:webHidden/>
          </w:rPr>
          <w:tab/>
        </w:r>
        <w:r w:rsidR="000518DD">
          <w:rPr>
            <w:noProof/>
            <w:webHidden/>
          </w:rPr>
          <w:fldChar w:fldCharType="begin"/>
        </w:r>
        <w:r w:rsidR="000518DD">
          <w:rPr>
            <w:noProof/>
            <w:webHidden/>
          </w:rPr>
          <w:instrText xml:space="preserve"> PAGEREF _Toc96348282 \h </w:instrText>
        </w:r>
        <w:r w:rsidR="000518DD">
          <w:rPr>
            <w:noProof/>
            <w:webHidden/>
          </w:rPr>
        </w:r>
        <w:r w:rsidR="000518DD">
          <w:rPr>
            <w:noProof/>
            <w:webHidden/>
          </w:rPr>
          <w:fldChar w:fldCharType="separate"/>
        </w:r>
        <w:r w:rsidR="00A276D5">
          <w:rPr>
            <w:noProof/>
            <w:webHidden/>
          </w:rPr>
          <w:t>27</w:t>
        </w:r>
        <w:r w:rsidR="000518DD">
          <w:rPr>
            <w:noProof/>
            <w:webHidden/>
          </w:rPr>
          <w:fldChar w:fldCharType="end"/>
        </w:r>
      </w:hyperlink>
    </w:p>
    <w:p w14:paraId="5259D9C4" w14:textId="7E404818" w:rsidR="000518DD" w:rsidRDefault="008F5B7C">
      <w:pPr>
        <w:pStyle w:val="TOC3"/>
        <w:tabs>
          <w:tab w:val="right" w:leader="dot" w:pos="9016"/>
        </w:tabs>
        <w:rPr>
          <w:rFonts w:eastAsiaTheme="minorEastAsia"/>
          <w:noProof/>
          <w:lang w:eastAsia="en-AU"/>
        </w:rPr>
      </w:pPr>
      <w:hyperlink w:anchor="_Toc96348283" w:history="1">
        <w:r w:rsidR="000518DD" w:rsidRPr="00D97E5C">
          <w:rPr>
            <w:rStyle w:val="Hyperlink"/>
            <w:noProof/>
          </w:rPr>
          <w:t>Access to simple, targeted resources</w:t>
        </w:r>
        <w:r w:rsidR="00D51FF3">
          <w:rPr>
            <w:rStyle w:val="Hyperlink"/>
            <w:noProof/>
          </w:rPr>
          <w:t>,</w:t>
        </w:r>
        <w:r w:rsidR="000518DD" w:rsidRPr="00D97E5C">
          <w:rPr>
            <w:rStyle w:val="Hyperlink"/>
            <w:noProof/>
          </w:rPr>
          <w:t xml:space="preserve"> tailored and contextualised to sectors</w:t>
        </w:r>
        <w:r w:rsidR="000518DD">
          <w:rPr>
            <w:noProof/>
            <w:webHidden/>
          </w:rPr>
          <w:tab/>
        </w:r>
        <w:r w:rsidR="000518DD">
          <w:rPr>
            <w:noProof/>
            <w:webHidden/>
          </w:rPr>
          <w:fldChar w:fldCharType="begin"/>
        </w:r>
        <w:r w:rsidR="000518DD">
          <w:rPr>
            <w:noProof/>
            <w:webHidden/>
          </w:rPr>
          <w:instrText xml:space="preserve"> PAGEREF _Toc96348283 \h </w:instrText>
        </w:r>
        <w:r w:rsidR="000518DD">
          <w:rPr>
            <w:noProof/>
            <w:webHidden/>
          </w:rPr>
        </w:r>
        <w:r w:rsidR="000518DD">
          <w:rPr>
            <w:noProof/>
            <w:webHidden/>
          </w:rPr>
          <w:fldChar w:fldCharType="separate"/>
        </w:r>
        <w:r w:rsidR="00A276D5">
          <w:rPr>
            <w:noProof/>
            <w:webHidden/>
          </w:rPr>
          <w:t>28</w:t>
        </w:r>
        <w:r w:rsidR="000518DD">
          <w:rPr>
            <w:noProof/>
            <w:webHidden/>
          </w:rPr>
          <w:fldChar w:fldCharType="end"/>
        </w:r>
      </w:hyperlink>
    </w:p>
    <w:p w14:paraId="5C042113" w14:textId="32CA021B" w:rsidR="000518DD" w:rsidRDefault="008F5B7C">
      <w:pPr>
        <w:pStyle w:val="TOC3"/>
        <w:tabs>
          <w:tab w:val="right" w:leader="dot" w:pos="9016"/>
        </w:tabs>
        <w:rPr>
          <w:rFonts w:eastAsiaTheme="minorEastAsia"/>
          <w:noProof/>
          <w:lang w:eastAsia="en-AU"/>
        </w:rPr>
      </w:pPr>
      <w:hyperlink w:anchor="_Toc96348284" w:history="1">
        <w:r w:rsidR="000518DD" w:rsidRPr="00D97E5C">
          <w:rPr>
            <w:rStyle w:val="Hyperlink"/>
            <w:noProof/>
          </w:rPr>
          <w:t>Leadership capacity and organisational structures</w:t>
        </w:r>
        <w:r w:rsidR="000518DD">
          <w:rPr>
            <w:noProof/>
            <w:webHidden/>
          </w:rPr>
          <w:tab/>
        </w:r>
        <w:r w:rsidR="000518DD">
          <w:rPr>
            <w:noProof/>
            <w:webHidden/>
          </w:rPr>
          <w:fldChar w:fldCharType="begin"/>
        </w:r>
        <w:r w:rsidR="000518DD">
          <w:rPr>
            <w:noProof/>
            <w:webHidden/>
          </w:rPr>
          <w:instrText xml:space="preserve"> PAGEREF _Toc96348284 \h </w:instrText>
        </w:r>
        <w:r w:rsidR="000518DD">
          <w:rPr>
            <w:noProof/>
            <w:webHidden/>
          </w:rPr>
        </w:r>
        <w:r w:rsidR="000518DD">
          <w:rPr>
            <w:noProof/>
            <w:webHidden/>
          </w:rPr>
          <w:fldChar w:fldCharType="separate"/>
        </w:r>
        <w:r w:rsidR="00A276D5">
          <w:rPr>
            <w:noProof/>
            <w:webHidden/>
          </w:rPr>
          <w:t>29</w:t>
        </w:r>
        <w:r w:rsidR="000518DD">
          <w:rPr>
            <w:noProof/>
            <w:webHidden/>
          </w:rPr>
          <w:fldChar w:fldCharType="end"/>
        </w:r>
      </w:hyperlink>
    </w:p>
    <w:p w14:paraId="2575ACD2" w14:textId="7248C3E7" w:rsidR="000518DD" w:rsidRDefault="008F5B7C">
      <w:pPr>
        <w:pStyle w:val="TOC3"/>
        <w:tabs>
          <w:tab w:val="right" w:leader="dot" w:pos="9016"/>
        </w:tabs>
        <w:rPr>
          <w:rFonts w:eastAsiaTheme="minorEastAsia"/>
          <w:noProof/>
          <w:lang w:eastAsia="en-AU"/>
        </w:rPr>
      </w:pPr>
      <w:hyperlink w:anchor="_Toc96348285" w:history="1">
        <w:r w:rsidR="000518DD" w:rsidRPr="00D97E5C">
          <w:rPr>
            <w:rStyle w:val="Hyperlink"/>
            <w:noProof/>
          </w:rPr>
          <w:t>Whole</w:t>
        </w:r>
        <w:r w:rsidR="00D51FF3">
          <w:rPr>
            <w:rStyle w:val="Hyperlink"/>
            <w:noProof/>
          </w:rPr>
          <w:t>-</w:t>
        </w:r>
        <w:r w:rsidR="000518DD" w:rsidRPr="00D97E5C">
          <w:rPr>
            <w:rStyle w:val="Hyperlink"/>
            <w:noProof/>
          </w:rPr>
          <w:t>of</w:t>
        </w:r>
        <w:r w:rsidR="00D51FF3">
          <w:rPr>
            <w:rStyle w:val="Hyperlink"/>
            <w:noProof/>
          </w:rPr>
          <w:t>-</w:t>
        </w:r>
        <w:r w:rsidR="000518DD" w:rsidRPr="00D97E5C">
          <w:rPr>
            <w:rStyle w:val="Hyperlink"/>
            <w:noProof/>
          </w:rPr>
          <w:t>organisation ownership vs the work of “human resources”</w:t>
        </w:r>
        <w:r w:rsidR="000518DD">
          <w:rPr>
            <w:noProof/>
            <w:webHidden/>
          </w:rPr>
          <w:tab/>
        </w:r>
        <w:r w:rsidR="000518DD">
          <w:rPr>
            <w:noProof/>
            <w:webHidden/>
          </w:rPr>
          <w:fldChar w:fldCharType="begin"/>
        </w:r>
        <w:r w:rsidR="000518DD">
          <w:rPr>
            <w:noProof/>
            <w:webHidden/>
          </w:rPr>
          <w:instrText xml:space="preserve"> PAGEREF _Toc96348285 \h </w:instrText>
        </w:r>
        <w:r w:rsidR="000518DD">
          <w:rPr>
            <w:noProof/>
            <w:webHidden/>
          </w:rPr>
        </w:r>
        <w:r w:rsidR="000518DD">
          <w:rPr>
            <w:noProof/>
            <w:webHidden/>
          </w:rPr>
          <w:fldChar w:fldCharType="separate"/>
        </w:r>
        <w:r w:rsidR="00A276D5">
          <w:rPr>
            <w:noProof/>
            <w:webHidden/>
          </w:rPr>
          <w:t>30</w:t>
        </w:r>
        <w:r w:rsidR="000518DD">
          <w:rPr>
            <w:noProof/>
            <w:webHidden/>
          </w:rPr>
          <w:fldChar w:fldCharType="end"/>
        </w:r>
      </w:hyperlink>
    </w:p>
    <w:p w14:paraId="2E73C2BE" w14:textId="7AC210D6" w:rsidR="000518DD" w:rsidRDefault="008F5B7C">
      <w:pPr>
        <w:pStyle w:val="TOC3"/>
        <w:tabs>
          <w:tab w:val="right" w:leader="dot" w:pos="9016"/>
        </w:tabs>
        <w:rPr>
          <w:rFonts w:eastAsiaTheme="minorEastAsia"/>
          <w:noProof/>
          <w:lang w:eastAsia="en-AU"/>
        </w:rPr>
      </w:pPr>
      <w:hyperlink w:anchor="_Toc96348286" w:history="1">
        <w:r w:rsidR="000518DD" w:rsidRPr="00D97E5C">
          <w:rPr>
            <w:rStyle w:val="Hyperlink"/>
            <w:noProof/>
          </w:rPr>
          <w:t>Push back, culture</w:t>
        </w:r>
        <w:r w:rsidR="00D51FF3">
          <w:rPr>
            <w:rStyle w:val="Hyperlink"/>
            <w:noProof/>
          </w:rPr>
          <w:t>,</w:t>
        </w:r>
        <w:r w:rsidR="000518DD" w:rsidRPr="00D97E5C">
          <w:rPr>
            <w:rStyle w:val="Hyperlink"/>
            <w:noProof/>
          </w:rPr>
          <w:t xml:space="preserve"> and fear associated with gender work</w:t>
        </w:r>
        <w:r w:rsidR="000518DD">
          <w:rPr>
            <w:noProof/>
            <w:webHidden/>
          </w:rPr>
          <w:tab/>
        </w:r>
        <w:r w:rsidR="000518DD">
          <w:rPr>
            <w:noProof/>
            <w:webHidden/>
          </w:rPr>
          <w:fldChar w:fldCharType="begin"/>
        </w:r>
        <w:r w:rsidR="000518DD">
          <w:rPr>
            <w:noProof/>
            <w:webHidden/>
          </w:rPr>
          <w:instrText xml:space="preserve"> PAGEREF _Toc96348286 \h </w:instrText>
        </w:r>
        <w:r w:rsidR="000518DD">
          <w:rPr>
            <w:noProof/>
            <w:webHidden/>
          </w:rPr>
        </w:r>
        <w:r w:rsidR="000518DD">
          <w:rPr>
            <w:noProof/>
            <w:webHidden/>
          </w:rPr>
          <w:fldChar w:fldCharType="separate"/>
        </w:r>
        <w:r w:rsidR="00A276D5">
          <w:rPr>
            <w:noProof/>
            <w:webHidden/>
          </w:rPr>
          <w:t>31</w:t>
        </w:r>
        <w:r w:rsidR="000518DD">
          <w:rPr>
            <w:noProof/>
            <w:webHidden/>
          </w:rPr>
          <w:fldChar w:fldCharType="end"/>
        </w:r>
      </w:hyperlink>
    </w:p>
    <w:p w14:paraId="2A02AD52" w14:textId="4219E01C" w:rsidR="000518DD" w:rsidRDefault="008F5B7C">
      <w:pPr>
        <w:pStyle w:val="TOC1"/>
        <w:tabs>
          <w:tab w:val="right" w:leader="dot" w:pos="9016"/>
        </w:tabs>
        <w:rPr>
          <w:rFonts w:eastAsiaTheme="minorEastAsia"/>
          <w:noProof/>
          <w:lang w:eastAsia="en-AU"/>
        </w:rPr>
      </w:pPr>
      <w:hyperlink w:anchor="_Toc96348287" w:history="1">
        <w:r w:rsidR="000518DD" w:rsidRPr="00D97E5C">
          <w:rPr>
            <w:rStyle w:val="Hyperlink"/>
            <w:noProof/>
          </w:rPr>
          <w:t>Analysis</w:t>
        </w:r>
        <w:r w:rsidR="000518DD">
          <w:rPr>
            <w:noProof/>
            <w:webHidden/>
          </w:rPr>
          <w:tab/>
        </w:r>
        <w:r w:rsidR="000518DD">
          <w:rPr>
            <w:noProof/>
            <w:webHidden/>
          </w:rPr>
          <w:fldChar w:fldCharType="begin"/>
        </w:r>
        <w:r w:rsidR="000518DD">
          <w:rPr>
            <w:noProof/>
            <w:webHidden/>
          </w:rPr>
          <w:instrText xml:space="preserve"> PAGEREF _Toc96348287 \h </w:instrText>
        </w:r>
        <w:r w:rsidR="000518DD">
          <w:rPr>
            <w:noProof/>
            <w:webHidden/>
          </w:rPr>
        </w:r>
        <w:r w:rsidR="000518DD">
          <w:rPr>
            <w:noProof/>
            <w:webHidden/>
          </w:rPr>
          <w:fldChar w:fldCharType="separate"/>
        </w:r>
        <w:r w:rsidR="00A276D5">
          <w:rPr>
            <w:noProof/>
            <w:webHidden/>
          </w:rPr>
          <w:t>32</w:t>
        </w:r>
        <w:r w:rsidR="000518DD">
          <w:rPr>
            <w:noProof/>
            <w:webHidden/>
          </w:rPr>
          <w:fldChar w:fldCharType="end"/>
        </w:r>
      </w:hyperlink>
    </w:p>
    <w:p w14:paraId="43BFE267" w14:textId="1AAEA123" w:rsidR="000518DD" w:rsidRDefault="008F5B7C">
      <w:pPr>
        <w:pStyle w:val="TOC2"/>
        <w:tabs>
          <w:tab w:val="right" w:leader="dot" w:pos="9016"/>
        </w:tabs>
        <w:rPr>
          <w:rFonts w:eastAsiaTheme="minorEastAsia"/>
          <w:noProof/>
          <w:lang w:eastAsia="en-AU"/>
        </w:rPr>
      </w:pPr>
      <w:hyperlink w:anchor="_Toc96348288" w:history="1">
        <w:r w:rsidR="000518DD" w:rsidRPr="00D97E5C">
          <w:rPr>
            <w:rStyle w:val="Hyperlink"/>
            <w:noProof/>
          </w:rPr>
          <w:t>Defined entities</w:t>
        </w:r>
        <w:r w:rsidR="00D51FF3">
          <w:rPr>
            <w:rStyle w:val="Hyperlink"/>
            <w:noProof/>
          </w:rPr>
          <w:t>’</w:t>
        </w:r>
        <w:r w:rsidR="000518DD" w:rsidRPr="00D97E5C">
          <w:rPr>
            <w:rStyle w:val="Hyperlink"/>
            <w:noProof/>
          </w:rPr>
          <w:t xml:space="preserve"> different support and educational needs</w:t>
        </w:r>
        <w:r w:rsidR="000518DD">
          <w:rPr>
            <w:noProof/>
            <w:webHidden/>
          </w:rPr>
          <w:tab/>
        </w:r>
        <w:r w:rsidR="000518DD">
          <w:rPr>
            <w:noProof/>
            <w:webHidden/>
          </w:rPr>
          <w:fldChar w:fldCharType="begin"/>
        </w:r>
        <w:r w:rsidR="000518DD">
          <w:rPr>
            <w:noProof/>
            <w:webHidden/>
          </w:rPr>
          <w:instrText xml:space="preserve"> PAGEREF _Toc96348288 \h </w:instrText>
        </w:r>
        <w:r w:rsidR="000518DD">
          <w:rPr>
            <w:noProof/>
            <w:webHidden/>
          </w:rPr>
        </w:r>
        <w:r w:rsidR="000518DD">
          <w:rPr>
            <w:noProof/>
            <w:webHidden/>
          </w:rPr>
          <w:fldChar w:fldCharType="separate"/>
        </w:r>
        <w:r w:rsidR="00A276D5">
          <w:rPr>
            <w:noProof/>
            <w:webHidden/>
          </w:rPr>
          <w:t>32</w:t>
        </w:r>
        <w:r w:rsidR="000518DD">
          <w:rPr>
            <w:noProof/>
            <w:webHidden/>
          </w:rPr>
          <w:fldChar w:fldCharType="end"/>
        </w:r>
      </w:hyperlink>
    </w:p>
    <w:p w14:paraId="335D6B6D" w14:textId="19397F94" w:rsidR="000518DD" w:rsidRDefault="008F5B7C">
      <w:pPr>
        <w:pStyle w:val="TOC2"/>
        <w:tabs>
          <w:tab w:val="right" w:leader="dot" w:pos="9016"/>
        </w:tabs>
        <w:rPr>
          <w:rFonts w:eastAsiaTheme="minorEastAsia"/>
          <w:noProof/>
          <w:lang w:eastAsia="en-AU"/>
        </w:rPr>
      </w:pPr>
      <w:hyperlink w:anchor="_Toc96348289" w:history="1">
        <w:r w:rsidR="000518DD" w:rsidRPr="00D97E5C">
          <w:rPr>
            <w:rStyle w:val="Hyperlink"/>
            <w:noProof/>
          </w:rPr>
          <w:t>Foundations of recommendations</w:t>
        </w:r>
        <w:r w:rsidR="000518DD">
          <w:rPr>
            <w:noProof/>
            <w:webHidden/>
          </w:rPr>
          <w:tab/>
        </w:r>
        <w:r w:rsidR="000518DD">
          <w:rPr>
            <w:noProof/>
            <w:webHidden/>
          </w:rPr>
          <w:fldChar w:fldCharType="begin"/>
        </w:r>
        <w:r w:rsidR="000518DD">
          <w:rPr>
            <w:noProof/>
            <w:webHidden/>
          </w:rPr>
          <w:instrText xml:space="preserve"> PAGEREF _Toc96348289 \h </w:instrText>
        </w:r>
        <w:r w:rsidR="000518DD">
          <w:rPr>
            <w:noProof/>
            <w:webHidden/>
          </w:rPr>
        </w:r>
        <w:r w:rsidR="000518DD">
          <w:rPr>
            <w:noProof/>
            <w:webHidden/>
          </w:rPr>
          <w:fldChar w:fldCharType="separate"/>
        </w:r>
        <w:r w:rsidR="00A276D5">
          <w:rPr>
            <w:noProof/>
            <w:webHidden/>
          </w:rPr>
          <w:t>33</w:t>
        </w:r>
        <w:r w:rsidR="000518DD">
          <w:rPr>
            <w:noProof/>
            <w:webHidden/>
          </w:rPr>
          <w:fldChar w:fldCharType="end"/>
        </w:r>
      </w:hyperlink>
    </w:p>
    <w:p w14:paraId="21EEFE8E" w14:textId="29512AB1" w:rsidR="000518DD" w:rsidRDefault="008F5B7C">
      <w:pPr>
        <w:pStyle w:val="TOC3"/>
        <w:tabs>
          <w:tab w:val="right" w:leader="dot" w:pos="9016"/>
        </w:tabs>
        <w:rPr>
          <w:rFonts w:eastAsiaTheme="minorEastAsia"/>
          <w:noProof/>
          <w:lang w:eastAsia="en-AU"/>
        </w:rPr>
      </w:pPr>
      <w:hyperlink w:anchor="_Toc96348290" w:history="1">
        <w:r w:rsidR="000518DD" w:rsidRPr="00D97E5C">
          <w:rPr>
            <w:rStyle w:val="Hyperlink"/>
            <w:noProof/>
          </w:rPr>
          <w:t>Continuum of readiness for a GIA and transformational change</w:t>
        </w:r>
        <w:r w:rsidR="000518DD">
          <w:rPr>
            <w:noProof/>
            <w:webHidden/>
          </w:rPr>
          <w:tab/>
        </w:r>
        <w:r w:rsidR="000518DD">
          <w:rPr>
            <w:noProof/>
            <w:webHidden/>
          </w:rPr>
          <w:fldChar w:fldCharType="begin"/>
        </w:r>
        <w:r w:rsidR="000518DD">
          <w:rPr>
            <w:noProof/>
            <w:webHidden/>
          </w:rPr>
          <w:instrText xml:space="preserve"> PAGEREF _Toc96348290 \h </w:instrText>
        </w:r>
        <w:r w:rsidR="000518DD">
          <w:rPr>
            <w:noProof/>
            <w:webHidden/>
          </w:rPr>
        </w:r>
        <w:r w:rsidR="000518DD">
          <w:rPr>
            <w:noProof/>
            <w:webHidden/>
          </w:rPr>
          <w:fldChar w:fldCharType="separate"/>
        </w:r>
        <w:r w:rsidR="00A276D5">
          <w:rPr>
            <w:noProof/>
            <w:webHidden/>
          </w:rPr>
          <w:t>34</w:t>
        </w:r>
        <w:r w:rsidR="000518DD">
          <w:rPr>
            <w:noProof/>
            <w:webHidden/>
          </w:rPr>
          <w:fldChar w:fldCharType="end"/>
        </w:r>
      </w:hyperlink>
    </w:p>
    <w:p w14:paraId="68A84BC6" w14:textId="026A9B9E" w:rsidR="000518DD" w:rsidRDefault="008F5B7C">
      <w:pPr>
        <w:pStyle w:val="TOC3"/>
        <w:tabs>
          <w:tab w:val="right" w:leader="dot" w:pos="9016"/>
        </w:tabs>
        <w:rPr>
          <w:rFonts w:eastAsiaTheme="minorEastAsia"/>
          <w:noProof/>
          <w:lang w:eastAsia="en-AU"/>
        </w:rPr>
      </w:pPr>
      <w:hyperlink w:anchor="_Toc96348291" w:history="1">
        <w:r w:rsidR="000518DD" w:rsidRPr="00D97E5C">
          <w:rPr>
            <w:rStyle w:val="Hyperlink"/>
            <w:noProof/>
          </w:rPr>
          <w:t>The value placed on gender equality skills, knowledge</w:t>
        </w:r>
        <w:r w:rsidR="00D51FF3">
          <w:rPr>
            <w:rStyle w:val="Hyperlink"/>
            <w:noProof/>
          </w:rPr>
          <w:t>,</w:t>
        </w:r>
        <w:r w:rsidR="000518DD" w:rsidRPr="00D97E5C">
          <w:rPr>
            <w:rStyle w:val="Hyperlink"/>
            <w:noProof/>
          </w:rPr>
          <w:t xml:space="preserve"> and activity</w:t>
        </w:r>
        <w:r w:rsidR="000518DD">
          <w:rPr>
            <w:noProof/>
            <w:webHidden/>
          </w:rPr>
          <w:tab/>
        </w:r>
        <w:r w:rsidR="000518DD">
          <w:rPr>
            <w:noProof/>
            <w:webHidden/>
          </w:rPr>
          <w:fldChar w:fldCharType="begin"/>
        </w:r>
        <w:r w:rsidR="000518DD">
          <w:rPr>
            <w:noProof/>
            <w:webHidden/>
          </w:rPr>
          <w:instrText xml:space="preserve"> PAGEREF _Toc96348291 \h </w:instrText>
        </w:r>
        <w:r w:rsidR="000518DD">
          <w:rPr>
            <w:noProof/>
            <w:webHidden/>
          </w:rPr>
        </w:r>
        <w:r w:rsidR="000518DD">
          <w:rPr>
            <w:noProof/>
            <w:webHidden/>
          </w:rPr>
          <w:fldChar w:fldCharType="separate"/>
        </w:r>
        <w:r w:rsidR="00A276D5">
          <w:rPr>
            <w:noProof/>
            <w:webHidden/>
          </w:rPr>
          <w:t>35</w:t>
        </w:r>
        <w:r w:rsidR="000518DD">
          <w:rPr>
            <w:noProof/>
            <w:webHidden/>
          </w:rPr>
          <w:fldChar w:fldCharType="end"/>
        </w:r>
      </w:hyperlink>
    </w:p>
    <w:p w14:paraId="1B6FE1FE" w14:textId="1CD93547" w:rsidR="000518DD" w:rsidRDefault="008F5B7C">
      <w:pPr>
        <w:pStyle w:val="TOC3"/>
        <w:tabs>
          <w:tab w:val="right" w:leader="dot" w:pos="9016"/>
        </w:tabs>
        <w:rPr>
          <w:rFonts w:eastAsiaTheme="minorEastAsia"/>
          <w:noProof/>
          <w:lang w:eastAsia="en-AU"/>
        </w:rPr>
      </w:pPr>
      <w:hyperlink w:anchor="_Toc96348292" w:history="1">
        <w:r w:rsidR="000518DD" w:rsidRPr="00D97E5C">
          <w:rPr>
            <w:rStyle w:val="Hyperlink"/>
            <w:rFonts w:eastAsia="Times New Roman"/>
            <w:noProof/>
          </w:rPr>
          <w:t>Role of the regulator – The Commission and the Commissioner</w:t>
        </w:r>
        <w:r w:rsidR="000518DD">
          <w:rPr>
            <w:noProof/>
            <w:webHidden/>
          </w:rPr>
          <w:tab/>
        </w:r>
        <w:r w:rsidR="000518DD">
          <w:rPr>
            <w:noProof/>
            <w:webHidden/>
          </w:rPr>
          <w:fldChar w:fldCharType="begin"/>
        </w:r>
        <w:r w:rsidR="000518DD">
          <w:rPr>
            <w:noProof/>
            <w:webHidden/>
          </w:rPr>
          <w:instrText xml:space="preserve"> PAGEREF _Toc96348292 \h </w:instrText>
        </w:r>
        <w:r w:rsidR="000518DD">
          <w:rPr>
            <w:noProof/>
            <w:webHidden/>
          </w:rPr>
        </w:r>
        <w:r w:rsidR="000518DD">
          <w:rPr>
            <w:noProof/>
            <w:webHidden/>
          </w:rPr>
          <w:fldChar w:fldCharType="separate"/>
        </w:r>
        <w:r w:rsidR="00A276D5">
          <w:rPr>
            <w:noProof/>
            <w:webHidden/>
          </w:rPr>
          <w:t>36</w:t>
        </w:r>
        <w:r w:rsidR="000518DD">
          <w:rPr>
            <w:noProof/>
            <w:webHidden/>
          </w:rPr>
          <w:fldChar w:fldCharType="end"/>
        </w:r>
      </w:hyperlink>
    </w:p>
    <w:p w14:paraId="2E3D98CD" w14:textId="76D4047C" w:rsidR="000518DD" w:rsidRDefault="008F5B7C">
      <w:pPr>
        <w:pStyle w:val="TOC1"/>
        <w:tabs>
          <w:tab w:val="right" w:leader="dot" w:pos="9016"/>
        </w:tabs>
        <w:rPr>
          <w:rFonts w:eastAsiaTheme="minorEastAsia"/>
          <w:noProof/>
          <w:lang w:eastAsia="en-AU"/>
        </w:rPr>
      </w:pPr>
      <w:hyperlink w:anchor="_Toc96348293" w:history="1">
        <w:r w:rsidR="000518DD" w:rsidRPr="00D97E5C">
          <w:rPr>
            <w:rStyle w:val="Hyperlink"/>
            <w:rFonts w:eastAsia="Times New Roman"/>
            <w:noProof/>
          </w:rPr>
          <w:t>Conclusions and recommendations</w:t>
        </w:r>
        <w:r w:rsidR="000518DD">
          <w:rPr>
            <w:noProof/>
            <w:webHidden/>
          </w:rPr>
          <w:tab/>
        </w:r>
        <w:r w:rsidR="000518DD">
          <w:rPr>
            <w:noProof/>
            <w:webHidden/>
          </w:rPr>
          <w:fldChar w:fldCharType="begin"/>
        </w:r>
        <w:r w:rsidR="000518DD">
          <w:rPr>
            <w:noProof/>
            <w:webHidden/>
          </w:rPr>
          <w:instrText xml:space="preserve"> PAGEREF _Toc96348293 \h </w:instrText>
        </w:r>
        <w:r w:rsidR="000518DD">
          <w:rPr>
            <w:noProof/>
            <w:webHidden/>
          </w:rPr>
        </w:r>
        <w:r w:rsidR="000518DD">
          <w:rPr>
            <w:noProof/>
            <w:webHidden/>
          </w:rPr>
          <w:fldChar w:fldCharType="separate"/>
        </w:r>
        <w:r w:rsidR="00A276D5">
          <w:rPr>
            <w:noProof/>
            <w:webHidden/>
          </w:rPr>
          <w:t>38</w:t>
        </w:r>
        <w:r w:rsidR="000518DD">
          <w:rPr>
            <w:noProof/>
            <w:webHidden/>
          </w:rPr>
          <w:fldChar w:fldCharType="end"/>
        </w:r>
      </w:hyperlink>
    </w:p>
    <w:p w14:paraId="0C1BCDE9" w14:textId="75B10711" w:rsidR="000518DD" w:rsidRDefault="008F5B7C">
      <w:pPr>
        <w:pStyle w:val="TOC2"/>
        <w:tabs>
          <w:tab w:val="right" w:leader="dot" w:pos="9016"/>
        </w:tabs>
        <w:rPr>
          <w:rFonts w:eastAsiaTheme="minorEastAsia"/>
          <w:noProof/>
          <w:lang w:eastAsia="en-AU"/>
        </w:rPr>
      </w:pPr>
      <w:hyperlink w:anchor="_Toc96348294" w:history="1">
        <w:r w:rsidR="000518DD" w:rsidRPr="00D97E5C">
          <w:rPr>
            <w:rStyle w:val="Hyperlink"/>
            <w:noProof/>
          </w:rPr>
          <w:t>Conclusions</w:t>
        </w:r>
        <w:r w:rsidR="000518DD">
          <w:rPr>
            <w:noProof/>
            <w:webHidden/>
          </w:rPr>
          <w:tab/>
        </w:r>
        <w:r w:rsidR="000518DD">
          <w:rPr>
            <w:noProof/>
            <w:webHidden/>
          </w:rPr>
          <w:fldChar w:fldCharType="begin"/>
        </w:r>
        <w:r w:rsidR="000518DD">
          <w:rPr>
            <w:noProof/>
            <w:webHidden/>
          </w:rPr>
          <w:instrText xml:space="preserve"> PAGEREF _Toc96348294 \h </w:instrText>
        </w:r>
        <w:r w:rsidR="000518DD">
          <w:rPr>
            <w:noProof/>
            <w:webHidden/>
          </w:rPr>
        </w:r>
        <w:r w:rsidR="000518DD">
          <w:rPr>
            <w:noProof/>
            <w:webHidden/>
          </w:rPr>
          <w:fldChar w:fldCharType="separate"/>
        </w:r>
        <w:r w:rsidR="00A276D5">
          <w:rPr>
            <w:noProof/>
            <w:webHidden/>
          </w:rPr>
          <w:t>38</w:t>
        </w:r>
        <w:r w:rsidR="000518DD">
          <w:rPr>
            <w:noProof/>
            <w:webHidden/>
          </w:rPr>
          <w:fldChar w:fldCharType="end"/>
        </w:r>
      </w:hyperlink>
    </w:p>
    <w:p w14:paraId="21B72A87" w14:textId="0DA504C0" w:rsidR="000518DD" w:rsidRDefault="008F5B7C">
      <w:pPr>
        <w:pStyle w:val="TOC2"/>
        <w:tabs>
          <w:tab w:val="right" w:leader="dot" w:pos="9016"/>
        </w:tabs>
        <w:rPr>
          <w:rFonts w:eastAsiaTheme="minorEastAsia"/>
          <w:noProof/>
          <w:lang w:eastAsia="en-AU"/>
        </w:rPr>
      </w:pPr>
      <w:hyperlink w:anchor="_Toc96348295" w:history="1">
        <w:r w:rsidR="000518DD" w:rsidRPr="00D97E5C">
          <w:rPr>
            <w:rStyle w:val="Hyperlink"/>
            <w:noProof/>
          </w:rPr>
          <w:t>Recommendations</w:t>
        </w:r>
        <w:r w:rsidR="000518DD">
          <w:rPr>
            <w:noProof/>
            <w:webHidden/>
          </w:rPr>
          <w:tab/>
        </w:r>
        <w:r w:rsidR="000518DD">
          <w:rPr>
            <w:noProof/>
            <w:webHidden/>
          </w:rPr>
          <w:fldChar w:fldCharType="begin"/>
        </w:r>
        <w:r w:rsidR="000518DD">
          <w:rPr>
            <w:noProof/>
            <w:webHidden/>
          </w:rPr>
          <w:instrText xml:space="preserve"> PAGEREF _Toc96348295 \h </w:instrText>
        </w:r>
        <w:r w:rsidR="000518DD">
          <w:rPr>
            <w:noProof/>
            <w:webHidden/>
          </w:rPr>
        </w:r>
        <w:r w:rsidR="000518DD">
          <w:rPr>
            <w:noProof/>
            <w:webHidden/>
          </w:rPr>
          <w:fldChar w:fldCharType="separate"/>
        </w:r>
        <w:r w:rsidR="00A276D5">
          <w:rPr>
            <w:noProof/>
            <w:webHidden/>
          </w:rPr>
          <w:t>38</w:t>
        </w:r>
        <w:r w:rsidR="000518DD">
          <w:rPr>
            <w:noProof/>
            <w:webHidden/>
          </w:rPr>
          <w:fldChar w:fldCharType="end"/>
        </w:r>
      </w:hyperlink>
    </w:p>
    <w:p w14:paraId="71B2D344" w14:textId="34F04F33" w:rsidR="0001450A" w:rsidRDefault="00A80637">
      <w:pPr>
        <w:rPr>
          <w:rFonts w:ascii="Calibri Light" w:eastAsia="Times New Roman" w:hAnsi="Calibri Light" w:cs="Times New Roman"/>
          <w:color w:val="404040"/>
          <w:sz w:val="30"/>
          <w:szCs w:val="30"/>
        </w:rPr>
      </w:pPr>
      <w:r>
        <w:rPr>
          <w:rFonts w:ascii="Calibri Light" w:eastAsia="Times New Roman" w:hAnsi="Calibri Light" w:cs="Times New Roman"/>
          <w:color w:val="404040"/>
          <w:sz w:val="30"/>
          <w:szCs w:val="30"/>
        </w:rPr>
        <w:fldChar w:fldCharType="end"/>
      </w:r>
    </w:p>
    <w:p w14:paraId="6B36A5E0" w14:textId="311C990F" w:rsidR="006712E4" w:rsidRDefault="006712E4">
      <w:pPr>
        <w:rPr>
          <w:rFonts w:ascii="Calibri Light" w:eastAsia="Times New Roman" w:hAnsi="Calibri Light" w:cs="Times New Roman"/>
          <w:color w:val="404040"/>
          <w:sz w:val="30"/>
          <w:szCs w:val="30"/>
        </w:rPr>
      </w:pPr>
    </w:p>
    <w:p w14:paraId="38B36C98" w14:textId="77777777" w:rsidR="00C25580" w:rsidRDefault="00C25580">
      <w:pPr>
        <w:rPr>
          <w:rFonts w:asciiTheme="majorHAnsi" w:eastAsia="Times New Roman" w:hAnsiTheme="majorHAnsi" w:cstheme="majorBidi"/>
          <w:spacing w:val="-10"/>
          <w:kern w:val="28"/>
          <w:sz w:val="56"/>
          <w:szCs w:val="56"/>
        </w:rPr>
      </w:pPr>
      <w:bookmarkStart w:id="0" w:name="_Toc96348267"/>
      <w:r>
        <w:rPr>
          <w:rFonts w:eastAsia="Times New Roman"/>
        </w:rPr>
        <w:br w:type="page"/>
      </w:r>
    </w:p>
    <w:p w14:paraId="30F8EFA7" w14:textId="0EB7B550" w:rsidR="0001450A" w:rsidRDefault="0001450A" w:rsidP="0001450A">
      <w:pPr>
        <w:pStyle w:val="Title"/>
        <w:rPr>
          <w:rFonts w:eastAsia="Times New Roman"/>
        </w:rPr>
      </w:pPr>
      <w:r>
        <w:rPr>
          <w:rFonts w:eastAsia="Times New Roman"/>
        </w:rPr>
        <w:lastRenderedPageBreak/>
        <w:t xml:space="preserve">Executive </w:t>
      </w:r>
      <w:r w:rsidR="00F9169E">
        <w:rPr>
          <w:rFonts w:eastAsia="Times New Roman"/>
        </w:rPr>
        <w:t>s</w:t>
      </w:r>
      <w:r>
        <w:rPr>
          <w:rFonts w:eastAsia="Times New Roman"/>
        </w:rPr>
        <w:t>ummary</w:t>
      </w:r>
      <w:bookmarkEnd w:id="0"/>
    </w:p>
    <w:p w14:paraId="7BB79C19" w14:textId="2435477A" w:rsidR="0001450A" w:rsidRPr="002B22DA" w:rsidRDefault="0001450A"/>
    <w:p w14:paraId="7E2AEBE3" w14:textId="2DF81365" w:rsidR="0001450A" w:rsidRDefault="002B22DA" w:rsidP="004346DB">
      <w:pPr>
        <w:jc w:val="both"/>
      </w:pPr>
      <w:r w:rsidRPr="002B22DA">
        <w:t>The process to undertake a gender impact assessment</w:t>
      </w:r>
      <w:r w:rsidR="00363AE3">
        <w:t xml:space="preserve"> (GIA)</w:t>
      </w:r>
      <w:r w:rsidR="00593621">
        <w:t xml:space="preserve"> is one of four </w:t>
      </w:r>
      <w:r w:rsidR="00C10331">
        <w:t>‘</w:t>
      </w:r>
      <w:r w:rsidR="004346DB">
        <w:t>foundation stones</w:t>
      </w:r>
      <w:r w:rsidR="00C10331">
        <w:t>’</w:t>
      </w:r>
      <w:r w:rsidRPr="002B22DA">
        <w:t xml:space="preserve"> that the Victorian </w:t>
      </w:r>
      <w:r w:rsidRPr="00AB666F">
        <w:rPr>
          <w:i/>
          <w:iCs/>
        </w:rPr>
        <w:t>Gender Equality Act</w:t>
      </w:r>
      <w:r w:rsidR="00363AE3">
        <w:rPr>
          <w:i/>
          <w:iCs/>
        </w:rPr>
        <w:t xml:space="preserve"> 2020</w:t>
      </w:r>
      <w:r w:rsidR="004346DB">
        <w:t xml:space="preserve"> </w:t>
      </w:r>
      <w:r w:rsidR="00363AE3">
        <w:t xml:space="preserve">(GE Act) </w:t>
      </w:r>
      <w:r w:rsidR="004346DB">
        <w:t>will deliver</w:t>
      </w:r>
      <w:r w:rsidRPr="002B22DA">
        <w:t xml:space="preserve"> </w:t>
      </w:r>
      <w:r w:rsidR="00BF1C53">
        <w:t xml:space="preserve">to achieve </w:t>
      </w:r>
      <w:r w:rsidRPr="002B22DA">
        <w:t>transformational outcomes for all Victorians.</w:t>
      </w:r>
      <w:r>
        <w:t xml:space="preserve"> </w:t>
      </w:r>
      <w:r w:rsidR="00593621">
        <w:t>The other</w:t>
      </w:r>
      <w:r w:rsidR="009C0F6C">
        <w:t xml:space="preserve"> three are undertaking Gender Equality Action Plan</w:t>
      </w:r>
      <w:r w:rsidR="00E30994">
        <w:t>s</w:t>
      </w:r>
      <w:r w:rsidR="00363AE3">
        <w:t xml:space="preserve"> (GEAPs)</w:t>
      </w:r>
      <w:r w:rsidR="009C0F6C">
        <w:t>, the positive duty to promote gender equality</w:t>
      </w:r>
      <w:r w:rsidR="00363AE3">
        <w:t>,</w:t>
      </w:r>
      <w:r w:rsidR="009C0F6C">
        <w:t xml:space="preserve"> and reporting on progress. However, all four must work in concert together</w:t>
      </w:r>
      <w:r w:rsidR="00245D30">
        <w:t>.</w:t>
      </w:r>
    </w:p>
    <w:p w14:paraId="75A8CC9B" w14:textId="0C7C4EE8" w:rsidR="00245D30" w:rsidRDefault="00245D30" w:rsidP="00245D30">
      <w:pPr>
        <w:jc w:val="both"/>
      </w:pPr>
      <w:r>
        <w:t>The Action for Gender Equality Partnership (AGEP) worked from December 2021 to end January 2022 to engage with defined entities across the Victorian Public Sector to understand what key barriers and enablers there are to advancing the work of undertaking GIA</w:t>
      </w:r>
      <w:r w:rsidR="00C10D3A">
        <w:t>s</w:t>
      </w:r>
      <w:r>
        <w:t>. The project heard some 497 points of view across survey, interviews, and focus groups.</w:t>
      </w:r>
    </w:p>
    <w:p w14:paraId="635F133A" w14:textId="07A28238" w:rsidR="004346DB" w:rsidRDefault="00513676" w:rsidP="004346DB">
      <w:pPr>
        <w:jc w:val="both"/>
      </w:pPr>
      <w:r>
        <w:t>It is evident there is a</w:t>
      </w:r>
      <w:r w:rsidR="004346DB">
        <w:t xml:space="preserve"> tension </w:t>
      </w:r>
      <w:r w:rsidR="00513BC4">
        <w:t xml:space="preserve">in the work </w:t>
      </w:r>
      <w:r w:rsidR="004346DB">
        <w:t>currently underway to implement GIA</w:t>
      </w:r>
      <w:r w:rsidR="00C10D3A">
        <w:t>s</w:t>
      </w:r>
      <w:r w:rsidR="004346DB">
        <w:t xml:space="preserve"> across defined entities. That is, implementation is consciously about encouraging and supporting defined entities </w:t>
      </w:r>
      <w:r w:rsidR="00C10D3A">
        <w:t xml:space="preserve">to </w:t>
      </w:r>
      <w:r w:rsidR="004346DB">
        <w:t>meet the regulatory requirement of GIA</w:t>
      </w:r>
      <w:r w:rsidR="00C10D3A">
        <w:t>s</w:t>
      </w:r>
      <w:r w:rsidR="004346DB">
        <w:t>, rather than an approach that would be more compliance</w:t>
      </w:r>
      <w:r w:rsidR="00C10D3A">
        <w:t>-</w:t>
      </w:r>
      <w:r w:rsidR="004346DB">
        <w:t xml:space="preserve">based. This report has found that while this approach does have a more sustainable outcome for systemic and structural capability, there are some </w:t>
      </w:r>
      <w:r w:rsidR="00B7603A">
        <w:t xml:space="preserve">capacity and capability </w:t>
      </w:r>
      <w:r w:rsidR="004346DB">
        <w:t xml:space="preserve">realities that </w:t>
      </w:r>
      <w:r w:rsidR="00B7603A">
        <w:t>need to be addressed first</w:t>
      </w:r>
      <w:r w:rsidR="004346DB">
        <w:t xml:space="preserve">. </w:t>
      </w:r>
    </w:p>
    <w:p w14:paraId="6670C556" w14:textId="0EA0AEF3" w:rsidR="006054EF" w:rsidRDefault="006054EF" w:rsidP="004346DB">
      <w:pPr>
        <w:jc w:val="both"/>
      </w:pPr>
      <w:r>
        <w:t>This report provides information on the research undertaken for the project, the themes emerging</w:t>
      </w:r>
      <w:r w:rsidR="00C10D3A">
        <w:t>,</w:t>
      </w:r>
      <w:r>
        <w:t xml:space="preserve"> and puts forward some strategic observations on the characteristics of those defined entities that are successfully undertaking GIA</w:t>
      </w:r>
      <w:r w:rsidR="00C10D3A">
        <w:t>s</w:t>
      </w:r>
      <w:r>
        <w:t xml:space="preserve">, and those that are not. It also puts forward a set of recommendations for CGEPS to consider and implement to respond to the themes in the feedback. </w:t>
      </w:r>
    </w:p>
    <w:p w14:paraId="6EDF568B" w14:textId="45644990" w:rsidR="00566C05" w:rsidRPr="00794A2C" w:rsidRDefault="00566C05" w:rsidP="00566C05">
      <w:pPr>
        <w:jc w:val="both"/>
        <w:rPr>
          <w:b/>
          <w:bCs/>
        </w:rPr>
      </w:pPr>
      <w:r w:rsidRPr="00794A2C">
        <w:rPr>
          <w:b/>
          <w:bCs/>
        </w:rPr>
        <w:t xml:space="preserve">Impact of COVID – Resources pulled from GE Act </w:t>
      </w:r>
      <w:r w:rsidR="00C10D3A">
        <w:rPr>
          <w:b/>
          <w:bCs/>
        </w:rPr>
        <w:t>w</w:t>
      </w:r>
      <w:r w:rsidRPr="00794A2C">
        <w:rPr>
          <w:b/>
          <w:bCs/>
        </w:rPr>
        <w:t>ork</w:t>
      </w:r>
    </w:p>
    <w:p w14:paraId="09080F1B" w14:textId="661A0ACB" w:rsidR="00566C05" w:rsidRPr="006D0D1E" w:rsidRDefault="00566C05" w:rsidP="00566C05">
      <w:pPr>
        <w:jc w:val="both"/>
      </w:pPr>
      <w:r>
        <w:t>Perhaps unsurprising</w:t>
      </w:r>
      <w:r w:rsidR="00C10D3A">
        <w:t>ly</w:t>
      </w:r>
      <w:r>
        <w:t xml:space="preserve"> for this moment in history, one key narrative in the report is the significant impact of COVID. Many workers who were implementing the GIA processes talked of being pulled off the GE Act work to other priorities</w:t>
      </w:r>
      <w:r w:rsidR="00C10D3A">
        <w:t>.</w:t>
      </w:r>
      <w:r>
        <w:t xml:space="preserve"> </w:t>
      </w:r>
      <w:r w:rsidR="00C10D3A">
        <w:t>T</w:t>
      </w:r>
      <w:r>
        <w:t xml:space="preserve">his was especially true for any respondent to this project in </w:t>
      </w:r>
      <w:r w:rsidR="00C10D3A">
        <w:t>the h</w:t>
      </w:r>
      <w:r>
        <w:t>ealth</w:t>
      </w:r>
      <w:r w:rsidR="00C10D3A">
        <w:t xml:space="preserve"> sector</w:t>
      </w:r>
      <w:r>
        <w:t xml:space="preserve">.  </w:t>
      </w:r>
    </w:p>
    <w:p w14:paraId="20F2BA8B" w14:textId="101CEC16" w:rsidR="00566C05" w:rsidRPr="00E62ED4" w:rsidRDefault="00566C05" w:rsidP="00566C05">
      <w:pPr>
        <w:jc w:val="both"/>
        <w:rPr>
          <w:b/>
          <w:bCs/>
        </w:rPr>
      </w:pPr>
      <w:r w:rsidRPr="00E62ED4">
        <w:rPr>
          <w:b/>
          <w:bCs/>
        </w:rPr>
        <w:t>GIA</w:t>
      </w:r>
      <w:r w:rsidR="00C10D3A">
        <w:rPr>
          <w:b/>
          <w:bCs/>
        </w:rPr>
        <w:t>s</w:t>
      </w:r>
      <w:r w:rsidRPr="00E62ED4">
        <w:rPr>
          <w:b/>
          <w:bCs/>
        </w:rPr>
        <w:t xml:space="preserve"> not </w:t>
      </w:r>
      <w:r w:rsidR="00C10D3A">
        <w:rPr>
          <w:b/>
          <w:bCs/>
        </w:rPr>
        <w:t>r</w:t>
      </w:r>
      <w:r w:rsidRPr="00E62ED4">
        <w:rPr>
          <w:b/>
          <w:bCs/>
        </w:rPr>
        <w:t>esourced</w:t>
      </w:r>
    </w:p>
    <w:p w14:paraId="248CF8B4" w14:textId="62EAF116" w:rsidR="00566C05" w:rsidRDefault="00566C05" w:rsidP="00566C05">
      <w:pPr>
        <w:jc w:val="both"/>
      </w:pPr>
      <w:r>
        <w:t>A factor underpinning the feedback through this project is a lack of resources across defined entities to undertake GIA work.</w:t>
      </w:r>
      <w:r w:rsidR="00526685">
        <w:t xml:space="preserve"> Consistently the authors heard about lack of time, lack of access to expertise</w:t>
      </w:r>
      <w:r w:rsidR="00C10D3A">
        <w:t>,</w:t>
      </w:r>
      <w:r w:rsidR="00526685">
        <w:t xml:space="preserve"> and lack of resources.</w:t>
      </w:r>
    </w:p>
    <w:p w14:paraId="1AEB1A33" w14:textId="6C9A8F29" w:rsidR="00566C05" w:rsidRDefault="00566C05" w:rsidP="00566C05">
      <w:pPr>
        <w:jc w:val="both"/>
      </w:pPr>
      <w:r>
        <w:t>It was clear from the feedback across all sectors that many staff operate in a way that is a) isolated from business strategy (therefore missing out on GIA opportunities)</w:t>
      </w:r>
      <w:r w:rsidR="00C10D3A">
        <w:t>;</w:t>
      </w:r>
      <w:r>
        <w:t xml:space="preserve"> and/or b) GIA activity is an add</w:t>
      </w:r>
      <w:r w:rsidR="00C10D3A">
        <w:t>-</w:t>
      </w:r>
      <w:r>
        <w:t>on to a staff member</w:t>
      </w:r>
      <w:r w:rsidR="00C10D3A">
        <w:t>’</w:t>
      </w:r>
      <w:r>
        <w:t xml:space="preserve">s </w:t>
      </w:r>
      <w:r w:rsidR="00C10331">
        <w:t>‘</w:t>
      </w:r>
      <w:r>
        <w:t>main job</w:t>
      </w:r>
      <w:r w:rsidR="00C10331">
        <w:t>’</w:t>
      </w:r>
      <w:r w:rsidR="00C10D3A">
        <w:t>;</w:t>
      </w:r>
      <w:r>
        <w:t xml:space="preserve"> and/or c) GIA process</w:t>
      </w:r>
      <w:r w:rsidR="00C10D3A">
        <w:t>es</w:t>
      </w:r>
      <w:r>
        <w:t xml:space="preserve"> are occurring in a context where there is low organisational knowledge about GIA</w:t>
      </w:r>
      <w:r w:rsidR="00C10D3A">
        <w:t>s</w:t>
      </w:r>
      <w:r>
        <w:t xml:space="preserve"> and/or the benefits of gender equality. </w:t>
      </w:r>
    </w:p>
    <w:p w14:paraId="5509EA98" w14:textId="697DFB2E" w:rsidR="00FE3BF8" w:rsidRPr="00FE3BF8" w:rsidRDefault="00FE3BF8" w:rsidP="004346DB">
      <w:pPr>
        <w:jc w:val="both"/>
        <w:rPr>
          <w:b/>
          <w:bCs/>
        </w:rPr>
      </w:pPr>
      <w:r w:rsidRPr="00FE3BF8">
        <w:rPr>
          <w:b/>
          <w:bCs/>
        </w:rPr>
        <w:t>Support for GIA</w:t>
      </w:r>
      <w:r w:rsidR="00A11DE1">
        <w:rPr>
          <w:b/>
          <w:bCs/>
        </w:rPr>
        <w:t>s</w:t>
      </w:r>
      <w:r w:rsidRPr="00FE3BF8">
        <w:rPr>
          <w:b/>
          <w:bCs/>
        </w:rPr>
        <w:t xml:space="preserve"> and the Commission </w:t>
      </w:r>
    </w:p>
    <w:p w14:paraId="7B865087" w14:textId="157BAF35" w:rsidR="002C0067" w:rsidRDefault="00123727" w:rsidP="004346DB">
      <w:pPr>
        <w:jc w:val="both"/>
      </w:pPr>
      <w:r>
        <w:t>Given the challenges, it is important to note that t</w:t>
      </w:r>
      <w:r w:rsidR="00C3091B">
        <w:t>here</w:t>
      </w:r>
      <w:r w:rsidR="0042208C">
        <w:t xml:space="preserve"> is broad, deep support for GIA</w:t>
      </w:r>
      <w:r w:rsidR="00A11DE1">
        <w:t>s,</w:t>
      </w:r>
      <w:r w:rsidR="0042208C">
        <w:t xml:space="preserve"> and </w:t>
      </w:r>
      <w:r w:rsidR="00A5655A">
        <w:t xml:space="preserve">a </w:t>
      </w:r>
      <w:r w:rsidR="002C0067">
        <w:t xml:space="preserve">significant sense of optimism about </w:t>
      </w:r>
      <w:r w:rsidR="00455964">
        <w:t xml:space="preserve">what </w:t>
      </w:r>
      <w:r w:rsidR="002C0067">
        <w:t xml:space="preserve">GIA work </w:t>
      </w:r>
      <w:r w:rsidR="00455964">
        <w:t xml:space="preserve">can achieve. </w:t>
      </w:r>
      <w:r w:rsidR="002C0067">
        <w:t>For many</w:t>
      </w:r>
      <w:r w:rsidR="00A11DE1">
        <w:t>,</w:t>
      </w:r>
      <w:r w:rsidR="002C0067">
        <w:t xml:space="preserve"> GIA</w:t>
      </w:r>
      <w:r w:rsidR="00A11DE1">
        <w:t>s</w:t>
      </w:r>
      <w:r w:rsidR="002C0067">
        <w:t xml:space="preserve"> are described as ground-breaking and critical to achieving intersectional gender equality across Victoria. There is also huge support and respect for the work of the Commission itself, and a desire to work more closely </w:t>
      </w:r>
      <w:r w:rsidR="002C0067">
        <w:lastRenderedPageBreak/>
        <w:t xml:space="preserve">with the staff and team – the Commission staff are looked to as the key source of expertise on the GE Act and its obligations. </w:t>
      </w:r>
      <w:r>
        <w:t>Perhaps, driven by this</w:t>
      </w:r>
      <w:r w:rsidR="00A5655A">
        <w:t xml:space="preserve"> significant</w:t>
      </w:r>
      <w:r>
        <w:t xml:space="preserve"> support, the authors also </w:t>
      </w:r>
      <w:r w:rsidR="00701B9B">
        <w:t>heard</w:t>
      </w:r>
      <w:r>
        <w:t xml:space="preserve"> </w:t>
      </w:r>
      <w:r w:rsidR="00701B9B">
        <w:t>an</w:t>
      </w:r>
      <w:r w:rsidR="00455964">
        <w:t xml:space="preserve"> </w:t>
      </w:r>
      <w:r w:rsidR="00C10331">
        <w:t>‘</w:t>
      </w:r>
      <w:r w:rsidR="00455964">
        <w:t>anxiety</w:t>
      </w:r>
      <w:r w:rsidR="00C10331">
        <w:t>’</w:t>
      </w:r>
      <w:r w:rsidR="00DA5685">
        <w:t xml:space="preserve"> </w:t>
      </w:r>
      <w:r w:rsidR="00244442">
        <w:t>to get GIA</w:t>
      </w:r>
      <w:r w:rsidR="00A11DE1">
        <w:t>s</w:t>
      </w:r>
      <w:r w:rsidR="00244442">
        <w:t xml:space="preserve"> done and right.</w:t>
      </w:r>
      <w:r w:rsidR="00312087">
        <w:t xml:space="preserve"> </w:t>
      </w:r>
    </w:p>
    <w:p w14:paraId="6C57127B" w14:textId="24CDCD37" w:rsidR="00D23286" w:rsidRDefault="00D23286" w:rsidP="004346DB">
      <w:pPr>
        <w:jc w:val="both"/>
      </w:pPr>
      <w:r>
        <w:t>Overall</w:t>
      </w:r>
      <w:r w:rsidR="00A11DE1">
        <w:t>,</w:t>
      </w:r>
      <w:r>
        <w:t xml:space="preserve"> our recommendations conclude that:</w:t>
      </w:r>
    </w:p>
    <w:p w14:paraId="636CD8BD" w14:textId="577A3026" w:rsidR="00D23286" w:rsidRDefault="00D23286" w:rsidP="004346DB">
      <w:pPr>
        <w:pStyle w:val="ListParagraph"/>
        <w:numPr>
          <w:ilvl w:val="0"/>
          <w:numId w:val="43"/>
        </w:numPr>
        <w:jc w:val="both"/>
      </w:pPr>
      <w:r>
        <w:t>There is a need for additional support and guidance to enable defined entities to implement GIA</w:t>
      </w:r>
      <w:r w:rsidR="00A11DE1">
        <w:t>s</w:t>
      </w:r>
      <w:r>
        <w:t xml:space="preserve"> in their organisation</w:t>
      </w:r>
      <w:r w:rsidR="00A11DE1">
        <w:t>.</w:t>
      </w:r>
    </w:p>
    <w:p w14:paraId="61C3C5C4" w14:textId="65E0DABE" w:rsidR="00D23286" w:rsidRDefault="00D23286" w:rsidP="004346DB">
      <w:pPr>
        <w:pStyle w:val="ListParagraph"/>
        <w:numPr>
          <w:ilvl w:val="0"/>
          <w:numId w:val="43"/>
        </w:numPr>
        <w:jc w:val="both"/>
      </w:pPr>
      <w:r>
        <w:t>There is a significant number of defined entities that are disclosing a marked lack of organisational capability and readiness to implement GIA</w:t>
      </w:r>
      <w:r w:rsidR="00A11DE1">
        <w:t>s.</w:t>
      </w:r>
    </w:p>
    <w:p w14:paraId="2E86DAC1" w14:textId="4066BD9F" w:rsidR="00D23286" w:rsidRDefault="00D23286" w:rsidP="004346DB">
      <w:pPr>
        <w:pStyle w:val="ListParagraph"/>
        <w:numPr>
          <w:ilvl w:val="0"/>
          <w:numId w:val="43"/>
        </w:numPr>
        <w:jc w:val="both"/>
      </w:pPr>
      <w:r>
        <w:t>The barriers in place for implementing GIA</w:t>
      </w:r>
      <w:r w:rsidR="00A11DE1">
        <w:t>s</w:t>
      </w:r>
      <w:r>
        <w:t xml:space="preserve"> consistently include poor resourcing, poor access to expertise</w:t>
      </w:r>
      <w:r w:rsidR="00A11DE1">
        <w:t>,</w:t>
      </w:r>
      <w:r>
        <w:t xml:space="preserve"> and compounding time and resource pressures to the unprecedented impact of the COVID-19 pandemic health directions drawing those resources away from GE Act work.</w:t>
      </w:r>
    </w:p>
    <w:p w14:paraId="0682DCD5" w14:textId="40854C1C" w:rsidR="00D23286" w:rsidRDefault="00D23286" w:rsidP="004346DB">
      <w:pPr>
        <w:pStyle w:val="ListParagraph"/>
        <w:numPr>
          <w:ilvl w:val="0"/>
          <w:numId w:val="43"/>
        </w:numPr>
        <w:jc w:val="both"/>
      </w:pPr>
      <w:r>
        <w:t xml:space="preserve">Defined entities and those leading GIA work are calling out for practical guidance and support on </w:t>
      </w:r>
      <w:r>
        <w:rPr>
          <w:i/>
          <w:iCs/>
        </w:rPr>
        <w:t xml:space="preserve">how </w:t>
      </w:r>
      <w:r>
        <w:t>to implement GIA</w:t>
      </w:r>
      <w:r w:rsidR="00A11DE1">
        <w:t>s</w:t>
      </w:r>
      <w:r>
        <w:t xml:space="preserve">. Further to this, defined entities are seeking advice that is tailored to their specific region/geographical context </w:t>
      </w:r>
      <w:r>
        <w:rPr>
          <w:i/>
          <w:iCs/>
        </w:rPr>
        <w:t>and</w:t>
      </w:r>
      <w:r>
        <w:t xml:space="preserve"> sector.</w:t>
      </w:r>
    </w:p>
    <w:p w14:paraId="080D76CC" w14:textId="079332E0" w:rsidR="004A25F6" w:rsidRDefault="004A25F6" w:rsidP="004346DB">
      <w:pPr>
        <w:jc w:val="both"/>
        <w:rPr>
          <w:rFonts w:ascii="Calibri Light" w:eastAsia="Times New Roman" w:hAnsi="Calibri Light" w:cs="Times New Roman"/>
          <w:color w:val="404040"/>
          <w:sz w:val="30"/>
          <w:szCs w:val="30"/>
        </w:rPr>
      </w:pPr>
    </w:p>
    <w:p w14:paraId="47B78D97" w14:textId="3977AD96" w:rsidR="00D23286" w:rsidRPr="00C758B5" w:rsidRDefault="00D23286" w:rsidP="00D23286">
      <w:pPr>
        <w:rPr>
          <w:rStyle w:val="SubtleEmphasis"/>
        </w:rPr>
      </w:pPr>
      <w:r w:rsidRPr="00C758B5">
        <w:rPr>
          <w:rStyle w:val="SubtleEmphasis"/>
        </w:rPr>
        <w:t>Action for Gender Equality Partnership</w:t>
      </w:r>
    </w:p>
    <w:p w14:paraId="43B4D4EE" w14:textId="0D4FA145" w:rsidR="00D23286" w:rsidRPr="00C758B5" w:rsidRDefault="00D23286" w:rsidP="00D23286">
      <w:pPr>
        <w:rPr>
          <w:rStyle w:val="SubtleEmphasis"/>
        </w:rPr>
      </w:pPr>
      <w:r w:rsidRPr="00C758B5">
        <w:rPr>
          <w:rStyle w:val="SubtleEmphasis"/>
        </w:rPr>
        <w:t>February 2022</w:t>
      </w:r>
    </w:p>
    <w:p w14:paraId="351368C8" w14:textId="44A79D58" w:rsidR="004A25F6" w:rsidRDefault="004A25F6">
      <w:pPr>
        <w:rPr>
          <w:rFonts w:ascii="Calibri Light" w:eastAsia="Times New Roman" w:hAnsi="Calibri Light" w:cs="Times New Roman"/>
          <w:color w:val="404040"/>
          <w:sz w:val="30"/>
          <w:szCs w:val="30"/>
        </w:rPr>
      </w:pPr>
    </w:p>
    <w:p w14:paraId="6D4C06E4" w14:textId="18B15570" w:rsidR="004A25F6" w:rsidRDefault="004A25F6">
      <w:pPr>
        <w:rPr>
          <w:rFonts w:ascii="Calibri Light" w:eastAsia="Times New Roman" w:hAnsi="Calibri Light" w:cs="Times New Roman"/>
          <w:color w:val="404040"/>
          <w:sz w:val="30"/>
          <w:szCs w:val="30"/>
        </w:rPr>
      </w:pPr>
    </w:p>
    <w:p w14:paraId="018CDD14" w14:textId="77777777" w:rsidR="00381257" w:rsidRDefault="00381257">
      <w:pPr>
        <w:rPr>
          <w:rFonts w:ascii="Calibri Light" w:eastAsia="Times New Roman" w:hAnsi="Calibri Light" w:cs="Times New Roman"/>
          <w:color w:val="AA610D"/>
          <w:sz w:val="36"/>
          <w:szCs w:val="36"/>
        </w:rPr>
      </w:pPr>
      <w:r>
        <w:rPr>
          <w:rFonts w:ascii="Calibri Light" w:eastAsia="Times New Roman" w:hAnsi="Calibri Light" w:cs="Times New Roman"/>
          <w:color w:val="AA610D"/>
          <w:sz w:val="36"/>
          <w:szCs w:val="36"/>
        </w:rPr>
        <w:br w:type="page"/>
      </w:r>
    </w:p>
    <w:p w14:paraId="269F0759" w14:textId="76965D79" w:rsidR="004A25F6" w:rsidRPr="00F5657B" w:rsidRDefault="004A25F6" w:rsidP="00032DFB">
      <w:pPr>
        <w:pStyle w:val="Title"/>
        <w:rPr>
          <w:rFonts w:eastAsia="Times New Roman"/>
        </w:rPr>
      </w:pPr>
      <w:bookmarkStart w:id="1" w:name="_Toc96348268"/>
      <w:r w:rsidRPr="00F5657B">
        <w:rPr>
          <w:rFonts w:eastAsia="Times New Roman"/>
        </w:rPr>
        <w:lastRenderedPageBreak/>
        <w:t>Background</w:t>
      </w:r>
      <w:bookmarkEnd w:id="1"/>
      <w:r w:rsidRPr="00F5657B">
        <w:rPr>
          <w:rFonts w:eastAsia="Times New Roman"/>
        </w:rPr>
        <w:t xml:space="preserve"> </w:t>
      </w:r>
    </w:p>
    <w:p w14:paraId="1498D525" w14:textId="3C0F19A5" w:rsidR="003B2DCB" w:rsidRDefault="003B2DCB" w:rsidP="00032DFB">
      <w:pPr>
        <w:pStyle w:val="Heading1"/>
      </w:pPr>
      <w:bookmarkStart w:id="2" w:name="_Toc96348269"/>
      <w:r>
        <w:t>Context to th</w:t>
      </w:r>
      <w:r w:rsidR="00757322">
        <w:t>e</w:t>
      </w:r>
      <w:r>
        <w:t xml:space="preserve"> </w:t>
      </w:r>
      <w:r w:rsidR="00A35F73">
        <w:t>r</w:t>
      </w:r>
      <w:r>
        <w:t>eport</w:t>
      </w:r>
      <w:bookmarkEnd w:id="2"/>
    </w:p>
    <w:p w14:paraId="06EBCC43" w14:textId="005621C4" w:rsidR="00DC35B6" w:rsidRDefault="00EA7398" w:rsidP="0069380A">
      <w:r w:rsidRPr="00E629C5">
        <w:t>The project to undertake a</w:t>
      </w:r>
      <w:r w:rsidR="007418CC" w:rsidRPr="00E629C5">
        <w:t>n educational</w:t>
      </w:r>
      <w:r w:rsidRPr="00E629C5">
        <w:t xml:space="preserve"> needs analysis </w:t>
      </w:r>
      <w:r w:rsidRPr="007418CC">
        <w:t>to assist defined entities</w:t>
      </w:r>
      <w:r w:rsidR="00821714">
        <w:t xml:space="preserve"> to</w:t>
      </w:r>
      <w:r w:rsidRPr="007418CC">
        <w:t xml:space="preserve"> implement GIA</w:t>
      </w:r>
      <w:r w:rsidR="00E564DE">
        <w:t>s</w:t>
      </w:r>
      <w:r w:rsidR="00844B63" w:rsidRPr="007418CC">
        <w:t xml:space="preserve"> occurs at a</w:t>
      </w:r>
      <w:r w:rsidR="002D70B4">
        <w:t xml:space="preserve"> critical</w:t>
      </w:r>
      <w:r w:rsidR="00844B63" w:rsidRPr="007418CC">
        <w:t xml:space="preserve"> time in the implementation of the </w:t>
      </w:r>
      <w:r w:rsidR="00821714">
        <w:t>GE</w:t>
      </w:r>
      <w:r w:rsidR="00844B63" w:rsidRPr="007418CC">
        <w:t xml:space="preserve"> Act and Victoria’s journey towards </w:t>
      </w:r>
      <w:r w:rsidR="352D238F" w:rsidRPr="007418CC">
        <w:t>g</w:t>
      </w:r>
      <w:r w:rsidR="00844B63" w:rsidRPr="007418CC">
        <w:t xml:space="preserve">ender </w:t>
      </w:r>
      <w:r w:rsidR="77659A15" w:rsidRPr="007418CC">
        <w:t>e</w:t>
      </w:r>
      <w:r w:rsidR="00844B63" w:rsidRPr="007418CC">
        <w:t>quality.</w:t>
      </w:r>
      <w:r w:rsidR="00DC35B6">
        <w:t xml:space="preserve"> </w:t>
      </w:r>
    </w:p>
    <w:p w14:paraId="3BA50C4C" w14:textId="44FD4B49" w:rsidR="00844B63" w:rsidRDefault="00844B63" w:rsidP="0069380A">
      <w:r>
        <w:t xml:space="preserve">In the last 12 months, </w:t>
      </w:r>
      <w:r w:rsidR="009F4880">
        <w:t>there ha</w:t>
      </w:r>
      <w:r w:rsidR="00E564DE">
        <w:t>ve</w:t>
      </w:r>
      <w:r w:rsidR="009F4880">
        <w:t xml:space="preserve"> been key events and milestones </w:t>
      </w:r>
      <w:r w:rsidR="7541ED66">
        <w:t>that</w:t>
      </w:r>
      <w:r w:rsidR="009F4880">
        <w:t xml:space="preserve"> have</w:t>
      </w:r>
      <w:r w:rsidR="00334F97">
        <w:t xml:space="preserve"> framed the rationale for a gender</w:t>
      </w:r>
      <w:r w:rsidR="7EDF59A5">
        <w:t>-</w:t>
      </w:r>
      <w:r w:rsidR="00334F97">
        <w:t xml:space="preserve">equal society. </w:t>
      </w:r>
      <w:r w:rsidR="005C224B">
        <w:t xml:space="preserve">In addition to the </w:t>
      </w:r>
      <w:r w:rsidR="69D38526">
        <w:t>c</w:t>
      </w:r>
      <w:r w:rsidR="005C224B">
        <w:t xml:space="preserve">ommencement of the </w:t>
      </w:r>
      <w:r w:rsidR="00821714">
        <w:t xml:space="preserve">GE </w:t>
      </w:r>
      <w:r w:rsidR="005C224B">
        <w:t xml:space="preserve">Act, </w:t>
      </w:r>
      <w:r w:rsidR="00B100AF">
        <w:t xml:space="preserve">the national context </w:t>
      </w:r>
      <w:r w:rsidR="00334F97">
        <w:t>include</w:t>
      </w:r>
      <w:r w:rsidR="00B100AF">
        <w:t>s</w:t>
      </w:r>
      <w:r w:rsidR="00334F97">
        <w:t>:</w:t>
      </w:r>
    </w:p>
    <w:p w14:paraId="0AE62A5E" w14:textId="689C85EB" w:rsidR="00D26AFC" w:rsidRDefault="00D26AFC" w:rsidP="00C034EE">
      <w:pPr>
        <w:pStyle w:val="ListParagraph"/>
        <w:numPr>
          <w:ilvl w:val="0"/>
          <w:numId w:val="6"/>
        </w:numPr>
      </w:pPr>
      <w:r>
        <w:t xml:space="preserve">Grace Tame </w:t>
      </w:r>
      <w:r w:rsidR="00A60F7A">
        <w:t>named a</w:t>
      </w:r>
      <w:r>
        <w:t xml:space="preserve">s 2021 Australian of the Year </w:t>
      </w:r>
    </w:p>
    <w:p w14:paraId="32BCBF66" w14:textId="0F734640" w:rsidR="00D26AFC" w:rsidRDefault="00A60F7A" w:rsidP="00C034EE">
      <w:pPr>
        <w:pStyle w:val="ListParagraph"/>
        <w:numPr>
          <w:ilvl w:val="0"/>
          <w:numId w:val="6"/>
        </w:numPr>
      </w:pPr>
      <w:r>
        <w:t>O</w:t>
      </w:r>
      <w:r w:rsidR="0007392F">
        <w:t xml:space="preserve">ngoing work to implement the recommendations from the </w:t>
      </w:r>
      <w:r w:rsidR="00545BED">
        <w:t>Australian Sex Discrimination Commissioner Kate Jenkin</w:t>
      </w:r>
      <w:r w:rsidR="0007392F">
        <w:t>s</w:t>
      </w:r>
      <w:r w:rsidR="3B93B9F3">
        <w:t>’s</w:t>
      </w:r>
      <w:r w:rsidR="00F91FC6">
        <w:t xml:space="preserve"> </w:t>
      </w:r>
      <w:r w:rsidR="00F91FC6" w:rsidRPr="00E629C5">
        <w:rPr>
          <w:rStyle w:val="Emphasis"/>
          <w:rFonts w:cs="Arial"/>
          <w:color w:val="000000" w:themeColor="text1"/>
          <w:shd w:val="clear" w:color="auto" w:fill="FFFFFF"/>
        </w:rPr>
        <w:t>Respect</w:t>
      </w:r>
      <w:r w:rsidR="00F91FC6" w:rsidRPr="00E629C5">
        <w:rPr>
          <w:rFonts w:cs="Arial"/>
          <w:i/>
          <w:iCs/>
          <w:color w:val="000000" w:themeColor="text1"/>
          <w:shd w:val="clear" w:color="auto" w:fill="FFFFFF"/>
        </w:rPr>
        <w:t>@</w:t>
      </w:r>
      <w:r w:rsidR="00F91FC6" w:rsidRPr="00E629C5">
        <w:rPr>
          <w:rStyle w:val="Emphasis"/>
          <w:rFonts w:cs="Arial"/>
          <w:color w:val="000000" w:themeColor="text1"/>
          <w:shd w:val="clear" w:color="auto" w:fill="FFFFFF"/>
        </w:rPr>
        <w:t>Work</w:t>
      </w:r>
      <w:r w:rsidR="00F91FC6" w:rsidRPr="00E629C5">
        <w:rPr>
          <w:rFonts w:cs="Arial"/>
          <w:i/>
          <w:iCs/>
          <w:color w:val="000000" w:themeColor="text1"/>
          <w:shd w:val="clear" w:color="auto" w:fill="FFFFFF"/>
        </w:rPr>
        <w:t>: </w:t>
      </w:r>
      <w:r w:rsidR="00F91FC6" w:rsidRPr="00E629C5">
        <w:rPr>
          <w:rStyle w:val="Emphasis"/>
          <w:rFonts w:cs="Arial"/>
          <w:color w:val="000000" w:themeColor="text1"/>
          <w:shd w:val="clear" w:color="auto" w:fill="FFFFFF"/>
        </w:rPr>
        <w:t>Sexual Harassment</w:t>
      </w:r>
      <w:r w:rsidR="00F91FC6" w:rsidRPr="00E629C5">
        <w:rPr>
          <w:rFonts w:cs="Arial"/>
          <w:i/>
          <w:iCs/>
          <w:color w:val="000000" w:themeColor="text1"/>
          <w:shd w:val="clear" w:color="auto" w:fill="FFFFFF"/>
        </w:rPr>
        <w:t> National Inquiry </w:t>
      </w:r>
      <w:r w:rsidR="00F91FC6" w:rsidRPr="00E629C5">
        <w:rPr>
          <w:rStyle w:val="Emphasis"/>
          <w:rFonts w:cs="Arial"/>
          <w:color w:val="000000" w:themeColor="text1"/>
          <w:shd w:val="clear" w:color="auto" w:fill="FFFFFF"/>
        </w:rPr>
        <w:t>Report</w:t>
      </w:r>
    </w:p>
    <w:p w14:paraId="2B3345AC" w14:textId="1C19532A" w:rsidR="00C32A58" w:rsidRDefault="00A60F7A" w:rsidP="00E629C5">
      <w:pPr>
        <w:pStyle w:val="ListParagraph"/>
        <w:numPr>
          <w:ilvl w:val="0"/>
          <w:numId w:val="6"/>
        </w:numPr>
      </w:pPr>
      <w:r>
        <w:t>T</w:t>
      </w:r>
      <w:r w:rsidR="00F91FC6">
        <w:t xml:space="preserve">he </w:t>
      </w:r>
      <w:r w:rsidR="00C32A58" w:rsidRPr="00E629C5">
        <w:t>Australian Human Rights Commission</w:t>
      </w:r>
      <w:r w:rsidR="00C32A58">
        <w:t xml:space="preserve"> </w:t>
      </w:r>
      <w:r w:rsidR="00A074D0">
        <w:t>launching</w:t>
      </w:r>
      <w:r w:rsidR="00C32A58" w:rsidRPr="00E629C5">
        <w:t xml:space="preserve"> </w:t>
      </w:r>
      <w:r w:rsidR="00C32A58" w:rsidRPr="00E629C5">
        <w:rPr>
          <w:i/>
          <w:iCs/>
        </w:rPr>
        <w:t>Set the Standard: Report on the Independent Review into Commonwealth Parliamentary Workplaces</w:t>
      </w:r>
      <w:r w:rsidR="00C32A58" w:rsidRPr="00E629C5">
        <w:t>.</w:t>
      </w:r>
    </w:p>
    <w:p w14:paraId="2E6B3C61" w14:textId="1FD311E4" w:rsidR="00A03939" w:rsidRDefault="001419FB" w:rsidP="00A03939">
      <w:r>
        <w:t>T</w:t>
      </w:r>
      <w:r w:rsidRPr="008002DB">
        <w:t xml:space="preserve">he ongoing aftermath of </w:t>
      </w:r>
      <w:r w:rsidR="007E3A17">
        <w:t xml:space="preserve">the </w:t>
      </w:r>
      <w:r w:rsidRPr="008002DB">
        <w:t>COVID-19</w:t>
      </w:r>
      <w:r>
        <w:t xml:space="preserve"> </w:t>
      </w:r>
      <w:r w:rsidR="007E3A17">
        <w:t xml:space="preserve">pandemic </w:t>
      </w:r>
      <w:r w:rsidR="00F44724">
        <w:t>reveal</w:t>
      </w:r>
      <w:r>
        <w:t xml:space="preserve">s </w:t>
      </w:r>
      <w:r w:rsidR="007E3A17">
        <w:t xml:space="preserve">entrenched </w:t>
      </w:r>
      <w:r>
        <w:t xml:space="preserve">gender </w:t>
      </w:r>
      <w:r w:rsidR="00F44724">
        <w:t>inequity across our society and economy.</w:t>
      </w:r>
      <w:r w:rsidR="00A24EC2">
        <w:t xml:space="preserve"> </w:t>
      </w:r>
      <w:r w:rsidR="0033092D">
        <w:t>A</w:t>
      </w:r>
      <w:r w:rsidR="00E672F7">
        <w:t xml:space="preserve"> 2021 report written by </w:t>
      </w:r>
      <w:r w:rsidR="00286E98">
        <w:t>the Grattan Institute</w:t>
      </w:r>
      <w:r w:rsidR="00286E98">
        <w:rPr>
          <w:rStyle w:val="FootnoteReference"/>
        </w:rPr>
        <w:footnoteReference w:id="2"/>
      </w:r>
      <w:r w:rsidR="0033092D">
        <w:t xml:space="preserve"> found</w:t>
      </w:r>
      <w:r w:rsidR="002D1CFC">
        <w:t>:</w:t>
      </w:r>
    </w:p>
    <w:p w14:paraId="17650BEC" w14:textId="7FD62013" w:rsidR="00744B93" w:rsidRDefault="003A4EDA" w:rsidP="00C034EE">
      <w:pPr>
        <w:pStyle w:val="ListParagraph"/>
        <w:numPr>
          <w:ilvl w:val="0"/>
          <w:numId w:val="7"/>
        </w:numPr>
      </w:pPr>
      <w:r>
        <w:t xml:space="preserve">Women lost their jobs at a higher rate than men due to </w:t>
      </w:r>
      <w:r w:rsidR="00F3705E">
        <w:t>the gendere</w:t>
      </w:r>
      <w:r w:rsidR="00744B93">
        <w:t xml:space="preserve">d segregation of labour markets </w:t>
      </w:r>
      <w:r w:rsidR="00670673">
        <w:t xml:space="preserve">as </w:t>
      </w:r>
      <w:r w:rsidR="00744B93">
        <w:t>people</w:t>
      </w:r>
      <w:r w:rsidR="0C63FE0D">
        <w:t>-</w:t>
      </w:r>
      <w:r w:rsidR="00744B93">
        <w:t>facing industries are major employers of women</w:t>
      </w:r>
      <w:r w:rsidR="00E564DE">
        <w:t>.</w:t>
      </w:r>
    </w:p>
    <w:p w14:paraId="2EAC2A9C" w14:textId="77777777" w:rsidR="008B15A4" w:rsidRDefault="00683841" w:rsidP="00C034EE">
      <w:pPr>
        <w:pStyle w:val="ListParagraph"/>
        <w:numPr>
          <w:ilvl w:val="0"/>
          <w:numId w:val="7"/>
        </w:numPr>
      </w:pPr>
      <w:r>
        <w:t xml:space="preserve">Women shouldered more of </w:t>
      </w:r>
      <w:r w:rsidR="00670673">
        <w:t xml:space="preserve">the </w:t>
      </w:r>
      <w:r>
        <w:t>unpaid care work</w:t>
      </w:r>
      <w:r w:rsidR="00ED792C">
        <w:t>, which was</w:t>
      </w:r>
      <w:r w:rsidR="27968B78">
        <w:t xml:space="preserve"> </w:t>
      </w:r>
      <w:r>
        <w:t xml:space="preserve">an increase over and above the </w:t>
      </w:r>
      <w:r w:rsidR="0068401F">
        <w:t>heavier load that they already carr</w:t>
      </w:r>
      <w:r w:rsidR="00ED792C">
        <w:t>y</w:t>
      </w:r>
      <w:r w:rsidR="0068401F">
        <w:t xml:space="preserve">. </w:t>
      </w:r>
    </w:p>
    <w:p w14:paraId="7AE51E9A" w14:textId="12982F2D" w:rsidR="00744B93" w:rsidRDefault="0068401F" w:rsidP="00C034EE">
      <w:pPr>
        <w:pStyle w:val="ListParagraph"/>
        <w:numPr>
          <w:ilvl w:val="0"/>
          <w:numId w:val="7"/>
        </w:numPr>
      </w:pPr>
      <w:r>
        <w:t>“Women reduced the</w:t>
      </w:r>
      <w:r w:rsidR="00E91F0C">
        <w:t>ir</w:t>
      </w:r>
      <w:r>
        <w:t xml:space="preserve"> paid work and study, especially mothers</w:t>
      </w:r>
      <w:r w:rsidR="00931B75">
        <w:t xml:space="preserve">… </w:t>
      </w:r>
      <w:r w:rsidR="008B15A4">
        <w:t xml:space="preserve">[with] </w:t>
      </w:r>
      <w:r w:rsidR="00931B75">
        <w:t>single mothers ..</w:t>
      </w:r>
      <w:r w:rsidR="5F6D75FF">
        <w:t>.</w:t>
      </w:r>
      <w:r w:rsidR="00931B75">
        <w:t xml:space="preserve"> yet to recover and ..</w:t>
      </w:r>
      <w:r w:rsidR="1483D4B9">
        <w:t>.</w:t>
      </w:r>
      <w:r w:rsidR="00931B75">
        <w:t xml:space="preserve"> among</w:t>
      </w:r>
      <w:r w:rsidR="008D4775">
        <w:t xml:space="preserve"> the most economically vulnerable</w:t>
      </w:r>
      <w:r w:rsidR="00117485">
        <w:t>.</w:t>
      </w:r>
      <w:r w:rsidR="008D4775">
        <w:t>”</w:t>
      </w:r>
      <w:r w:rsidR="008D4775">
        <w:rPr>
          <w:rStyle w:val="FootnoteReference"/>
        </w:rPr>
        <w:footnoteReference w:id="3"/>
      </w:r>
    </w:p>
    <w:p w14:paraId="6169AE5F" w14:textId="5F4A38D5" w:rsidR="000D59B2" w:rsidRDefault="006E31F0" w:rsidP="000D59B2">
      <w:r>
        <w:t>T</w:t>
      </w:r>
      <w:r w:rsidR="002018A4">
        <w:t xml:space="preserve">he pandemic has </w:t>
      </w:r>
      <w:r>
        <w:t xml:space="preserve">also </w:t>
      </w:r>
      <w:r w:rsidR="000D59B2">
        <w:t>disproportionately</w:t>
      </w:r>
      <w:r w:rsidR="002018A4">
        <w:t xml:space="preserve"> impacted women’s health and wellbeing.</w:t>
      </w:r>
      <w:r w:rsidR="000D59B2">
        <w:t xml:space="preserve"> Nowhere is this more</w:t>
      </w:r>
      <w:r>
        <w:t xml:space="preserve"> evident </w:t>
      </w:r>
      <w:r w:rsidR="000D59B2">
        <w:t xml:space="preserve">than </w:t>
      </w:r>
      <w:r w:rsidR="00261B33">
        <w:t>the comparison between</w:t>
      </w:r>
      <w:r w:rsidR="000D59B2">
        <w:t xml:space="preserve"> </w:t>
      </w:r>
      <w:r w:rsidR="000848D6">
        <w:t>women</w:t>
      </w:r>
      <w:r w:rsidR="007E3A17">
        <w:t>’s</w:t>
      </w:r>
      <w:r w:rsidR="000848D6">
        <w:t xml:space="preserve"> and men’s </w:t>
      </w:r>
      <w:r w:rsidR="000D59B2">
        <w:t xml:space="preserve">mental health and wellbeing before and during </w:t>
      </w:r>
      <w:r w:rsidR="00261B33">
        <w:t>the pandemic</w:t>
      </w:r>
      <w:r w:rsidR="000848D6">
        <w:t>:</w:t>
      </w:r>
      <w:r w:rsidR="000D59B2">
        <w:rPr>
          <w:rStyle w:val="FootnoteReference"/>
        </w:rPr>
        <w:footnoteReference w:id="4"/>
      </w:r>
    </w:p>
    <w:p w14:paraId="4D7F608A" w14:textId="69D77E44" w:rsidR="000D59B2" w:rsidRDefault="000D59B2" w:rsidP="00C034EE">
      <w:pPr>
        <w:pStyle w:val="ListParagraph"/>
        <w:numPr>
          <w:ilvl w:val="0"/>
          <w:numId w:val="8"/>
        </w:numPr>
      </w:pPr>
      <w:r>
        <w:t>In 2020, an estimated 38</w:t>
      </w:r>
      <w:r w:rsidR="00633A8F">
        <w:t xml:space="preserve"> per cent</w:t>
      </w:r>
      <w:r>
        <w:t xml:space="preserve"> of Victorian women reported having ever been diagnosed with depression or anxiety compared with 29</w:t>
      </w:r>
      <w:r w:rsidR="00633A8F">
        <w:t xml:space="preserve"> per cent</w:t>
      </w:r>
      <w:r>
        <w:t xml:space="preserve"> of women in 2015</w:t>
      </w:r>
      <w:r w:rsidR="008B15A4">
        <w:t>.</w:t>
      </w:r>
    </w:p>
    <w:p w14:paraId="553F4F65" w14:textId="71A54FDA" w:rsidR="005F1A91" w:rsidRDefault="000D59B2" w:rsidP="00C034EE">
      <w:pPr>
        <w:pStyle w:val="ListParagraph"/>
        <w:numPr>
          <w:ilvl w:val="0"/>
          <w:numId w:val="8"/>
        </w:numPr>
      </w:pPr>
      <w:r>
        <w:t>In 2020, an estimated 25</w:t>
      </w:r>
      <w:r w:rsidR="00633A8F">
        <w:t xml:space="preserve"> per cent</w:t>
      </w:r>
      <w:r>
        <w:t xml:space="preserve"> of men reported having ever been diagnosed with depression</w:t>
      </w:r>
      <w:r w:rsidR="004C3081">
        <w:t xml:space="preserve"> or anxiety compared with </w:t>
      </w:r>
      <w:r w:rsidR="00633A8F">
        <w:t>21 per cent</w:t>
      </w:r>
      <w:r w:rsidR="004C3081">
        <w:t xml:space="preserve"> of men in 2015. </w:t>
      </w:r>
    </w:p>
    <w:p w14:paraId="64652323" w14:textId="053647A5" w:rsidR="005F1A91" w:rsidRDefault="003C5D1C" w:rsidP="004F07C6">
      <w:r>
        <w:t xml:space="preserve">The context is important </w:t>
      </w:r>
      <w:r w:rsidR="004C3081">
        <w:t>for</w:t>
      </w:r>
      <w:r>
        <w:t xml:space="preserve"> two key reasons:</w:t>
      </w:r>
    </w:p>
    <w:p w14:paraId="36D33332" w14:textId="6F6F1CE1" w:rsidR="003C5D1C" w:rsidRDefault="00AB51CF" w:rsidP="00C034EE">
      <w:pPr>
        <w:pStyle w:val="ListParagraph"/>
        <w:numPr>
          <w:ilvl w:val="0"/>
          <w:numId w:val="9"/>
        </w:numPr>
      </w:pPr>
      <w:r>
        <w:t>There is</w:t>
      </w:r>
      <w:r w:rsidR="00DC3930">
        <w:t xml:space="preserve"> strong momentum across the Victorian Public Sector </w:t>
      </w:r>
      <w:r w:rsidR="00871FDB">
        <w:t xml:space="preserve">to advance </w:t>
      </w:r>
      <w:r w:rsidR="006D5ADD">
        <w:t>gender equality</w:t>
      </w:r>
      <w:r w:rsidR="00871FDB">
        <w:t xml:space="preserve"> and </w:t>
      </w:r>
      <w:r w:rsidR="00D87EC9">
        <w:t xml:space="preserve">encourage leaders and workers to consciously notice </w:t>
      </w:r>
      <w:r w:rsidR="00706135">
        <w:t>in</w:t>
      </w:r>
      <w:r w:rsidR="00D87EC9">
        <w:t xml:space="preserve">equality </w:t>
      </w:r>
      <w:r w:rsidR="006D5ADD">
        <w:t xml:space="preserve">and </w:t>
      </w:r>
      <w:r w:rsidR="00A31BE6">
        <w:t>norms, structures</w:t>
      </w:r>
      <w:r w:rsidR="008B15A4">
        <w:t>,</w:t>
      </w:r>
      <w:r w:rsidR="00A31BE6">
        <w:t xml:space="preserve"> and systems</w:t>
      </w:r>
      <w:r w:rsidR="008B15A4">
        <w:t>.</w:t>
      </w:r>
      <w:r w:rsidR="00740929">
        <w:t xml:space="preserve">  </w:t>
      </w:r>
    </w:p>
    <w:p w14:paraId="2BF6E842" w14:textId="73569EAC" w:rsidR="00C075D7" w:rsidRDefault="00D87EC9" w:rsidP="00C034EE">
      <w:pPr>
        <w:pStyle w:val="ListParagraph"/>
        <w:numPr>
          <w:ilvl w:val="0"/>
          <w:numId w:val="9"/>
        </w:numPr>
      </w:pPr>
      <w:r>
        <w:t>It p</w:t>
      </w:r>
      <w:r w:rsidR="00710CF8">
        <w:t>rovide</w:t>
      </w:r>
      <w:r w:rsidR="001748F2">
        <w:t>s</w:t>
      </w:r>
      <w:r w:rsidR="00710CF8">
        <w:t xml:space="preserve"> an environment </w:t>
      </w:r>
      <w:r w:rsidR="00D26EEF">
        <w:t xml:space="preserve">for advocates and gender equality workers to </w:t>
      </w:r>
      <w:r w:rsidR="00C075D7">
        <w:t>increase the pace and energy in their</w:t>
      </w:r>
      <w:r w:rsidR="00D26EEF">
        <w:t xml:space="preserve"> work to </w:t>
      </w:r>
      <w:r w:rsidR="00AB51CF">
        <w:t xml:space="preserve">deliver </w:t>
      </w:r>
      <w:r w:rsidR="00D26EEF">
        <w:t>gender</w:t>
      </w:r>
      <w:r w:rsidR="008B15A4">
        <w:t>-</w:t>
      </w:r>
      <w:r w:rsidR="00D26EEF">
        <w:t>equal workforces</w:t>
      </w:r>
      <w:r>
        <w:t>.</w:t>
      </w:r>
    </w:p>
    <w:p w14:paraId="10074B59" w14:textId="48617101" w:rsidR="00913FD9" w:rsidRDefault="00E040C3" w:rsidP="00C075D7">
      <w:r>
        <w:lastRenderedPageBreak/>
        <w:t xml:space="preserve">During </w:t>
      </w:r>
      <w:r w:rsidR="00C075D7">
        <w:t xml:space="preserve">this project, the </w:t>
      </w:r>
      <w:r w:rsidR="00712F47">
        <w:t xml:space="preserve">AGEP project </w:t>
      </w:r>
      <w:r w:rsidR="00C075D7">
        <w:t xml:space="preserve">team heard resounding positive </w:t>
      </w:r>
      <w:r>
        <w:t>feedback about</w:t>
      </w:r>
      <w:r w:rsidR="00C075D7">
        <w:t xml:space="preserve"> the </w:t>
      </w:r>
      <w:r w:rsidR="00C11477">
        <w:t>GE</w:t>
      </w:r>
      <w:r w:rsidR="00C075D7">
        <w:t xml:space="preserve"> Act and</w:t>
      </w:r>
      <w:r w:rsidR="009A64AC">
        <w:t xml:space="preserve"> the value of </w:t>
      </w:r>
      <w:r>
        <w:t>GIA</w:t>
      </w:r>
      <w:r w:rsidR="008B15A4">
        <w:t>s</w:t>
      </w:r>
      <w:r w:rsidR="009A64AC">
        <w:t xml:space="preserve">. </w:t>
      </w:r>
      <w:r w:rsidR="00120730">
        <w:t xml:space="preserve">Many </w:t>
      </w:r>
      <w:r w:rsidR="009A64AC">
        <w:t>consultation</w:t>
      </w:r>
      <w:r w:rsidR="00120730">
        <w:t xml:space="preserve"> participants had</w:t>
      </w:r>
      <w:r w:rsidR="009A64AC">
        <w:t xml:space="preserve"> </w:t>
      </w:r>
      <w:r w:rsidR="00C075D7">
        <w:t xml:space="preserve">a </w:t>
      </w:r>
      <w:r w:rsidR="00993400">
        <w:t xml:space="preserve">deep understanding of why intersectional gender equality </w:t>
      </w:r>
      <w:r w:rsidR="00120730">
        <w:t>i</w:t>
      </w:r>
      <w:r w:rsidR="00993400">
        <w:t>s of value to workers, organisations</w:t>
      </w:r>
      <w:r w:rsidR="008B15A4">
        <w:t>,</w:t>
      </w:r>
      <w:r w:rsidR="00993400">
        <w:t xml:space="preserve"> and communities. This report posits that </w:t>
      </w:r>
      <w:r w:rsidR="00446B31">
        <w:t xml:space="preserve">this positive regard is partly due to the </w:t>
      </w:r>
      <w:r w:rsidR="00C11477">
        <w:t>introduction of the GE Act</w:t>
      </w:r>
      <w:r w:rsidR="00120730">
        <w:t xml:space="preserve"> and the</w:t>
      </w:r>
      <w:r w:rsidR="00446B31">
        <w:t xml:space="preserve"> leadership of the Commission and the Victorian Government</w:t>
      </w:r>
      <w:r w:rsidR="00526B6E">
        <w:t>;</w:t>
      </w:r>
      <w:r w:rsidR="00446B31">
        <w:t xml:space="preserve"> but </w:t>
      </w:r>
      <w:r w:rsidR="00BC3281">
        <w:t>largely</w:t>
      </w:r>
      <w:r w:rsidR="00D92ADD">
        <w:t xml:space="preserve"> due to</w:t>
      </w:r>
      <w:r w:rsidR="00446B31">
        <w:t xml:space="preserve"> </w:t>
      </w:r>
      <w:r w:rsidR="00D92ADD">
        <w:t xml:space="preserve">the </w:t>
      </w:r>
      <w:r w:rsidR="00913FD9">
        <w:t>reinforcing messages o</w:t>
      </w:r>
      <w:r w:rsidR="00D92ADD">
        <w:t>f</w:t>
      </w:r>
      <w:r w:rsidR="00913FD9">
        <w:t xml:space="preserve"> gender equality</w:t>
      </w:r>
      <w:r w:rsidR="00D92ADD">
        <w:t xml:space="preserve"> that sit within the broader context of this work</w:t>
      </w:r>
      <w:r w:rsidR="00913FD9">
        <w:t>.</w:t>
      </w:r>
    </w:p>
    <w:p w14:paraId="202BBF4C" w14:textId="5D391D4F" w:rsidR="00F275A5" w:rsidRDefault="004F4F40" w:rsidP="006B75D8">
      <w:pPr>
        <w:spacing w:line="240" w:lineRule="auto"/>
      </w:pPr>
      <w:r>
        <w:t xml:space="preserve">There </w:t>
      </w:r>
      <w:r w:rsidR="005567C1">
        <w:t>i</w:t>
      </w:r>
      <w:r>
        <w:t xml:space="preserve">s also </w:t>
      </w:r>
      <w:r w:rsidR="007D07D3">
        <w:t>a</w:t>
      </w:r>
      <w:r w:rsidR="009A64AC">
        <w:t xml:space="preserve"> sense of urgency </w:t>
      </w:r>
      <w:r>
        <w:t xml:space="preserve">from consultation participants </w:t>
      </w:r>
      <w:r w:rsidR="009A64AC">
        <w:t>for support to enable the value</w:t>
      </w:r>
      <w:r w:rsidR="00D26EEF">
        <w:t xml:space="preserve"> </w:t>
      </w:r>
      <w:r w:rsidR="009A64AC">
        <w:t>of GIA</w:t>
      </w:r>
      <w:r w:rsidR="008B15A4">
        <w:t>s</w:t>
      </w:r>
      <w:r w:rsidR="009A64AC">
        <w:t xml:space="preserve"> to be realised. </w:t>
      </w:r>
      <w:r w:rsidR="00D96BF8">
        <w:t>This report describe</w:t>
      </w:r>
      <w:r w:rsidR="00997C5A">
        <w:t>s</w:t>
      </w:r>
      <w:r w:rsidR="00D96BF8">
        <w:t xml:space="preserve"> a series of tensions, concerns, stresses, and threshold issues </w:t>
      </w:r>
      <w:r w:rsidR="00997C5A">
        <w:t xml:space="preserve">for </w:t>
      </w:r>
      <w:r w:rsidR="005567C1">
        <w:t xml:space="preserve">the Commission’s </w:t>
      </w:r>
      <w:r w:rsidR="00D96BF8">
        <w:t>consider</w:t>
      </w:r>
      <w:r w:rsidR="00997C5A">
        <w:t xml:space="preserve">ation. </w:t>
      </w:r>
      <w:r w:rsidR="00F275A5">
        <w:t xml:space="preserve"> </w:t>
      </w:r>
    </w:p>
    <w:p w14:paraId="5A9977CB" w14:textId="0231EE7F" w:rsidR="003B37F6" w:rsidRPr="003B37F6" w:rsidRDefault="0069380A" w:rsidP="005F1A91">
      <w:pPr>
        <w:pStyle w:val="Heading1"/>
        <w:rPr>
          <w:rFonts w:eastAsia="Times New Roman"/>
        </w:rPr>
      </w:pPr>
      <w:bookmarkStart w:id="3" w:name="_Toc96348270"/>
      <w:r w:rsidRPr="1137305B">
        <w:rPr>
          <w:rFonts w:eastAsia="Times New Roman"/>
        </w:rPr>
        <w:t xml:space="preserve">Brief of </w:t>
      </w:r>
      <w:r w:rsidR="00D63129">
        <w:rPr>
          <w:rFonts w:eastAsia="Times New Roman"/>
        </w:rPr>
        <w:t>w</w:t>
      </w:r>
      <w:r w:rsidRPr="1137305B">
        <w:rPr>
          <w:rFonts w:eastAsia="Times New Roman"/>
        </w:rPr>
        <w:t>ork</w:t>
      </w:r>
      <w:bookmarkEnd w:id="3"/>
      <w:r w:rsidRPr="1137305B">
        <w:rPr>
          <w:rFonts w:eastAsia="Times New Roman"/>
        </w:rPr>
        <w:t xml:space="preserve"> </w:t>
      </w:r>
    </w:p>
    <w:p w14:paraId="70A6FEA4" w14:textId="5D1217B5" w:rsidR="003B37F6" w:rsidRPr="006B75D8" w:rsidRDefault="003B37F6" w:rsidP="007B05B0">
      <w:pPr>
        <w:spacing w:before="240" w:after="120" w:line="240" w:lineRule="auto"/>
        <w:rPr>
          <w:rFonts w:ascii="Calibri" w:eastAsia="Times New Roman" w:hAnsi="Calibri" w:cs="Times New Roman"/>
        </w:rPr>
      </w:pPr>
      <w:r w:rsidRPr="007B05B0">
        <w:rPr>
          <w:rFonts w:ascii="Calibri" w:eastAsia="Times New Roman" w:hAnsi="Calibri" w:cs="Times New Roman"/>
        </w:rPr>
        <w:t>The Commission contracted</w:t>
      </w:r>
      <w:r w:rsidR="007D07D3">
        <w:rPr>
          <w:rFonts w:ascii="Calibri" w:eastAsia="Times New Roman" w:hAnsi="Calibri" w:cs="Times New Roman"/>
        </w:rPr>
        <w:t xml:space="preserve"> AGEP</w:t>
      </w:r>
      <w:r w:rsidRPr="006B75D8">
        <w:rPr>
          <w:rFonts w:ascii="Calibri" w:eastAsia="Times New Roman" w:hAnsi="Calibri" w:cs="Times New Roman"/>
        </w:rPr>
        <w:t xml:space="preserve"> to</w:t>
      </w:r>
      <w:r w:rsidR="004401FE" w:rsidRPr="006B75D8">
        <w:rPr>
          <w:rFonts w:ascii="Calibri" w:eastAsia="Times New Roman" w:hAnsi="Calibri" w:cs="Times New Roman"/>
        </w:rPr>
        <w:t>:</w:t>
      </w:r>
      <w:r w:rsidRPr="006B75D8">
        <w:rPr>
          <w:rFonts w:ascii="Calibri" w:eastAsia="Times New Roman" w:hAnsi="Calibri" w:cs="Times New Roman"/>
        </w:rPr>
        <w:t xml:space="preserve"> </w:t>
      </w:r>
    </w:p>
    <w:p w14:paraId="295B6DB7" w14:textId="170A7CE6" w:rsidR="00A630B2" w:rsidRPr="006B75D8" w:rsidRDefault="00A630B2" w:rsidP="007B05B0">
      <w:pPr>
        <w:pStyle w:val="ListParagraph"/>
        <w:numPr>
          <w:ilvl w:val="0"/>
          <w:numId w:val="12"/>
        </w:numPr>
        <w:spacing w:after="120" w:line="240" w:lineRule="auto"/>
        <w:ind w:left="426" w:hanging="426"/>
        <w:rPr>
          <w:rFonts w:ascii="Calibri" w:eastAsia="Times New Roman" w:hAnsi="Calibri" w:cs="Times New Roman"/>
        </w:rPr>
      </w:pPr>
      <w:r w:rsidRPr="006B75D8">
        <w:rPr>
          <w:rFonts w:ascii="Calibri" w:eastAsia="Times New Roman" w:hAnsi="Calibri" w:cs="Times New Roman"/>
        </w:rPr>
        <w:t xml:space="preserve">Undertake and conduct </w:t>
      </w:r>
      <w:r w:rsidR="00E905AD">
        <w:rPr>
          <w:rFonts w:ascii="Calibri" w:eastAsia="Times New Roman" w:hAnsi="Calibri" w:cs="Times New Roman"/>
        </w:rPr>
        <w:t xml:space="preserve">sector </w:t>
      </w:r>
      <w:r w:rsidRPr="006B75D8">
        <w:rPr>
          <w:rFonts w:ascii="Calibri" w:eastAsia="Times New Roman" w:hAnsi="Calibri" w:cs="Times New Roman"/>
        </w:rPr>
        <w:t xml:space="preserve">consultation </w:t>
      </w:r>
      <w:r w:rsidR="00E905AD">
        <w:rPr>
          <w:rFonts w:ascii="Calibri" w:eastAsia="Times New Roman" w:hAnsi="Calibri" w:cs="Times New Roman"/>
        </w:rPr>
        <w:t>regarding</w:t>
      </w:r>
      <w:r w:rsidRPr="006B75D8">
        <w:rPr>
          <w:rFonts w:ascii="Calibri" w:eastAsia="Times New Roman" w:hAnsi="Calibri" w:cs="Times New Roman"/>
        </w:rPr>
        <w:t xml:space="preserve"> the challenges and opportunities on GIA</w:t>
      </w:r>
      <w:r w:rsidR="008B15A4">
        <w:rPr>
          <w:rFonts w:ascii="Calibri" w:eastAsia="Times New Roman" w:hAnsi="Calibri" w:cs="Times New Roman"/>
        </w:rPr>
        <w:t>s</w:t>
      </w:r>
      <w:r w:rsidRPr="006B75D8">
        <w:rPr>
          <w:rFonts w:ascii="Calibri" w:eastAsia="Times New Roman" w:hAnsi="Calibri" w:cs="Times New Roman"/>
        </w:rPr>
        <w:t xml:space="preserve"> and their implementation with:</w:t>
      </w:r>
    </w:p>
    <w:p w14:paraId="338CC83E" w14:textId="77777777" w:rsidR="00A630B2" w:rsidRPr="006B75D8" w:rsidRDefault="00A630B2" w:rsidP="007B05B0">
      <w:pPr>
        <w:numPr>
          <w:ilvl w:val="0"/>
          <w:numId w:val="1"/>
        </w:numPr>
        <w:tabs>
          <w:tab w:val="clear" w:pos="1080"/>
          <w:tab w:val="num" w:pos="720"/>
        </w:tabs>
        <w:spacing w:after="120" w:line="240" w:lineRule="auto"/>
        <w:ind w:left="720"/>
        <w:contextualSpacing/>
        <w:rPr>
          <w:rFonts w:ascii="Calibri" w:eastAsia="Times New Roman" w:hAnsi="Calibri" w:cs="Times New Roman"/>
        </w:rPr>
      </w:pPr>
      <w:r w:rsidRPr="006B75D8">
        <w:rPr>
          <w:rFonts w:ascii="Calibri" w:eastAsia="Times New Roman" w:hAnsi="Calibri" w:cs="Times New Roman"/>
        </w:rPr>
        <w:t>Commission staff</w:t>
      </w:r>
    </w:p>
    <w:p w14:paraId="3AEAC64B" w14:textId="283816F1" w:rsidR="00A630B2" w:rsidRPr="006B75D8" w:rsidRDefault="00A630B2" w:rsidP="007B05B0">
      <w:pPr>
        <w:numPr>
          <w:ilvl w:val="0"/>
          <w:numId w:val="1"/>
        </w:numPr>
        <w:spacing w:after="120" w:line="240" w:lineRule="auto"/>
        <w:ind w:left="720"/>
        <w:contextualSpacing/>
        <w:rPr>
          <w:rFonts w:ascii="Calibri" w:eastAsia="Times New Roman" w:hAnsi="Calibri" w:cs="Times New Roman"/>
        </w:rPr>
      </w:pPr>
      <w:r w:rsidRPr="006B75D8">
        <w:rPr>
          <w:rFonts w:ascii="Calibri" w:eastAsia="Times New Roman" w:hAnsi="Calibri" w:cs="Times New Roman"/>
        </w:rPr>
        <w:t xml:space="preserve">Defined entities and other stakeholders </w:t>
      </w:r>
    </w:p>
    <w:p w14:paraId="5BC607EE" w14:textId="0AB4CCBF" w:rsidR="00A630B2" w:rsidRPr="006B75D8" w:rsidRDefault="00A630B2" w:rsidP="007B05B0">
      <w:pPr>
        <w:numPr>
          <w:ilvl w:val="0"/>
          <w:numId w:val="1"/>
        </w:numPr>
        <w:spacing w:after="120" w:line="240" w:lineRule="auto"/>
        <w:ind w:left="720"/>
        <w:contextualSpacing/>
        <w:rPr>
          <w:rFonts w:ascii="Calibri" w:eastAsia="Times New Roman" w:hAnsi="Calibri" w:cs="Times New Roman"/>
        </w:rPr>
      </w:pPr>
      <w:r w:rsidRPr="006B75D8">
        <w:rPr>
          <w:rFonts w:ascii="Calibri" w:eastAsia="Times New Roman" w:hAnsi="Calibri" w:cs="Times New Roman"/>
        </w:rPr>
        <w:t>Peak bodies as relevant</w:t>
      </w:r>
    </w:p>
    <w:p w14:paraId="5C55F791" w14:textId="572B29C0" w:rsidR="00A630B2" w:rsidRPr="006B75D8" w:rsidRDefault="00A630B2" w:rsidP="00A630B2">
      <w:pPr>
        <w:spacing w:after="120" w:line="264" w:lineRule="auto"/>
        <w:ind w:left="360"/>
        <w:contextualSpacing/>
        <w:rPr>
          <w:rFonts w:ascii="Calibri" w:eastAsia="Times New Roman" w:hAnsi="Calibri" w:cs="Times New Roman"/>
        </w:rPr>
      </w:pPr>
    </w:p>
    <w:p w14:paraId="48569F7A" w14:textId="1DACFA8B" w:rsidR="00CE492D" w:rsidRPr="006B75D8" w:rsidRDefault="001353F4" w:rsidP="007B05B0">
      <w:pPr>
        <w:pStyle w:val="ListParagraph"/>
        <w:numPr>
          <w:ilvl w:val="0"/>
          <w:numId w:val="12"/>
        </w:numPr>
        <w:spacing w:after="120" w:line="240" w:lineRule="auto"/>
        <w:ind w:left="426" w:hanging="426"/>
        <w:rPr>
          <w:rFonts w:ascii="Calibri" w:eastAsia="Times New Roman" w:hAnsi="Calibri" w:cs="Times New Roman"/>
        </w:rPr>
      </w:pPr>
      <w:r w:rsidRPr="006B75D8">
        <w:rPr>
          <w:rFonts w:ascii="Calibri" w:eastAsia="Times New Roman" w:hAnsi="Calibri" w:cs="Times New Roman"/>
        </w:rPr>
        <w:t>Develop and deliver an insights</w:t>
      </w:r>
      <w:r w:rsidR="009C528E" w:rsidRPr="006B75D8">
        <w:rPr>
          <w:rFonts w:ascii="Calibri" w:eastAsia="Times New Roman" w:hAnsi="Calibri" w:cs="Times New Roman"/>
        </w:rPr>
        <w:t xml:space="preserve"> report </w:t>
      </w:r>
      <w:r w:rsidR="00CE492D" w:rsidRPr="006B75D8">
        <w:rPr>
          <w:rFonts w:ascii="Calibri" w:eastAsia="Times New Roman" w:hAnsi="Calibri" w:cs="Times New Roman"/>
        </w:rPr>
        <w:t>that</w:t>
      </w:r>
      <w:r w:rsidR="007B05B0">
        <w:rPr>
          <w:rFonts w:ascii="Calibri" w:eastAsia="Times New Roman" w:hAnsi="Calibri" w:cs="Times New Roman"/>
        </w:rPr>
        <w:t>:</w:t>
      </w:r>
      <w:r w:rsidR="00CE492D" w:rsidRPr="006B75D8">
        <w:rPr>
          <w:rFonts w:ascii="Calibri" w:eastAsia="Times New Roman" w:hAnsi="Calibri" w:cs="Times New Roman"/>
        </w:rPr>
        <w:t xml:space="preserve"> </w:t>
      </w:r>
    </w:p>
    <w:p w14:paraId="7C63D2F5" w14:textId="486DE267" w:rsidR="003F7A6B" w:rsidRPr="006B75D8" w:rsidRDefault="00CE492D" w:rsidP="007B05B0">
      <w:pPr>
        <w:pStyle w:val="ListParagraph"/>
        <w:numPr>
          <w:ilvl w:val="0"/>
          <w:numId w:val="13"/>
        </w:numPr>
        <w:spacing w:after="120" w:line="240" w:lineRule="auto"/>
        <w:rPr>
          <w:rFonts w:ascii="Calibri" w:eastAsia="Times New Roman" w:hAnsi="Calibri" w:cs="Times New Roman"/>
        </w:rPr>
      </w:pPr>
      <w:r w:rsidRPr="006B75D8">
        <w:rPr>
          <w:rFonts w:ascii="Calibri" w:eastAsia="Times New Roman" w:hAnsi="Calibri" w:cs="Times New Roman"/>
        </w:rPr>
        <w:t xml:space="preserve">Defines </w:t>
      </w:r>
      <w:r w:rsidR="009C528E" w:rsidRPr="006B75D8">
        <w:rPr>
          <w:rFonts w:ascii="Calibri" w:eastAsia="Times New Roman" w:hAnsi="Calibri" w:cs="Times New Roman"/>
        </w:rPr>
        <w:t xml:space="preserve">the </w:t>
      </w:r>
      <w:r w:rsidR="001353F4" w:rsidRPr="006B75D8">
        <w:rPr>
          <w:rFonts w:ascii="Calibri" w:eastAsia="Times New Roman" w:hAnsi="Calibri" w:cs="Times New Roman"/>
        </w:rPr>
        <w:t>challenges and opportunities on implementing GIA</w:t>
      </w:r>
      <w:r w:rsidR="00DD18A3">
        <w:rPr>
          <w:rFonts w:ascii="Calibri" w:eastAsia="Times New Roman" w:hAnsi="Calibri" w:cs="Times New Roman"/>
        </w:rPr>
        <w:t>s</w:t>
      </w:r>
      <w:r w:rsidR="001353F4" w:rsidRPr="006B75D8">
        <w:rPr>
          <w:rFonts w:ascii="Calibri" w:eastAsia="Times New Roman" w:hAnsi="Calibri" w:cs="Times New Roman"/>
        </w:rPr>
        <w:t xml:space="preserve"> and the factors</w:t>
      </w:r>
      <w:r w:rsidR="003F7A6B" w:rsidRPr="006B75D8">
        <w:rPr>
          <w:rFonts w:ascii="Calibri" w:eastAsia="Times New Roman" w:hAnsi="Calibri" w:cs="Times New Roman"/>
        </w:rPr>
        <w:t xml:space="preserve"> including but not limited to:</w:t>
      </w:r>
    </w:p>
    <w:p w14:paraId="1CA106E7" w14:textId="02A4FFD2" w:rsidR="003F7A6B" w:rsidRPr="006B75D8" w:rsidRDefault="003F7A6B" w:rsidP="007B05B0">
      <w:pPr>
        <w:numPr>
          <w:ilvl w:val="0"/>
          <w:numId w:val="1"/>
        </w:numPr>
        <w:tabs>
          <w:tab w:val="clear" w:pos="1080"/>
          <w:tab w:val="num" w:pos="720"/>
        </w:tabs>
        <w:spacing w:after="120" w:line="240" w:lineRule="auto"/>
        <w:ind w:left="720"/>
        <w:contextualSpacing/>
        <w:rPr>
          <w:rFonts w:ascii="Calibri" w:eastAsia="Times New Roman" w:hAnsi="Calibri" w:cs="Times New Roman"/>
        </w:rPr>
      </w:pPr>
      <w:r w:rsidRPr="006B75D8">
        <w:rPr>
          <w:rFonts w:ascii="Calibri" w:eastAsia="Times New Roman" w:hAnsi="Calibri" w:cs="Times New Roman"/>
        </w:rPr>
        <w:t xml:space="preserve">Challenges </w:t>
      </w:r>
      <w:r w:rsidR="00661514">
        <w:rPr>
          <w:rFonts w:ascii="Calibri" w:eastAsia="Times New Roman" w:hAnsi="Calibri" w:cs="Times New Roman"/>
        </w:rPr>
        <w:t>of</w:t>
      </w:r>
      <w:r w:rsidRPr="006B75D8">
        <w:rPr>
          <w:rFonts w:ascii="Calibri" w:eastAsia="Times New Roman" w:hAnsi="Calibri" w:cs="Times New Roman"/>
        </w:rPr>
        <w:t xml:space="preserve"> embedding a GIA approach organisation-wide</w:t>
      </w:r>
    </w:p>
    <w:p w14:paraId="6892962B" w14:textId="75CC6E30" w:rsidR="003F7A6B" w:rsidRPr="007B05B0" w:rsidRDefault="003F7A6B" w:rsidP="007B05B0">
      <w:pPr>
        <w:numPr>
          <w:ilvl w:val="0"/>
          <w:numId w:val="1"/>
        </w:numPr>
        <w:tabs>
          <w:tab w:val="clear" w:pos="1080"/>
          <w:tab w:val="num" w:pos="720"/>
        </w:tabs>
        <w:spacing w:after="120" w:line="240" w:lineRule="auto"/>
        <w:ind w:left="720"/>
        <w:contextualSpacing/>
        <w:rPr>
          <w:rFonts w:ascii="Calibri" w:eastAsia="Times New Roman" w:hAnsi="Calibri" w:cs="Times New Roman"/>
        </w:rPr>
      </w:pPr>
      <w:r w:rsidRPr="006B75D8">
        <w:rPr>
          <w:rFonts w:ascii="Calibri" w:eastAsia="Times New Roman" w:hAnsi="Calibri" w:cs="Times New Roman"/>
        </w:rPr>
        <w:t xml:space="preserve">How GIA support needs vary based on </w:t>
      </w:r>
      <w:r w:rsidR="007B05B0">
        <w:rPr>
          <w:rFonts w:ascii="Calibri" w:eastAsia="Times New Roman" w:hAnsi="Calibri" w:cs="Times New Roman"/>
        </w:rPr>
        <w:t xml:space="preserve">the </w:t>
      </w:r>
      <w:r w:rsidRPr="007B05B0">
        <w:rPr>
          <w:rFonts w:ascii="Calibri" w:eastAsia="Times New Roman" w:hAnsi="Calibri" w:cs="Times New Roman"/>
        </w:rPr>
        <w:t>sector</w:t>
      </w:r>
      <w:r w:rsidR="007B05B0">
        <w:rPr>
          <w:rFonts w:ascii="Calibri" w:eastAsia="Times New Roman" w:hAnsi="Calibri" w:cs="Times New Roman"/>
        </w:rPr>
        <w:t xml:space="preserve"> and</w:t>
      </w:r>
      <w:r w:rsidRPr="006B75D8">
        <w:rPr>
          <w:rFonts w:ascii="Calibri" w:eastAsia="Times New Roman" w:hAnsi="Calibri" w:cs="Times New Roman"/>
        </w:rPr>
        <w:t xml:space="preserve"> </w:t>
      </w:r>
      <w:r w:rsidR="007B05B0">
        <w:rPr>
          <w:rFonts w:ascii="Calibri" w:eastAsia="Times New Roman" w:hAnsi="Calibri" w:cs="Times New Roman"/>
        </w:rPr>
        <w:t xml:space="preserve">an </w:t>
      </w:r>
      <w:r w:rsidRPr="007B05B0">
        <w:rPr>
          <w:rFonts w:ascii="Calibri" w:eastAsia="Times New Roman" w:hAnsi="Calibri" w:cs="Times New Roman"/>
        </w:rPr>
        <w:t>organisation</w:t>
      </w:r>
      <w:r w:rsidR="007B05B0">
        <w:rPr>
          <w:rFonts w:ascii="Calibri" w:eastAsia="Times New Roman" w:hAnsi="Calibri" w:cs="Times New Roman"/>
        </w:rPr>
        <w:t>’s</w:t>
      </w:r>
      <w:r w:rsidRPr="007B05B0">
        <w:rPr>
          <w:rFonts w:ascii="Calibri" w:eastAsia="Times New Roman" w:hAnsi="Calibri" w:cs="Times New Roman"/>
        </w:rPr>
        <w:t xml:space="preserve"> size and resourcing</w:t>
      </w:r>
    </w:p>
    <w:p w14:paraId="5A97F00C" w14:textId="3A937278" w:rsidR="003F7A6B" w:rsidRPr="007B05B0" w:rsidRDefault="003F7A6B" w:rsidP="007B05B0">
      <w:pPr>
        <w:numPr>
          <w:ilvl w:val="0"/>
          <w:numId w:val="1"/>
        </w:numPr>
        <w:tabs>
          <w:tab w:val="clear" w:pos="1080"/>
          <w:tab w:val="num" w:pos="720"/>
        </w:tabs>
        <w:spacing w:after="120" w:line="240" w:lineRule="auto"/>
        <w:ind w:left="720"/>
        <w:contextualSpacing/>
        <w:rPr>
          <w:rFonts w:ascii="Calibri" w:eastAsia="Times New Roman" w:hAnsi="Calibri" w:cs="Times New Roman"/>
        </w:rPr>
      </w:pPr>
      <w:r w:rsidRPr="007B05B0">
        <w:rPr>
          <w:rFonts w:ascii="Calibri" w:eastAsia="Times New Roman" w:hAnsi="Calibri" w:cs="Times New Roman"/>
        </w:rPr>
        <w:t>How GIA support needs vary based on the scope and nature of the relevant policy, program</w:t>
      </w:r>
      <w:r w:rsidR="00DD18A3">
        <w:rPr>
          <w:rFonts w:ascii="Calibri" w:eastAsia="Times New Roman" w:hAnsi="Calibri" w:cs="Times New Roman"/>
        </w:rPr>
        <w:t>,</w:t>
      </w:r>
      <w:r w:rsidRPr="007B05B0">
        <w:rPr>
          <w:rFonts w:ascii="Calibri" w:eastAsia="Times New Roman" w:hAnsi="Calibri" w:cs="Times New Roman"/>
        </w:rPr>
        <w:t xml:space="preserve"> or service.</w:t>
      </w:r>
    </w:p>
    <w:p w14:paraId="22D099C5" w14:textId="459B3265" w:rsidR="00CE492D" w:rsidRPr="007B05B0" w:rsidRDefault="00A630B2" w:rsidP="007B05B0">
      <w:pPr>
        <w:pStyle w:val="ListParagraph"/>
        <w:numPr>
          <w:ilvl w:val="0"/>
          <w:numId w:val="13"/>
        </w:numPr>
        <w:spacing w:after="120" w:line="240" w:lineRule="auto"/>
        <w:rPr>
          <w:rFonts w:ascii="Calibri" w:eastAsia="Times New Roman" w:hAnsi="Calibri" w:cs="Times New Roman"/>
        </w:rPr>
      </w:pPr>
      <w:r w:rsidRPr="007B05B0">
        <w:rPr>
          <w:rFonts w:ascii="Calibri" w:eastAsia="Times New Roman" w:hAnsi="Calibri" w:cs="Times New Roman"/>
        </w:rPr>
        <w:t>Analyses current gaps in guidance</w:t>
      </w:r>
      <w:r w:rsidR="003D22CF">
        <w:rPr>
          <w:rFonts w:ascii="Calibri" w:eastAsia="Times New Roman" w:hAnsi="Calibri" w:cs="Times New Roman"/>
        </w:rPr>
        <w:t>,</w:t>
      </w:r>
      <w:r w:rsidRPr="007B05B0">
        <w:rPr>
          <w:rFonts w:ascii="Calibri" w:eastAsia="Times New Roman" w:hAnsi="Calibri" w:cs="Times New Roman"/>
        </w:rPr>
        <w:t xml:space="preserve"> training</w:t>
      </w:r>
      <w:r w:rsidR="00DD18A3">
        <w:rPr>
          <w:rFonts w:ascii="Calibri" w:eastAsia="Times New Roman" w:hAnsi="Calibri" w:cs="Times New Roman"/>
        </w:rPr>
        <w:t>,</w:t>
      </w:r>
      <w:r w:rsidRPr="007B05B0">
        <w:rPr>
          <w:rFonts w:ascii="Calibri" w:eastAsia="Times New Roman" w:hAnsi="Calibri" w:cs="Times New Roman"/>
        </w:rPr>
        <w:t xml:space="preserve"> and advice</w:t>
      </w:r>
    </w:p>
    <w:p w14:paraId="47A05C30" w14:textId="4D824ABE" w:rsidR="00580C2D" w:rsidRDefault="00A630B2" w:rsidP="007B05B0">
      <w:pPr>
        <w:pStyle w:val="ListParagraph"/>
        <w:numPr>
          <w:ilvl w:val="0"/>
          <w:numId w:val="13"/>
        </w:numPr>
        <w:spacing w:after="120" w:line="240" w:lineRule="auto"/>
        <w:rPr>
          <w:rFonts w:ascii="Calibri" w:eastAsia="Times New Roman" w:hAnsi="Calibri" w:cs="Times New Roman"/>
        </w:rPr>
      </w:pPr>
      <w:r w:rsidRPr="007B05B0">
        <w:rPr>
          <w:rFonts w:ascii="Calibri" w:eastAsia="Times New Roman" w:hAnsi="Calibri" w:cs="Times New Roman"/>
        </w:rPr>
        <w:t>Puts forward recommendations on additional guidance materials</w:t>
      </w:r>
      <w:r w:rsidR="003E5E06">
        <w:rPr>
          <w:rFonts w:ascii="Calibri" w:eastAsia="Times New Roman" w:hAnsi="Calibri" w:cs="Times New Roman"/>
        </w:rPr>
        <w:t xml:space="preserve"> and </w:t>
      </w:r>
      <w:r w:rsidRPr="007B05B0">
        <w:rPr>
          <w:rFonts w:ascii="Calibri" w:eastAsia="Times New Roman" w:hAnsi="Calibri" w:cs="Times New Roman"/>
        </w:rPr>
        <w:t>education that meet</w:t>
      </w:r>
      <w:r w:rsidR="003D22CF">
        <w:rPr>
          <w:rFonts w:ascii="Calibri" w:eastAsia="Times New Roman" w:hAnsi="Calibri" w:cs="Times New Roman"/>
        </w:rPr>
        <w:t>s</w:t>
      </w:r>
      <w:r w:rsidRPr="007B05B0">
        <w:rPr>
          <w:rFonts w:ascii="Calibri" w:eastAsia="Times New Roman" w:hAnsi="Calibri" w:cs="Times New Roman"/>
        </w:rPr>
        <w:t xml:space="preserve"> the identified needs</w:t>
      </w:r>
      <w:r w:rsidR="003E5E06">
        <w:rPr>
          <w:rFonts w:ascii="Calibri" w:eastAsia="Times New Roman" w:hAnsi="Calibri" w:cs="Times New Roman"/>
        </w:rPr>
        <w:t xml:space="preserve"> of defined entities</w:t>
      </w:r>
      <w:r w:rsidRPr="007B05B0">
        <w:rPr>
          <w:rFonts w:ascii="Calibri" w:eastAsia="Times New Roman" w:hAnsi="Calibri" w:cs="Times New Roman"/>
        </w:rPr>
        <w:t>.</w:t>
      </w:r>
    </w:p>
    <w:p w14:paraId="2731010E" w14:textId="77777777" w:rsidR="007B05B0" w:rsidRPr="007B05B0" w:rsidRDefault="007B05B0" w:rsidP="007B05B0">
      <w:pPr>
        <w:pStyle w:val="ListParagraph"/>
        <w:spacing w:after="120" w:line="240" w:lineRule="auto"/>
        <w:rPr>
          <w:rFonts w:ascii="Calibri" w:eastAsia="Times New Roman" w:hAnsi="Calibri" w:cs="Times New Roman"/>
        </w:rPr>
      </w:pPr>
    </w:p>
    <w:p w14:paraId="3F001D67" w14:textId="35BAB340" w:rsidR="00A630B2" w:rsidRPr="0001450A" w:rsidRDefault="00A630B2" w:rsidP="0001450A">
      <w:pPr>
        <w:spacing w:after="120" w:line="264" w:lineRule="auto"/>
        <w:rPr>
          <w:rFonts w:ascii="Calibri" w:eastAsia="Times New Roman" w:hAnsi="Calibri" w:cs="Times New Roman"/>
          <w:sz w:val="21"/>
          <w:szCs w:val="21"/>
        </w:rPr>
      </w:pPr>
    </w:p>
    <w:p w14:paraId="315F8451" w14:textId="11E0E2F0" w:rsidR="009C528E" w:rsidRDefault="009C528E" w:rsidP="00FD4E30">
      <w:pPr>
        <w:spacing w:before="240" w:after="120" w:line="264" w:lineRule="auto"/>
        <w:rPr>
          <w:rFonts w:ascii="Calibri" w:eastAsia="Times New Roman" w:hAnsi="Calibri" w:cs="Times New Roman"/>
          <w:sz w:val="21"/>
          <w:szCs w:val="21"/>
        </w:rPr>
      </w:pPr>
    </w:p>
    <w:p w14:paraId="22406B70" w14:textId="77777777" w:rsidR="00346EBB" w:rsidRDefault="00346EBB">
      <w:pPr>
        <w:rPr>
          <w:rFonts w:asciiTheme="majorHAnsi" w:eastAsia="Times New Roman" w:hAnsiTheme="majorHAnsi" w:cstheme="majorBidi"/>
          <w:spacing w:val="-10"/>
          <w:kern w:val="28"/>
          <w:sz w:val="56"/>
          <w:szCs w:val="56"/>
        </w:rPr>
      </w:pPr>
      <w:r>
        <w:rPr>
          <w:rFonts w:eastAsia="Times New Roman"/>
        </w:rPr>
        <w:br w:type="page"/>
      </w:r>
    </w:p>
    <w:p w14:paraId="22F7E692" w14:textId="504FD8E3" w:rsidR="00DB525C" w:rsidRPr="004A25F6" w:rsidRDefault="00DB525C" w:rsidP="00032DFB">
      <w:pPr>
        <w:pStyle w:val="Title"/>
        <w:rPr>
          <w:rFonts w:eastAsia="Times New Roman"/>
        </w:rPr>
      </w:pPr>
      <w:bookmarkStart w:id="4" w:name="_Toc96348271"/>
      <w:r w:rsidRPr="004A25F6">
        <w:rPr>
          <w:rFonts w:eastAsia="Times New Roman"/>
        </w:rPr>
        <w:lastRenderedPageBreak/>
        <w:t xml:space="preserve">Methodology and </w:t>
      </w:r>
      <w:r w:rsidR="0057729D">
        <w:rPr>
          <w:rFonts w:eastAsia="Times New Roman"/>
        </w:rPr>
        <w:t>a</w:t>
      </w:r>
      <w:r w:rsidRPr="004A25F6">
        <w:rPr>
          <w:rFonts w:eastAsia="Times New Roman"/>
        </w:rPr>
        <w:t>pproach</w:t>
      </w:r>
      <w:bookmarkEnd w:id="4"/>
    </w:p>
    <w:p w14:paraId="2C5F4739" w14:textId="7E878F2B" w:rsidR="00041016" w:rsidRDefault="00805F58" w:rsidP="00032DFB">
      <w:pPr>
        <w:pStyle w:val="Heading1"/>
      </w:pPr>
      <w:bookmarkStart w:id="5" w:name="_Toc96348272"/>
      <w:r>
        <w:t>Introduction</w:t>
      </w:r>
      <w:bookmarkEnd w:id="5"/>
    </w:p>
    <w:p w14:paraId="7CB983F5" w14:textId="6A3EDE2D" w:rsidR="00805F58" w:rsidRDefault="009A2301" w:rsidP="004676B8">
      <w:pPr>
        <w:spacing w:before="240"/>
      </w:pPr>
      <w:r>
        <w:t>T</w:t>
      </w:r>
      <w:r w:rsidR="007E1CE2">
        <w:t>he</w:t>
      </w:r>
      <w:r w:rsidR="00805F58">
        <w:t xml:space="preserve"> project </w:t>
      </w:r>
      <w:r w:rsidR="007E1CE2">
        <w:t xml:space="preserve">team </w:t>
      </w:r>
      <w:r w:rsidR="00805F58">
        <w:t>designed a consultation approach t</w:t>
      </w:r>
      <w:r>
        <w:t>o</w:t>
      </w:r>
      <w:r w:rsidR="00805F58">
        <w:t xml:space="preserve"> answer the following </w:t>
      </w:r>
      <w:r w:rsidR="008B4BB2">
        <w:t xml:space="preserve">high-level </w:t>
      </w:r>
      <w:r w:rsidR="00C4280E">
        <w:t>questions:</w:t>
      </w:r>
    </w:p>
    <w:p w14:paraId="2F08E02F" w14:textId="6DE92D7F" w:rsidR="00E41BB5" w:rsidRDefault="00E41BB5" w:rsidP="00C034EE">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defined entities implementing GIA</w:t>
      </w:r>
      <w:r w:rsidR="00DD18A3">
        <w:rPr>
          <w:rStyle w:val="normaltextrun"/>
          <w:rFonts w:ascii="Calibri" w:hAnsi="Calibri" w:cs="Calibri"/>
          <w:sz w:val="22"/>
          <w:szCs w:val="22"/>
        </w:rPr>
        <w:t>s</w:t>
      </w:r>
      <w:r>
        <w:rPr>
          <w:rStyle w:val="normaltextrun"/>
          <w:rFonts w:ascii="Calibri" w:hAnsi="Calibri" w:cs="Calibri"/>
          <w:sz w:val="22"/>
          <w:szCs w:val="22"/>
        </w:rPr>
        <w:t xml:space="preserve"> and to what extent? </w:t>
      </w:r>
    </w:p>
    <w:p w14:paraId="1D6362EC" w14:textId="26F563F8" w:rsidR="00E41BB5" w:rsidRDefault="00E41BB5" w:rsidP="00C034EE">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is enabling implementation and what are the barriers to implementation?</w:t>
      </w:r>
    </w:p>
    <w:p w14:paraId="08325766" w14:textId="45C676CE" w:rsidR="00B63ECE" w:rsidRPr="007E1CE2" w:rsidRDefault="00E41BB5" w:rsidP="00C034EE">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additional support is needed?</w:t>
      </w:r>
      <w:r>
        <w:rPr>
          <w:rStyle w:val="eop"/>
          <w:rFonts w:ascii="Calibri" w:eastAsiaTheme="majorEastAsia" w:hAnsi="Calibri" w:cs="Calibri"/>
          <w:sz w:val="22"/>
          <w:szCs w:val="22"/>
        </w:rPr>
        <w:t> </w:t>
      </w:r>
    </w:p>
    <w:p w14:paraId="51A5D7BC" w14:textId="3E6DB100" w:rsidR="00B63ECE" w:rsidRDefault="00B63ECE" w:rsidP="00B63ECE">
      <w:pPr>
        <w:spacing w:before="240"/>
      </w:pPr>
      <w:r>
        <w:t>The consultation was conducted over the month of January 2022</w:t>
      </w:r>
      <w:r w:rsidR="000F0F6F">
        <w:t>. The consultation approach</w:t>
      </w:r>
      <w:r w:rsidR="004F21D3">
        <w:t xml:space="preserve"> </w:t>
      </w:r>
      <w:r w:rsidR="000F0F6F">
        <w:t>included:</w:t>
      </w:r>
    </w:p>
    <w:p w14:paraId="62522482" w14:textId="15CDDD60" w:rsidR="00B63ECE" w:rsidRDefault="000F0F6F" w:rsidP="00C034EE">
      <w:pPr>
        <w:pStyle w:val="ListParagraph"/>
        <w:numPr>
          <w:ilvl w:val="0"/>
          <w:numId w:val="5"/>
        </w:numPr>
        <w:spacing w:before="240"/>
      </w:pPr>
      <w:r>
        <w:t>A</w:t>
      </w:r>
      <w:r w:rsidR="004E6B29">
        <w:t>n online</w:t>
      </w:r>
      <w:r>
        <w:t xml:space="preserve"> s</w:t>
      </w:r>
      <w:r w:rsidR="00B63ECE">
        <w:t>urvey</w:t>
      </w:r>
      <w:r w:rsidR="004E6B29">
        <w:t xml:space="preserve"> that</w:t>
      </w:r>
      <w:r w:rsidR="00B63ECE">
        <w:t xml:space="preserve"> was promoted through the Commission</w:t>
      </w:r>
      <w:r>
        <w:t>’s e-</w:t>
      </w:r>
      <w:r w:rsidR="00B63ECE">
        <w:t>newsletter</w:t>
      </w:r>
      <w:r w:rsidR="004641D2">
        <w:t>.</w:t>
      </w:r>
    </w:p>
    <w:p w14:paraId="044F6792" w14:textId="15B26F50" w:rsidR="00B63ECE" w:rsidRDefault="00B63ECE" w:rsidP="00C034EE">
      <w:pPr>
        <w:pStyle w:val="ListParagraph"/>
        <w:numPr>
          <w:ilvl w:val="0"/>
          <w:numId w:val="5"/>
        </w:numPr>
        <w:spacing w:before="240"/>
      </w:pPr>
      <w:r>
        <w:t>Interviews with practitioners in defined entities that have experience</w:t>
      </w:r>
      <w:r w:rsidR="000F0F6F">
        <w:t xml:space="preserve">d the challenges </w:t>
      </w:r>
      <w:r>
        <w:t xml:space="preserve">and opportunities </w:t>
      </w:r>
      <w:r w:rsidR="000F0F6F">
        <w:t>of</w:t>
      </w:r>
      <w:r>
        <w:t xml:space="preserve"> implement</w:t>
      </w:r>
      <w:r w:rsidR="000F0F6F">
        <w:t>ing</w:t>
      </w:r>
      <w:r>
        <w:t xml:space="preserve"> GIA</w:t>
      </w:r>
      <w:r w:rsidR="00DD18A3">
        <w:t>s</w:t>
      </w:r>
      <w:r w:rsidR="004641D2">
        <w:t>.</w:t>
      </w:r>
    </w:p>
    <w:p w14:paraId="7545056E" w14:textId="1246ADC1" w:rsidR="00B63ECE" w:rsidRDefault="00B63ECE" w:rsidP="00C034EE">
      <w:pPr>
        <w:pStyle w:val="ListParagraph"/>
        <w:numPr>
          <w:ilvl w:val="0"/>
          <w:numId w:val="5"/>
        </w:numPr>
        <w:spacing w:before="240"/>
      </w:pPr>
      <w:r>
        <w:t xml:space="preserve">Focus </w:t>
      </w:r>
      <w:r w:rsidR="000F0F6F">
        <w:t>g</w:t>
      </w:r>
      <w:r>
        <w:t>roups with</w:t>
      </w:r>
      <w:r w:rsidR="000F0F6F">
        <w:t xml:space="preserve"> key</w:t>
      </w:r>
      <w:r>
        <w:t xml:space="preserve"> stakeholders identified by the Commission and the project team as having the capacity to provide insights on GIA implementation</w:t>
      </w:r>
      <w:r w:rsidR="000F0F6F">
        <w:t>.</w:t>
      </w:r>
    </w:p>
    <w:p w14:paraId="0E0CF5F5" w14:textId="446BA3FD" w:rsidR="00B63ECE" w:rsidRDefault="00B63ECE" w:rsidP="00B63ECE">
      <w:pPr>
        <w:pStyle w:val="Heading2"/>
      </w:pPr>
      <w:bookmarkStart w:id="6" w:name="_Toc96348273"/>
      <w:r>
        <w:t xml:space="preserve">Background and </w:t>
      </w:r>
      <w:r w:rsidR="00757322">
        <w:t xml:space="preserve">methodology </w:t>
      </w:r>
      <w:r w:rsidR="000F0F6F">
        <w:t>f</w:t>
      </w:r>
      <w:r>
        <w:t>ramework</w:t>
      </w:r>
      <w:bookmarkEnd w:id="6"/>
    </w:p>
    <w:p w14:paraId="6A918C61" w14:textId="2770BEAA" w:rsidR="007A42CE" w:rsidRDefault="007A42CE" w:rsidP="004676B8">
      <w:pPr>
        <w:spacing w:before="240"/>
      </w:pPr>
      <w:r>
        <w:t xml:space="preserve">The methodology seeks to understand the enablers and barriers within the transformative foundations of the </w:t>
      </w:r>
      <w:r w:rsidR="009C27E0">
        <w:t>GE</w:t>
      </w:r>
      <w:r>
        <w:t xml:space="preserve"> Act. </w:t>
      </w:r>
      <w:r w:rsidR="00017A30">
        <w:t xml:space="preserve">The question design enabled the project team to </w:t>
      </w:r>
      <w:r w:rsidR="00623945">
        <w:t xml:space="preserve">understand </w:t>
      </w:r>
      <w:r>
        <w:t>the barriers and enablers</w:t>
      </w:r>
      <w:r w:rsidR="00562C95">
        <w:t xml:space="preserve"> to implementing GIA</w:t>
      </w:r>
      <w:r w:rsidR="00DD18A3">
        <w:t>s</w:t>
      </w:r>
      <w:r w:rsidR="00562C95">
        <w:t xml:space="preserve"> within</w:t>
      </w:r>
      <w:r>
        <w:t xml:space="preserve"> defined entities and the public sector more broadly. </w:t>
      </w:r>
    </w:p>
    <w:p w14:paraId="00DB4FB4" w14:textId="7E66A18B" w:rsidR="006151F0" w:rsidRDefault="00910C2C" w:rsidP="004676B8">
      <w:pPr>
        <w:spacing w:before="240"/>
      </w:pPr>
      <w:r>
        <w:t>GIA</w:t>
      </w:r>
      <w:r w:rsidR="00DD18A3">
        <w:t>s</w:t>
      </w:r>
      <w:r w:rsidR="00FB2FD1">
        <w:t xml:space="preserve"> ensure that programs, policies</w:t>
      </w:r>
      <w:r w:rsidR="00DD18A3">
        <w:t>,</w:t>
      </w:r>
      <w:r w:rsidR="00FB2FD1">
        <w:t xml:space="preserve"> and services are “responsive to the needs of all citizens”</w:t>
      </w:r>
      <w:r w:rsidR="00DD18A3">
        <w:t>.</w:t>
      </w:r>
      <w:r w:rsidR="005D3421">
        <w:rPr>
          <w:rStyle w:val="FootnoteReference"/>
        </w:rPr>
        <w:footnoteReference w:id="5"/>
      </w:r>
      <w:r w:rsidR="00785E8A">
        <w:t xml:space="preserve"> GIA</w:t>
      </w:r>
      <w:r w:rsidR="00DD18A3">
        <w:t>s</w:t>
      </w:r>
      <w:r w:rsidR="00785E8A">
        <w:t xml:space="preserve"> are used across the world to shift the reality that policy</w:t>
      </w:r>
      <w:r w:rsidR="00E84C44">
        <w:t>,</w:t>
      </w:r>
      <w:r w:rsidR="00785E8A">
        <w:t xml:space="preserve"> programs</w:t>
      </w:r>
      <w:r w:rsidR="00DD18A3">
        <w:t>,</w:t>
      </w:r>
      <w:r w:rsidR="00785E8A">
        <w:t xml:space="preserve"> and services delivered by </w:t>
      </w:r>
      <w:r w:rsidR="006C5870">
        <w:t xml:space="preserve">organisations </w:t>
      </w:r>
      <w:r w:rsidR="00E84C44">
        <w:t xml:space="preserve">– be that </w:t>
      </w:r>
      <w:r w:rsidR="006C5870">
        <w:t>private or public</w:t>
      </w:r>
      <w:r w:rsidR="00DD18A3">
        <w:t xml:space="preserve"> – </w:t>
      </w:r>
      <w:r w:rsidR="006C5870">
        <w:t xml:space="preserve">are not </w:t>
      </w:r>
      <w:r w:rsidR="00DD18A3">
        <w:t>‘</w:t>
      </w:r>
      <w:r w:rsidR="006C5870">
        <w:t>gender neutral</w:t>
      </w:r>
      <w:r w:rsidR="00DD18A3">
        <w:t>’</w:t>
      </w:r>
      <w:r w:rsidR="00D56522">
        <w:t>,</w:t>
      </w:r>
      <w:r w:rsidR="006C5870">
        <w:t xml:space="preserve"> </w:t>
      </w:r>
      <w:r w:rsidR="00D56522">
        <w:t>b</w:t>
      </w:r>
      <w:r w:rsidR="006C5870">
        <w:t>ut</w:t>
      </w:r>
      <w:r w:rsidR="00E84C44">
        <w:t xml:space="preserve"> rather</w:t>
      </w:r>
      <w:r w:rsidR="006C5870">
        <w:t xml:space="preserve"> are the result</w:t>
      </w:r>
      <w:r w:rsidR="00FD6029">
        <w:t xml:space="preserve"> and reflection of </w:t>
      </w:r>
      <w:r w:rsidR="006C5870">
        <w:t>structural gender inequality present across our society</w:t>
      </w:r>
      <w:r w:rsidR="00D13EB0">
        <w:t>.</w:t>
      </w:r>
      <w:r w:rsidR="00A61D95">
        <w:t xml:space="preserve"> </w:t>
      </w:r>
      <w:r w:rsidR="002E5927">
        <w:t xml:space="preserve">The </w:t>
      </w:r>
      <w:r w:rsidR="00103A8E">
        <w:t xml:space="preserve">obligations of the </w:t>
      </w:r>
      <w:r w:rsidR="009C27E0">
        <w:t xml:space="preserve">GE </w:t>
      </w:r>
      <w:r w:rsidR="002E5927">
        <w:t>Act</w:t>
      </w:r>
      <w:r w:rsidR="00103A8E">
        <w:t xml:space="preserve"> </w:t>
      </w:r>
      <w:r w:rsidR="00A61D95">
        <w:t xml:space="preserve">seek to </w:t>
      </w:r>
      <w:r w:rsidR="00E84C44">
        <w:t>re</w:t>
      </w:r>
      <w:r w:rsidR="00A61D95">
        <w:t xml:space="preserve">dress the root causes of gender inequality </w:t>
      </w:r>
      <w:r w:rsidR="000C724F">
        <w:t xml:space="preserve">and </w:t>
      </w:r>
      <w:r w:rsidR="00103A8E">
        <w:t>“make lasting and genuine progress towards gender equality across the community”</w:t>
      </w:r>
      <w:r w:rsidR="00D56522">
        <w:t>.</w:t>
      </w:r>
      <w:r w:rsidR="00103A8E">
        <w:rPr>
          <w:rStyle w:val="FootnoteReference"/>
        </w:rPr>
        <w:footnoteReference w:id="6"/>
      </w:r>
      <w:r w:rsidR="00B4279B">
        <w:t xml:space="preserve"> The</w:t>
      </w:r>
      <w:r w:rsidR="009C27E0">
        <w:t xml:space="preserve"> GE</w:t>
      </w:r>
      <w:r w:rsidR="00B4279B">
        <w:t xml:space="preserve"> Act seek</w:t>
      </w:r>
      <w:r w:rsidR="00E84C44">
        <w:t>s</w:t>
      </w:r>
      <w:r w:rsidR="00B4279B">
        <w:t xml:space="preserve"> transformational intersectional gender equality </w:t>
      </w:r>
      <w:r w:rsidR="00F52475">
        <w:t xml:space="preserve">and GIA </w:t>
      </w:r>
      <w:r w:rsidR="007E3A17">
        <w:t xml:space="preserve">is </w:t>
      </w:r>
      <w:r w:rsidR="00E84C44">
        <w:t>a tool i</w:t>
      </w:r>
      <w:r w:rsidR="007E3A17">
        <w:t>n</w:t>
      </w:r>
      <w:r w:rsidR="00E84C44">
        <w:t xml:space="preserve"> achieving this change</w:t>
      </w:r>
      <w:r w:rsidR="00F52475">
        <w:t>.</w:t>
      </w:r>
    </w:p>
    <w:p w14:paraId="360CA391" w14:textId="090E03A5" w:rsidR="001F0112" w:rsidRDefault="001F0112" w:rsidP="006B75D8">
      <w:pPr>
        <w:pStyle w:val="Quote"/>
      </w:pPr>
      <w:r w:rsidRPr="001F0112">
        <w:t>Gender transformative approaches (GTA) are programs and interventions that create opportunities for individuals to actively challenge gender norms, promote positions of social and political influence for women in communities, and address power inequities between persons of different genders. GTA create an enabling environment for gender transformation by going beyond just including women as participants. GTA are part of a continuum of gender integration, or the integration of gender issues into all aspects of program and policy conceptualization, development, implementation</w:t>
      </w:r>
      <w:r w:rsidR="00F0077D">
        <w:t>,</w:t>
      </w:r>
      <w:r w:rsidRPr="001F0112">
        <w:t xml:space="preserve"> and evaluation.</w:t>
      </w:r>
      <w:r w:rsidR="000B452A" w:rsidRPr="000B452A">
        <w:rPr>
          <w:rStyle w:val="FootnoteReference"/>
          <w:sz w:val="20"/>
          <w:szCs w:val="20"/>
        </w:rPr>
        <w:t xml:space="preserve"> </w:t>
      </w:r>
      <w:r w:rsidR="000B452A" w:rsidRPr="1137305B">
        <w:rPr>
          <w:rStyle w:val="FootnoteReference"/>
          <w:sz w:val="20"/>
          <w:szCs w:val="20"/>
        </w:rPr>
        <w:footnoteReference w:id="7"/>
      </w:r>
    </w:p>
    <w:p w14:paraId="7208B81D" w14:textId="42504C27" w:rsidR="00FA35D0" w:rsidRDefault="0015270E" w:rsidP="004676B8">
      <w:pPr>
        <w:spacing w:before="240"/>
      </w:pPr>
      <w:r>
        <w:t>Because the goal of the</w:t>
      </w:r>
      <w:r w:rsidR="009C27E0">
        <w:t xml:space="preserve"> GE</w:t>
      </w:r>
      <w:r>
        <w:t xml:space="preserve"> Act and its obligations</w:t>
      </w:r>
      <w:r w:rsidR="00D56522">
        <w:t xml:space="preserve"> – </w:t>
      </w:r>
      <w:r>
        <w:t xml:space="preserve">including </w:t>
      </w:r>
      <w:r w:rsidR="009C27E0">
        <w:t xml:space="preserve">the obligation to </w:t>
      </w:r>
      <w:r w:rsidR="00A73A2C">
        <w:t>undertake</w:t>
      </w:r>
      <w:r w:rsidR="009C27E0">
        <w:t xml:space="preserve"> </w:t>
      </w:r>
      <w:r>
        <w:t>GIA</w:t>
      </w:r>
      <w:r w:rsidR="00A73A2C">
        <w:t>s</w:t>
      </w:r>
      <w:r w:rsidR="00D56522">
        <w:t xml:space="preserve"> –</w:t>
      </w:r>
      <w:r>
        <w:t xml:space="preserve"> </w:t>
      </w:r>
      <w:r w:rsidR="00D56522">
        <w:t>is</w:t>
      </w:r>
      <w:r>
        <w:t xml:space="preserve"> </w:t>
      </w:r>
      <w:r w:rsidR="00FA35DA">
        <w:t>to</w:t>
      </w:r>
      <w:r>
        <w:t xml:space="preserve"> achiev</w:t>
      </w:r>
      <w:r w:rsidR="00FA35DA">
        <w:t>e</w:t>
      </w:r>
      <w:r>
        <w:t xml:space="preserve"> transformative gender equality, </w:t>
      </w:r>
      <w:r w:rsidR="00FB4452">
        <w:t xml:space="preserve">it is important that the project methodology </w:t>
      </w:r>
      <w:r w:rsidR="00FA35DA">
        <w:t>provides</w:t>
      </w:r>
      <w:r w:rsidR="00FB4452">
        <w:t xml:space="preserve"> final </w:t>
      </w:r>
      <w:r w:rsidR="00FB4452">
        <w:lastRenderedPageBreak/>
        <w:t>recommendations t</w:t>
      </w:r>
      <w:r w:rsidR="00FA35DA">
        <w:t>hat are</w:t>
      </w:r>
      <w:r w:rsidR="00FB4452">
        <w:t xml:space="preserve"> calibrated against the evidence </w:t>
      </w:r>
      <w:r w:rsidR="00FA35DA">
        <w:t>of</w:t>
      </w:r>
      <w:r w:rsidR="00FB4452">
        <w:t xml:space="preserve"> what conditions are required </w:t>
      </w:r>
      <w:r w:rsidR="00AB2676">
        <w:t>to create</w:t>
      </w:r>
      <w:r w:rsidR="00FB4452">
        <w:t xml:space="preserve"> </w:t>
      </w:r>
      <w:r w:rsidR="00FA35DA">
        <w:t xml:space="preserve">such </w:t>
      </w:r>
      <w:r w:rsidR="00FB4452">
        <w:t>change.</w:t>
      </w:r>
    </w:p>
    <w:p w14:paraId="53C90090" w14:textId="4A1DFCE9" w:rsidR="00FB4452" w:rsidRDefault="00542A81" w:rsidP="004676B8">
      <w:pPr>
        <w:spacing w:before="240"/>
      </w:pPr>
      <w:r>
        <w:t xml:space="preserve">Research and practice </w:t>
      </w:r>
      <w:r w:rsidR="000000DE">
        <w:t xml:space="preserve">evidence </w:t>
      </w:r>
      <w:r>
        <w:t xml:space="preserve">shows </w:t>
      </w:r>
      <w:r w:rsidR="000000DE">
        <w:t xml:space="preserve">that </w:t>
      </w:r>
      <w:r>
        <w:t>for</w:t>
      </w:r>
      <w:r w:rsidR="000000DE">
        <w:t xml:space="preserve"> transformative gender equality to occur, organisations</w:t>
      </w:r>
      <w:r>
        <w:t xml:space="preserve">, </w:t>
      </w:r>
      <w:r w:rsidR="000000DE">
        <w:t>communities</w:t>
      </w:r>
      <w:r w:rsidR="00D56522">
        <w:t>,</w:t>
      </w:r>
      <w:r w:rsidR="000000DE">
        <w:t xml:space="preserve"> and social structures need to have:</w:t>
      </w:r>
    </w:p>
    <w:p w14:paraId="2613F608" w14:textId="6081F5FF" w:rsidR="000000DE" w:rsidRDefault="006630EC" w:rsidP="00C034EE">
      <w:pPr>
        <w:pStyle w:val="ListParagraph"/>
        <w:numPr>
          <w:ilvl w:val="0"/>
          <w:numId w:val="21"/>
        </w:numPr>
        <w:spacing w:before="240"/>
      </w:pPr>
      <w:r>
        <w:t xml:space="preserve">Processes for change across the organisation that understand the biases and inequalities </w:t>
      </w:r>
      <w:r w:rsidR="00542A81">
        <w:t xml:space="preserve">that exist </w:t>
      </w:r>
      <w:r>
        <w:t>already within the organisation</w:t>
      </w:r>
      <w:r w:rsidR="00E72B7D">
        <w:rPr>
          <w:rStyle w:val="FootnoteReference"/>
        </w:rPr>
        <w:footnoteReference w:id="8"/>
      </w:r>
    </w:p>
    <w:p w14:paraId="10867436" w14:textId="7B7C4684" w:rsidR="007D00C2" w:rsidRDefault="007D00C2" w:rsidP="00C034EE">
      <w:pPr>
        <w:pStyle w:val="ListParagraph"/>
        <w:numPr>
          <w:ilvl w:val="0"/>
          <w:numId w:val="21"/>
        </w:numPr>
        <w:spacing w:before="240"/>
      </w:pPr>
      <w:r>
        <w:t>A readiness to proceed with structural and cultural change</w:t>
      </w:r>
      <w:r w:rsidR="00B672A0">
        <w:t xml:space="preserve"> based upon building organisation</w:t>
      </w:r>
      <w:r w:rsidR="00542A81">
        <w:t>-</w:t>
      </w:r>
      <w:r w:rsidR="00B672A0">
        <w:t>wide awareness</w:t>
      </w:r>
      <w:r w:rsidR="005778A4">
        <w:t>, skills</w:t>
      </w:r>
      <w:r w:rsidR="00D56522">
        <w:t>,</w:t>
      </w:r>
      <w:r w:rsidR="005778A4">
        <w:t xml:space="preserve"> and capability</w:t>
      </w:r>
      <w:r w:rsidR="00B672A0">
        <w:t xml:space="preserve"> </w:t>
      </w:r>
      <w:r w:rsidR="00542A81">
        <w:t>regarding</w:t>
      </w:r>
      <w:r w:rsidR="005778A4">
        <w:t xml:space="preserve"> </w:t>
      </w:r>
      <w:r w:rsidR="00B672A0">
        <w:t>gender inequality</w:t>
      </w:r>
      <w:r w:rsidR="00AD2B00">
        <w:rPr>
          <w:rStyle w:val="FootnoteReference"/>
        </w:rPr>
        <w:footnoteReference w:id="9"/>
      </w:r>
    </w:p>
    <w:p w14:paraId="4326B5BD" w14:textId="6D53203D" w:rsidR="00AD2B00" w:rsidRDefault="000A098F" w:rsidP="00C034EE">
      <w:pPr>
        <w:pStyle w:val="ListParagraph"/>
        <w:numPr>
          <w:ilvl w:val="0"/>
          <w:numId w:val="21"/>
        </w:numPr>
        <w:spacing w:before="240"/>
      </w:pPr>
      <w:r>
        <w:t xml:space="preserve">Enacting organisational learning through </w:t>
      </w:r>
      <w:r w:rsidR="000C5F69">
        <w:t>‘</w:t>
      </w:r>
      <w:r w:rsidR="00390336">
        <w:t>soft regulation</w:t>
      </w:r>
      <w:r w:rsidR="000C5F69">
        <w:t>’</w:t>
      </w:r>
      <w:r w:rsidR="00390336">
        <w:t xml:space="preserve"> within organisations </w:t>
      </w:r>
      <w:r>
        <w:t>to support</w:t>
      </w:r>
      <w:r w:rsidR="007B6B18">
        <w:t xml:space="preserve"> the implementation of </w:t>
      </w:r>
      <w:r w:rsidR="000C5F69">
        <w:t>‘</w:t>
      </w:r>
      <w:r w:rsidR="007B6B18">
        <w:t>hard regulation</w:t>
      </w:r>
      <w:r w:rsidR="000C5F69">
        <w:t>’</w:t>
      </w:r>
      <w:r w:rsidR="007B6B18">
        <w:t xml:space="preserve"> </w:t>
      </w:r>
      <w:r w:rsidR="00542A81">
        <w:t>such as</w:t>
      </w:r>
      <w:r>
        <w:t xml:space="preserve"> </w:t>
      </w:r>
      <w:r w:rsidR="00542A81">
        <w:t>t</w:t>
      </w:r>
      <w:r>
        <w:t xml:space="preserve">he </w:t>
      </w:r>
      <w:r w:rsidR="00B825F2">
        <w:t>GE</w:t>
      </w:r>
      <w:r>
        <w:t xml:space="preserve"> Act</w:t>
      </w:r>
      <w:r w:rsidR="00542A81">
        <w:t>.</w:t>
      </w:r>
      <w:r>
        <w:rPr>
          <w:rStyle w:val="FootnoteReference"/>
        </w:rPr>
        <w:footnoteReference w:id="10"/>
      </w:r>
    </w:p>
    <w:p w14:paraId="0DEB85A3" w14:textId="77777777" w:rsidR="00542A81" w:rsidRDefault="009B72F9" w:rsidP="004676B8">
      <w:pPr>
        <w:spacing w:before="240"/>
      </w:pPr>
      <w:r>
        <w:t xml:space="preserve">Perhaps the most significant driver of transformational gender equality within </w:t>
      </w:r>
      <w:r w:rsidR="00CA45EA">
        <w:t>organisations</w:t>
      </w:r>
      <w:r>
        <w:t xml:space="preserve"> is </w:t>
      </w:r>
      <w:r w:rsidR="00CA45EA">
        <w:t>the role and capacity of leaders</w:t>
      </w:r>
      <w:r w:rsidR="00E51AD0">
        <w:t xml:space="preserve"> in as much as</w:t>
      </w:r>
      <w:r w:rsidR="00542A81">
        <w:t>:</w:t>
      </w:r>
      <w:r w:rsidR="00E51AD0">
        <w:t xml:space="preserve"> </w:t>
      </w:r>
    </w:p>
    <w:p w14:paraId="066ECEBB" w14:textId="1D865B59" w:rsidR="00542A81" w:rsidRDefault="005A7DD8" w:rsidP="006B75D8">
      <w:pPr>
        <w:spacing w:after="0"/>
        <w:ind w:left="720"/>
      </w:pPr>
      <w:r>
        <w:t>a) the work to achieve genderequal organisations is a change process transforming systems and structures</w:t>
      </w:r>
      <w:r w:rsidR="004641D2">
        <w:t>; and</w:t>
      </w:r>
      <w:r>
        <w:t xml:space="preserve"> </w:t>
      </w:r>
    </w:p>
    <w:p w14:paraId="329FE919" w14:textId="36CAC9AB" w:rsidR="00E26B89" w:rsidRDefault="005A7DD8" w:rsidP="006B75D8">
      <w:pPr>
        <w:spacing w:after="0"/>
        <w:ind w:left="720"/>
      </w:pPr>
      <w:r>
        <w:t xml:space="preserve">b) </w:t>
      </w:r>
      <w:r w:rsidR="008C44DE">
        <w:t xml:space="preserve">leaders have a vital role to play in setting the context, messaging, enabling resources for change, making </w:t>
      </w:r>
      <w:r w:rsidR="00591E37">
        <w:t>congruent decisions</w:t>
      </w:r>
      <w:r w:rsidR="004641D2">
        <w:t>,</w:t>
      </w:r>
      <w:r w:rsidR="00591E37">
        <w:t xml:space="preserve"> and role modelling the change that </w:t>
      </w:r>
      <w:r w:rsidR="004641D2">
        <w:t>‘</w:t>
      </w:r>
      <w:r w:rsidR="00591E37">
        <w:t>we want to see</w:t>
      </w:r>
      <w:r w:rsidR="004641D2">
        <w:t>'</w:t>
      </w:r>
      <w:r w:rsidR="00542A81">
        <w:t>.</w:t>
      </w:r>
      <w:r w:rsidR="00591E37">
        <w:rPr>
          <w:rStyle w:val="FootnoteReference"/>
        </w:rPr>
        <w:footnoteReference w:id="11"/>
      </w:r>
    </w:p>
    <w:p w14:paraId="409D4649" w14:textId="3602F740" w:rsidR="00022B8C" w:rsidRPr="007E1CE2" w:rsidRDefault="003F6160" w:rsidP="006B75D8">
      <w:pPr>
        <w:spacing w:before="240"/>
      </w:pPr>
      <w:r>
        <w:t>T</w:t>
      </w:r>
      <w:r w:rsidR="00022B8C">
        <w:t>he</w:t>
      </w:r>
      <w:r w:rsidR="00C90BD1">
        <w:t xml:space="preserve"> </w:t>
      </w:r>
      <w:r w:rsidR="00022B8C">
        <w:t xml:space="preserve">framework </w:t>
      </w:r>
      <w:r>
        <w:t xml:space="preserve">below </w:t>
      </w:r>
      <w:r w:rsidR="00C90BD1">
        <w:t xml:space="preserve">aligns questions with </w:t>
      </w:r>
      <w:r>
        <w:t xml:space="preserve">the </w:t>
      </w:r>
      <w:r w:rsidR="00C90BD1">
        <w:t xml:space="preserve">transformative practice required by the </w:t>
      </w:r>
      <w:r w:rsidR="00B825F2">
        <w:t xml:space="preserve">GE </w:t>
      </w:r>
      <w:r w:rsidR="00C90BD1">
        <w:t>Act through GIA</w:t>
      </w:r>
      <w:r w:rsidR="004641D2">
        <w:t>s,</w:t>
      </w:r>
      <w:r w:rsidR="00C90BD1">
        <w:t xml:space="preserve"> and possible indicators</w:t>
      </w:r>
      <w:r w:rsidR="00022B8C">
        <w:t>:</w:t>
      </w:r>
    </w:p>
    <w:tbl>
      <w:tblPr>
        <w:tblStyle w:val="GridTable4-Accent6"/>
        <w:tblW w:w="9640" w:type="dxa"/>
        <w:tblInd w:w="-289" w:type="dxa"/>
        <w:tblLook w:val="04A0" w:firstRow="1" w:lastRow="0" w:firstColumn="1" w:lastColumn="0" w:noHBand="0" w:noVBand="1"/>
      </w:tblPr>
      <w:tblGrid>
        <w:gridCol w:w="2127"/>
        <w:gridCol w:w="2268"/>
        <w:gridCol w:w="2841"/>
        <w:gridCol w:w="2404"/>
      </w:tblGrid>
      <w:tr w:rsidR="00701573" w14:paraId="7E869C0B" w14:textId="77777777" w:rsidTr="006B7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A3396EA" w14:textId="276A4E83" w:rsidR="00CE162E" w:rsidRPr="006B75D8" w:rsidRDefault="00B32E28" w:rsidP="00381B7D">
            <w:pPr>
              <w:jc w:val="right"/>
              <w:rPr>
                <w:b w:val="0"/>
                <w:bCs w:val="0"/>
              </w:rPr>
            </w:pPr>
            <w:r w:rsidRPr="006B75D8">
              <w:rPr>
                <w:noProof/>
              </w:rPr>
              <mc:AlternateContent>
                <mc:Choice Requires="wps">
                  <w:drawing>
                    <wp:anchor distT="0" distB="0" distL="114300" distR="114300" simplePos="0" relativeHeight="251658242" behindDoc="0" locked="0" layoutInCell="1" allowOverlap="1" wp14:anchorId="270722DE" wp14:editId="59A1380C">
                      <wp:simplePos x="0" y="0"/>
                      <wp:positionH relativeFrom="column">
                        <wp:posOffset>-59055</wp:posOffset>
                      </wp:positionH>
                      <wp:positionV relativeFrom="paragraph">
                        <wp:posOffset>20320</wp:posOffset>
                      </wp:positionV>
                      <wp:extent cx="1244600" cy="97790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12446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1F54E"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6pt" to="93.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" strokecolor="#f0a22e [3204]" strokeweight=".5pt">
                      <v:stroke joinstyle="miter"/>
                    </v:line>
                  </w:pict>
                </mc:Fallback>
              </mc:AlternateContent>
            </w:r>
            <w:r w:rsidR="00CE162E" w:rsidRPr="006B75D8">
              <w:t>High</w:t>
            </w:r>
            <w:r w:rsidR="004641D2">
              <w:t>-</w:t>
            </w:r>
            <w:r w:rsidR="00CE162E" w:rsidRPr="006B75D8">
              <w:t xml:space="preserve"> </w:t>
            </w:r>
          </w:p>
          <w:p w14:paraId="3B33A943" w14:textId="561B1CE8" w:rsidR="00CE162E" w:rsidRPr="006B75D8" w:rsidRDefault="003F6160" w:rsidP="00381B7D">
            <w:pPr>
              <w:jc w:val="right"/>
              <w:rPr>
                <w:b w:val="0"/>
                <w:bCs w:val="0"/>
              </w:rPr>
            </w:pPr>
            <w:r w:rsidRPr="006B75D8">
              <w:t>l</w:t>
            </w:r>
            <w:r w:rsidR="00CE162E" w:rsidRPr="006B75D8">
              <w:t xml:space="preserve">evel </w:t>
            </w:r>
            <w:r w:rsidRPr="006B75D8">
              <w:t>q</w:t>
            </w:r>
            <w:r w:rsidR="00CE162E" w:rsidRPr="006B75D8">
              <w:t xml:space="preserve">uestion </w:t>
            </w:r>
            <w:r w:rsidRPr="006B75D8">
              <w:t>t</w:t>
            </w:r>
            <w:r w:rsidR="00CE162E" w:rsidRPr="006B75D8">
              <w:t>hemes</w:t>
            </w:r>
          </w:p>
          <w:p w14:paraId="1B0F1175" w14:textId="6ADD80A9" w:rsidR="00022B8C" w:rsidRPr="006B75D8" w:rsidRDefault="00CE162E" w:rsidP="00CE162E">
            <w:pPr>
              <w:spacing w:before="240"/>
              <w:rPr>
                <w:color w:val="auto"/>
              </w:rPr>
            </w:pPr>
            <w:r w:rsidRPr="00595EC3">
              <w:t>Levels of Investigation</w:t>
            </w:r>
          </w:p>
        </w:tc>
        <w:tc>
          <w:tcPr>
            <w:tcW w:w="2268" w:type="dxa"/>
            <w:vAlign w:val="center"/>
          </w:tcPr>
          <w:p w14:paraId="0ED7A928" w14:textId="53EF369D" w:rsidR="00022B8C" w:rsidRPr="006B75D8" w:rsidRDefault="00022B8C" w:rsidP="0016287E">
            <w:pPr>
              <w:spacing w:before="240"/>
              <w:cnfStyle w:val="100000000000" w:firstRow="1" w:lastRow="0" w:firstColumn="0" w:lastColumn="0" w:oddVBand="0" w:evenVBand="0" w:oddHBand="0" w:evenHBand="0" w:firstRowFirstColumn="0" w:firstRowLastColumn="0" w:lastRowFirstColumn="0" w:lastRowLastColumn="0"/>
              <w:rPr>
                <w:color w:val="auto"/>
              </w:rPr>
            </w:pPr>
            <w:r w:rsidRPr="00595EC3">
              <w:t>Current activity</w:t>
            </w:r>
          </w:p>
        </w:tc>
        <w:tc>
          <w:tcPr>
            <w:tcW w:w="2841" w:type="dxa"/>
            <w:vAlign w:val="center"/>
          </w:tcPr>
          <w:p w14:paraId="0281270C" w14:textId="760DF87A" w:rsidR="00022B8C" w:rsidRPr="006B75D8" w:rsidRDefault="00892D6A" w:rsidP="005443C1">
            <w:pPr>
              <w:spacing w:before="240"/>
              <w:cnfStyle w:val="100000000000" w:firstRow="1" w:lastRow="0" w:firstColumn="0" w:lastColumn="0" w:oddVBand="0" w:evenVBand="0" w:oddHBand="0" w:evenHBand="0" w:firstRowFirstColumn="0" w:firstRowLastColumn="0" w:lastRowFirstColumn="0" w:lastRowLastColumn="0"/>
              <w:rPr>
                <w:color w:val="auto"/>
              </w:rPr>
            </w:pPr>
            <w:r w:rsidRPr="00595EC3">
              <w:t>Enabler/Barrier</w:t>
            </w:r>
          </w:p>
        </w:tc>
        <w:tc>
          <w:tcPr>
            <w:tcW w:w="2404" w:type="dxa"/>
            <w:vAlign w:val="center"/>
          </w:tcPr>
          <w:p w14:paraId="2FC39DB9" w14:textId="5A237075" w:rsidR="00022B8C" w:rsidRPr="006B75D8" w:rsidRDefault="00892D6A" w:rsidP="00CA7500">
            <w:pPr>
              <w:spacing w:before="240"/>
              <w:cnfStyle w:val="100000000000" w:firstRow="1" w:lastRow="0" w:firstColumn="0" w:lastColumn="0" w:oddVBand="0" w:evenVBand="0" w:oddHBand="0" w:evenHBand="0" w:firstRowFirstColumn="0" w:firstRowLastColumn="0" w:lastRowFirstColumn="0" w:lastRowLastColumn="0"/>
              <w:rPr>
                <w:color w:val="auto"/>
              </w:rPr>
            </w:pPr>
            <w:r w:rsidRPr="00595EC3">
              <w:t>Resources needed for GIA outcomes to be achieved</w:t>
            </w:r>
          </w:p>
        </w:tc>
      </w:tr>
      <w:tr w:rsidR="00701573" w14:paraId="1F4D20A3" w14:textId="77777777" w:rsidTr="006B75D8">
        <w:trPr>
          <w:cnfStyle w:val="000000100000" w:firstRow="0" w:lastRow="0" w:firstColumn="0" w:lastColumn="0" w:oddVBand="0" w:evenVBand="0" w:oddHBand="1" w:evenHBand="0"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2127" w:type="dxa"/>
          </w:tcPr>
          <w:p w14:paraId="77EF2715" w14:textId="466B1D61" w:rsidR="00022B8C" w:rsidRPr="00381B7D" w:rsidRDefault="00381B7D" w:rsidP="0016287E">
            <w:pPr>
              <w:spacing w:before="240"/>
              <w:rPr>
                <w:i/>
                <w:iCs/>
              </w:rPr>
            </w:pPr>
            <w:r>
              <w:rPr>
                <w:i/>
                <w:iCs/>
              </w:rPr>
              <w:t>High</w:t>
            </w:r>
            <w:r w:rsidR="004641D2">
              <w:rPr>
                <w:i/>
                <w:iCs/>
              </w:rPr>
              <w:t>-</w:t>
            </w:r>
            <w:r>
              <w:rPr>
                <w:i/>
                <w:iCs/>
              </w:rPr>
              <w:t>level</w:t>
            </w:r>
            <w:r w:rsidR="00022B8C" w:rsidRPr="00381B7D">
              <w:rPr>
                <w:i/>
                <w:iCs/>
              </w:rPr>
              <w:t xml:space="preserve"> </w:t>
            </w:r>
            <w:r w:rsidR="003F6160">
              <w:rPr>
                <w:i/>
                <w:iCs/>
              </w:rPr>
              <w:t>q</w:t>
            </w:r>
            <w:r w:rsidR="00022B8C" w:rsidRPr="00381B7D">
              <w:rPr>
                <w:i/>
                <w:iCs/>
              </w:rPr>
              <w:t>uestion</w:t>
            </w:r>
          </w:p>
        </w:tc>
        <w:tc>
          <w:tcPr>
            <w:tcW w:w="2268" w:type="dxa"/>
          </w:tcPr>
          <w:p w14:paraId="0D1D610A" w14:textId="2AD423B3" w:rsidR="00022B8C" w:rsidRDefault="00892D6A" w:rsidP="006B75D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sz w:val="22"/>
                <w:szCs w:val="22"/>
              </w:rPr>
              <w:t xml:space="preserve">Are defined entities implementing </w:t>
            </w:r>
            <w:r w:rsidR="008B093B">
              <w:rPr>
                <w:rStyle w:val="normaltextrun"/>
                <w:rFonts w:ascii="Calibri" w:hAnsi="Calibri" w:cs="Calibri"/>
                <w:sz w:val="22"/>
                <w:szCs w:val="22"/>
              </w:rPr>
              <w:t>G</w:t>
            </w:r>
            <w:r w:rsidR="008B093B">
              <w:rPr>
                <w:rStyle w:val="normaltextrun"/>
                <w:rFonts w:ascii="Calibri" w:hAnsi="Calibri" w:cs="Calibri"/>
              </w:rPr>
              <w:t>IA</w:t>
            </w:r>
            <w:r w:rsidR="004641D2">
              <w:rPr>
                <w:rStyle w:val="normaltextrun"/>
                <w:rFonts w:ascii="Calibri" w:hAnsi="Calibri" w:cs="Calibri"/>
              </w:rPr>
              <w:t>s</w:t>
            </w:r>
            <w:r>
              <w:rPr>
                <w:rStyle w:val="normaltextrun"/>
                <w:rFonts w:ascii="Calibri" w:hAnsi="Calibri" w:cs="Calibri"/>
                <w:sz w:val="22"/>
                <w:szCs w:val="22"/>
              </w:rPr>
              <w:t xml:space="preserve"> and to what extent? </w:t>
            </w:r>
          </w:p>
        </w:tc>
        <w:tc>
          <w:tcPr>
            <w:tcW w:w="2841" w:type="dxa"/>
          </w:tcPr>
          <w:p w14:paraId="3B2066AB" w14:textId="6E753835" w:rsidR="00022B8C" w:rsidRDefault="00892D6A" w:rsidP="006B75D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sz w:val="22"/>
                <w:szCs w:val="22"/>
              </w:rPr>
              <w:t>What is enabling implementation and what are the barriers to implementation?</w:t>
            </w:r>
          </w:p>
        </w:tc>
        <w:tc>
          <w:tcPr>
            <w:tcW w:w="2404" w:type="dxa"/>
          </w:tcPr>
          <w:p w14:paraId="650F8423" w14:textId="4A5DA311" w:rsidR="00022B8C" w:rsidRDefault="00892D6A" w:rsidP="0016287E">
            <w:pPr>
              <w:spacing w:before="240"/>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What additional support is needed?</w:t>
            </w:r>
          </w:p>
        </w:tc>
      </w:tr>
      <w:tr w:rsidR="00701573" w14:paraId="476D0764" w14:textId="77777777" w:rsidTr="006B75D8">
        <w:tc>
          <w:tcPr>
            <w:cnfStyle w:val="001000000000" w:firstRow="0" w:lastRow="0" w:firstColumn="1" w:lastColumn="0" w:oddVBand="0" w:evenVBand="0" w:oddHBand="0" w:evenHBand="0" w:firstRowFirstColumn="0" w:firstRowLastColumn="0" w:lastRowFirstColumn="0" w:lastRowLastColumn="0"/>
            <w:tcW w:w="2127" w:type="dxa"/>
          </w:tcPr>
          <w:p w14:paraId="4BF180F1" w14:textId="53FFA38F" w:rsidR="00022B8C" w:rsidRPr="00381B7D" w:rsidRDefault="007210E7" w:rsidP="0016287E">
            <w:pPr>
              <w:spacing w:before="240"/>
              <w:rPr>
                <w:i/>
                <w:iCs/>
              </w:rPr>
            </w:pPr>
            <w:r w:rsidRPr="00381B7D">
              <w:rPr>
                <w:i/>
                <w:iCs/>
              </w:rPr>
              <w:t xml:space="preserve">Underpinning </w:t>
            </w:r>
            <w:r w:rsidR="00F854B7" w:rsidRPr="00381B7D">
              <w:rPr>
                <w:i/>
                <w:iCs/>
              </w:rPr>
              <w:t xml:space="preserve">questions informed by </w:t>
            </w:r>
            <w:r w:rsidR="008B093B">
              <w:rPr>
                <w:i/>
                <w:iCs/>
              </w:rPr>
              <w:t>t</w:t>
            </w:r>
            <w:r w:rsidR="00F854B7" w:rsidRPr="00381B7D">
              <w:rPr>
                <w:i/>
                <w:iCs/>
              </w:rPr>
              <w:t xml:space="preserve">ransformative </w:t>
            </w:r>
            <w:r w:rsidR="008B093B">
              <w:rPr>
                <w:i/>
                <w:iCs/>
              </w:rPr>
              <w:t>g</w:t>
            </w:r>
            <w:r w:rsidR="00F854B7" w:rsidRPr="00381B7D">
              <w:rPr>
                <w:i/>
                <w:iCs/>
              </w:rPr>
              <w:t xml:space="preserve">ender </w:t>
            </w:r>
            <w:r w:rsidR="008B093B">
              <w:rPr>
                <w:i/>
                <w:iCs/>
              </w:rPr>
              <w:t>e</w:t>
            </w:r>
            <w:r w:rsidR="00F854B7" w:rsidRPr="00381B7D">
              <w:rPr>
                <w:i/>
                <w:iCs/>
              </w:rPr>
              <w:t xml:space="preserve">quality </w:t>
            </w:r>
            <w:r w:rsidR="008B093B">
              <w:rPr>
                <w:i/>
                <w:iCs/>
              </w:rPr>
              <w:t>p</w:t>
            </w:r>
            <w:r w:rsidR="00F854B7" w:rsidRPr="00381B7D">
              <w:rPr>
                <w:i/>
                <w:iCs/>
              </w:rPr>
              <w:t>ractice</w:t>
            </w:r>
          </w:p>
        </w:tc>
        <w:tc>
          <w:tcPr>
            <w:tcW w:w="2268" w:type="dxa"/>
          </w:tcPr>
          <w:p w14:paraId="5DC89B8C" w14:textId="1652E6FC" w:rsidR="00022B8C" w:rsidRDefault="004641D2" w:rsidP="00821DF0">
            <w:pPr>
              <w:spacing w:before="240"/>
              <w:cnfStyle w:val="000000000000" w:firstRow="0" w:lastRow="0" w:firstColumn="0" w:lastColumn="0" w:oddVBand="0" w:evenVBand="0" w:oddHBand="0" w:evenHBand="0" w:firstRowFirstColumn="0" w:firstRowLastColumn="0" w:lastRowFirstColumn="0" w:lastRowLastColumn="0"/>
            </w:pPr>
            <w:r>
              <w:t>Are</w:t>
            </w:r>
            <w:r w:rsidR="00A73A2C">
              <w:t xml:space="preserve"> </w:t>
            </w:r>
            <w:r w:rsidR="19A15245">
              <w:t>GIA</w:t>
            </w:r>
            <w:r>
              <w:t>s</w:t>
            </w:r>
            <w:r w:rsidR="19A15245">
              <w:t xml:space="preserve"> </w:t>
            </w:r>
            <w:r w:rsidR="6D309233">
              <w:t>occurring and at what volume and what scale?</w:t>
            </w:r>
          </w:p>
          <w:p w14:paraId="566108A8" w14:textId="057415BC" w:rsidR="007210E7" w:rsidRDefault="004641D2" w:rsidP="005443C1">
            <w:pPr>
              <w:spacing w:before="240"/>
              <w:cnfStyle w:val="000000000000" w:firstRow="0" w:lastRow="0" w:firstColumn="0" w:lastColumn="0" w:oddVBand="0" w:evenVBand="0" w:oddHBand="0" w:evenHBand="0" w:firstRowFirstColumn="0" w:firstRowLastColumn="0" w:lastRowFirstColumn="0" w:lastRowLastColumn="0"/>
            </w:pPr>
            <w:r>
              <w:t>Are</w:t>
            </w:r>
            <w:r w:rsidR="00A73A2C">
              <w:t xml:space="preserve"> </w:t>
            </w:r>
            <w:r w:rsidR="6D309233">
              <w:t>GIA</w:t>
            </w:r>
            <w:r>
              <w:t>s</w:t>
            </w:r>
            <w:r w:rsidR="6D309233">
              <w:t xml:space="preserve"> occurring on all new </w:t>
            </w:r>
            <w:r w:rsidR="00821DF0">
              <w:t xml:space="preserve">policies, </w:t>
            </w:r>
            <w:r w:rsidR="6D309233">
              <w:lastRenderedPageBreak/>
              <w:t>programs</w:t>
            </w:r>
            <w:r>
              <w:t>,</w:t>
            </w:r>
            <w:r w:rsidR="00821DF0">
              <w:t xml:space="preserve"> and</w:t>
            </w:r>
            <w:r w:rsidR="6D309233">
              <w:t xml:space="preserve"> services</w:t>
            </w:r>
            <w:r>
              <w:t>,</w:t>
            </w:r>
            <w:r w:rsidR="6D309233">
              <w:t xml:space="preserve"> as per Commission Guidance</w:t>
            </w:r>
            <w:r w:rsidR="510FD971">
              <w:t>?</w:t>
            </w:r>
          </w:p>
          <w:p w14:paraId="2B1D4074" w14:textId="5BED8377" w:rsidR="00295C18" w:rsidRDefault="6062F602" w:rsidP="00CA7500">
            <w:pPr>
              <w:spacing w:before="240"/>
              <w:cnfStyle w:val="000000000000" w:firstRow="0" w:lastRow="0" w:firstColumn="0" w:lastColumn="0" w:oddVBand="0" w:evenVBand="0" w:oddHBand="0" w:evenHBand="0" w:firstRowFirstColumn="0" w:firstRowLastColumn="0" w:lastRowFirstColumn="0" w:lastRowLastColumn="0"/>
            </w:pPr>
            <w:r>
              <w:t>Is the implementation of GIA</w:t>
            </w:r>
            <w:r w:rsidR="004641D2">
              <w:t>s</w:t>
            </w:r>
            <w:r>
              <w:t xml:space="preserve"> occurring in a way that </w:t>
            </w:r>
            <w:r w:rsidR="1D473FE0">
              <w:t>is transformational?</w:t>
            </w:r>
          </w:p>
          <w:p w14:paraId="6CE9D299" w14:textId="5C94DFF8" w:rsidR="00295C18" w:rsidRDefault="00295C18">
            <w:pPr>
              <w:spacing w:before="240"/>
              <w:cnfStyle w:val="000000000000" w:firstRow="0" w:lastRow="0" w:firstColumn="0" w:lastColumn="0" w:oddVBand="0" w:evenVBand="0" w:oddHBand="0" w:evenHBand="0" w:firstRowFirstColumn="0" w:firstRowLastColumn="0" w:lastRowFirstColumn="0" w:lastRowLastColumn="0"/>
            </w:pPr>
          </w:p>
        </w:tc>
        <w:tc>
          <w:tcPr>
            <w:tcW w:w="2841" w:type="dxa"/>
          </w:tcPr>
          <w:p w14:paraId="76B2E4C8" w14:textId="77777777" w:rsidR="00022B8C" w:rsidRDefault="00587A09">
            <w:pPr>
              <w:spacing w:before="240"/>
              <w:cnfStyle w:val="000000000000" w:firstRow="0" w:lastRow="0" w:firstColumn="0" w:lastColumn="0" w:oddVBand="0" w:evenVBand="0" w:oddHBand="0" w:evenHBand="0" w:firstRowFirstColumn="0" w:firstRowLastColumn="0" w:lastRowFirstColumn="0" w:lastRowLastColumn="0"/>
            </w:pPr>
            <w:r>
              <w:lastRenderedPageBreak/>
              <w:t>Are resources being provided?</w:t>
            </w:r>
          </w:p>
          <w:p w14:paraId="0F1DCB2A" w14:textId="2450FF4B" w:rsidR="00587A09" w:rsidRDefault="00587A09">
            <w:pPr>
              <w:spacing w:before="240"/>
              <w:cnfStyle w:val="000000000000" w:firstRow="0" w:lastRow="0" w:firstColumn="0" w:lastColumn="0" w:oddVBand="0" w:evenVBand="0" w:oddHBand="0" w:evenHBand="0" w:firstRowFirstColumn="0" w:firstRowLastColumn="0" w:lastRowFirstColumn="0" w:lastRowLastColumn="0"/>
            </w:pPr>
            <w:r>
              <w:t>Are leaders driving change?</w:t>
            </w:r>
            <w:r w:rsidR="008343CB">
              <w:t xml:space="preserve"> What knowledge and </w:t>
            </w:r>
            <w:r w:rsidR="008343CB">
              <w:lastRenderedPageBreak/>
              <w:t xml:space="preserve">capability do they have to drive </w:t>
            </w:r>
            <w:r w:rsidR="00424C3D">
              <w:t>c</w:t>
            </w:r>
            <w:r w:rsidR="008343CB">
              <w:t>hange?</w:t>
            </w:r>
          </w:p>
          <w:p w14:paraId="269D5650" w14:textId="32722A34" w:rsidR="00F854B7" w:rsidRDefault="00F854B7">
            <w:pPr>
              <w:spacing w:before="240"/>
              <w:cnfStyle w:val="000000000000" w:firstRow="0" w:lastRow="0" w:firstColumn="0" w:lastColumn="0" w:oddVBand="0" w:evenVBand="0" w:oddHBand="0" w:evenHBand="0" w:firstRowFirstColumn="0" w:firstRowLastColumn="0" w:lastRowFirstColumn="0" w:lastRowLastColumn="0"/>
            </w:pPr>
            <w:r>
              <w:t>Is there organisation</w:t>
            </w:r>
            <w:r w:rsidR="004641D2">
              <w:t>-</w:t>
            </w:r>
            <w:r>
              <w:t>wide understanding of the role and value of intersectional gender equality</w:t>
            </w:r>
            <w:r w:rsidR="00C9784A">
              <w:t>?</w:t>
            </w:r>
          </w:p>
          <w:p w14:paraId="73B0DC7A" w14:textId="14B94000" w:rsidR="00587A09" w:rsidRDefault="19A15245">
            <w:pPr>
              <w:spacing w:before="240"/>
              <w:cnfStyle w:val="000000000000" w:firstRow="0" w:lastRow="0" w:firstColumn="0" w:lastColumn="0" w:oddVBand="0" w:evenVBand="0" w:oddHBand="0" w:evenHBand="0" w:firstRowFirstColumn="0" w:firstRowLastColumn="0" w:lastRowFirstColumn="0" w:lastRowLastColumn="0"/>
            </w:pPr>
            <w:r>
              <w:t xml:space="preserve">Are frontline workers </w:t>
            </w:r>
            <w:r w:rsidR="004641D2">
              <w:t xml:space="preserve">who are </w:t>
            </w:r>
            <w:r>
              <w:t>doing GIA</w:t>
            </w:r>
            <w:r w:rsidR="004641D2">
              <w:t>s</w:t>
            </w:r>
            <w:r>
              <w:t xml:space="preserve"> supported or isolated</w:t>
            </w:r>
            <w:r w:rsidR="00424C3D">
              <w:t>?</w:t>
            </w:r>
          </w:p>
          <w:p w14:paraId="61411910" w14:textId="5E6335CD" w:rsidR="00C138E0" w:rsidRDefault="00C138E0">
            <w:pPr>
              <w:spacing w:before="240"/>
              <w:cnfStyle w:val="000000000000" w:firstRow="0" w:lastRow="0" w:firstColumn="0" w:lastColumn="0" w:oddVBand="0" w:evenVBand="0" w:oddHBand="0" w:evenHBand="0" w:firstRowFirstColumn="0" w:firstRowLastColumn="0" w:lastRowFirstColumn="0" w:lastRowLastColumn="0"/>
            </w:pPr>
            <w:r>
              <w:t>Are there existing structures and systems in place to support GIA activity</w:t>
            </w:r>
            <w:r w:rsidR="00424C3D">
              <w:t>?</w:t>
            </w:r>
          </w:p>
        </w:tc>
        <w:tc>
          <w:tcPr>
            <w:tcW w:w="2404" w:type="dxa"/>
          </w:tcPr>
          <w:p w14:paraId="03DC3DA5" w14:textId="60C9E1EF" w:rsidR="00022B8C" w:rsidRDefault="004641D2">
            <w:pPr>
              <w:spacing w:before="240"/>
              <w:cnfStyle w:val="000000000000" w:firstRow="0" w:lastRow="0" w:firstColumn="0" w:lastColumn="0" w:oddVBand="0" w:evenVBand="0" w:oddHBand="0" w:evenHBand="0" w:firstRowFirstColumn="0" w:firstRowLastColumn="0" w:lastRowFirstColumn="0" w:lastRowLastColumn="0"/>
            </w:pPr>
            <w:r>
              <w:lastRenderedPageBreak/>
              <w:t>Are</w:t>
            </w:r>
            <w:r w:rsidR="00A73A2C">
              <w:t xml:space="preserve"> </w:t>
            </w:r>
            <w:r w:rsidR="19A15245">
              <w:t>GIA</w:t>
            </w:r>
            <w:r>
              <w:t>s</w:t>
            </w:r>
            <w:r w:rsidR="19A15245">
              <w:t xml:space="preserve"> becoming business as usual (mainstream activity)</w:t>
            </w:r>
            <w:r w:rsidR="00424C3D">
              <w:t>?</w:t>
            </w:r>
          </w:p>
          <w:p w14:paraId="196B60CB" w14:textId="293DEBB9" w:rsidR="00A31603" w:rsidRDefault="00701573">
            <w:pPr>
              <w:spacing w:before="240"/>
              <w:cnfStyle w:val="000000000000" w:firstRow="0" w:lastRow="0" w:firstColumn="0" w:lastColumn="0" w:oddVBand="0" w:evenVBand="0" w:oddHBand="0" w:evenHBand="0" w:firstRowFirstColumn="0" w:firstRowLastColumn="0" w:lastRowFirstColumn="0" w:lastRowLastColumn="0"/>
            </w:pPr>
            <w:r>
              <w:t>To achieve the</w:t>
            </w:r>
            <w:r w:rsidR="00424C3D">
              <w:t xml:space="preserve"> (transformational)</w:t>
            </w:r>
            <w:r>
              <w:t xml:space="preserve"> </w:t>
            </w:r>
            <w:r>
              <w:lastRenderedPageBreak/>
              <w:t>outcomes of the</w:t>
            </w:r>
            <w:r w:rsidR="00B825F2">
              <w:t xml:space="preserve"> GE</w:t>
            </w:r>
            <w:r>
              <w:t xml:space="preserve"> Act</w:t>
            </w:r>
            <w:r w:rsidR="004641D2">
              <w:t>,</w:t>
            </w:r>
            <w:r w:rsidR="00A31603">
              <w:t xml:space="preserve"> </w:t>
            </w:r>
            <w:r>
              <w:t>is the</w:t>
            </w:r>
            <w:r w:rsidR="00424C3D">
              <w:t>re</w:t>
            </w:r>
            <w:r>
              <w:t xml:space="preserve"> </w:t>
            </w:r>
            <w:r w:rsidR="00E8426C">
              <w:t>alignment to the resources requested</w:t>
            </w:r>
            <w:r w:rsidR="00424C3D">
              <w:t>?</w:t>
            </w:r>
            <w:r w:rsidR="00E8426C">
              <w:t xml:space="preserve"> </w:t>
            </w:r>
          </w:p>
        </w:tc>
      </w:tr>
      <w:tr w:rsidR="00C90BD1" w14:paraId="791C4E73" w14:textId="77777777" w:rsidTr="006B7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436D36A" w14:textId="5F555A8C" w:rsidR="00C90BD1" w:rsidRPr="00124B85" w:rsidRDefault="00C90BD1" w:rsidP="0016287E">
            <w:pPr>
              <w:spacing w:before="240"/>
              <w:rPr>
                <w:i/>
                <w:iCs/>
              </w:rPr>
            </w:pPr>
            <w:r w:rsidRPr="00124B85">
              <w:rPr>
                <w:i/>
                <w:iCs/>
              </w:rPr>
              <w:lastRenderedPageBreak/>
              <w:t xml:space="preserve">Indicators/Evidence </w:t>
            </w:r>
          </w:p>
        </w:tc>
        <w:tc>
          <w:tcPr>
            <w:tcW w:w="2268" w:type="dxa"/>
          </w:tcPr>
          <w:p w14:paraId="3CC15148" w14:textId="4788DF9D" w:rsidR="00C90BD1" w:rsidRDefault="00C90BD1" w:rsidP="005443C1">
            <w:pPr>
              <w:spacing w:before="240"/>
              <w:cnfStyle w:val="000000100000" w:firstRow="0" w:lastRow="0" w:firstColumn="0" w:lastColumn="0" w:oddVBand="0" w:evenVBand="0" w:oddHBand="1" w:evenHBand="0" w:firstRowFirstColumn="0" w:firstRowLastColumn="0" w:lastRowFirstColumn="0" w:lastRowLastColumn="0"/>
            </w:pPr>
            <w:r>
              <w:t>Implementation is occurring as per the requirements of the GE Act and its regulations</w:t>
            </w:r>
            <w:r w:rsidR="004641D2">
              <w:t>,</w:t>
            </w:r>
            <w:r>
              <w:t xml:space="preserve"> and is occurring in a way that is transformational</w:t>
            </w:r>
            <w:r w:rsidR="00424C3D">
              <w:t>.</w:t>
            </w:r>
          </w:p>
        </w:tc>
        <w:tc>
          <w:tcPr>
            <w:tcW w:w="5245" w:type="dxa"/>
            <w:gridSpan w:val="2"/>
          </w:tcPr>
          <w:p w14:paraId="3C568D4B" w14:textId="7657B331" w:rsidR="00C90BD1" w:rsidRDefault="00C90BD1" w:rsidP="00CA7500">
            <w:pPr>
              <w:spacing w:before="240"/>
              <w:cnfStyle w:val="000000100000" w:firstRow="0" w:lastRow="0" w:firstColumn="0" w:lastColumn="0" w:oddVBand="0" w:evenVBand="0" w:oddHBand="1" w:evenHBand="0" w:firstRowFirstColumn="0" w:firstRowLastColumn="0" w:lastRowFirstColumn="0" w:lastRowLastColumn="0"/>
            </w:pPr>
            <w:r>
              <w:t xml:space="preserve">The level of resourcing provided </w:t>
            </w:r>
            <w:r w:rsidR="10C26835">
              <w:t>for GIA</w:t>
            </w:r>
            <w:r w:rsidR="004641D2">
              <w:t>s</w:t>
            </w:r>
            <w:r w:rsidR="10C26835">
              <w:t xml:space="preserve"> </w:t>
            </w:r>
            <w:r>
              <w:t>is inclusive of budget, time</w:t>
            </w:r>
            <w:r w:rsidR="004641D2">
              <w:t>,</w:t>
            </w:r>
            <w:r w:rsidR="00424C3D">
              <w:t xml:space="preserve"> and</w:t>
            </w:r>
            <w:r>
              <w:t xml:space="preserve"> skills (change and intersectional gender equality)</w:t>
            </w:r>
            <w:r w:rsidR="00424C3D">
              <w:t xml:space="preserve">. </w:t>
            </w:r>
          </w:p>
          <w:p w14:paraId="5F773EA0" w14:textId="1D8243F5" w:rsidR="00C90BD1" w:rsidRDefault="00C90BD1">
            <w:pPr>
              <w:spacing w:before="240"/>
              <w:cnfStyle w:val="000000100000" w:firstRow="0" w:lastRow="0" w:firstColumn="0" w:lastColumn="0" w:oddVBand="0" w:evenVBand="0" w:oddHBand="1" w:evenHBand="0" w:firstRowFirstColumn="0" w:firstRowLastColumn="0" w:lastRowFirstColumn="0" w:lastRowLastColumn="0"/>
            </w:pPr>
            <w:r>
              <w:t xml:space="preserve">The extent </w:t>
            </w:r>
            <w:r w:rsidR="00424C3D">
              <w:t>to which</w:t>
            </w:r>
            <w:r>
              <w:t xml:space="preserve"> leaders </w:t>
            </w:r>
            <w:r w:rsidR="00424C3D">
              <w:t xml:space="preserve">are </w:t>
            </w:r>
            <w:r>
              <w:t>driving implementation of GIA</w:t>
            </w:r>
            <w:r w:rsidR="004641D2">
              <w:t>s</w:t>
            </w:r>
            <w:r>
              <w:t xml:space="preserve"> and undertaking activities in line with driving transformational change</w:t>
            </w:r>
            <w:r w:rsidR="00424C3D">
              <w:t>.</w:t>
            </w:r>
            <w:r>
              <w:t xml:space="preserve"> </w:t>
            </w:r>
          </w:p>
          <w:p w14:paraId="7CAA6BCB" w14:textId="3BED6DE2" w:rsidR="00C90BD1" w:rsidRDefault="00C90BD1">
            <w:pPr>
              <w:spacing w:before="240"/>
              <w:cnfStyle w:val="000000100000" w:firstRow="0" w:lastRow="0" w:firstColumn="0" w:lastColumn="0" w:oddVBand="0" w:evenVBand="0" w:oddHBand="1" w:evenHBand="0" w:firstRowFirstColumn="0" w:firstRowLastColumn="0" w:lastRowFirstColumn="0" w:lastRowLastColumn="0"/>
            </w:pPr>
            <w:r>
              <w:t xml:space="preserve">There is evidence </w:t>
            </w:r>
            <w:r w:rsidR="00584858">
              <w:t xml:space="preserve">reported </w:t>
            </w:r>
            <w:r>
              <w:t xml:space="preserve">of deliberate </w:t>
            </w:r>
            <w:r w:rsidR="00424C3D">
              <w:t>gender</w:t>
            </w:r>
            <w:r w:rsidR="004641D2">
              <w:t>-</w:t>
            </w:r>
            <w:r w:rsidR="00424C3D">
              <w:t xml:space="preserve">equality </w:t>
            </w:r>
            <w:r>
              <w:t>capacity building across organisation</w:t>
            </w:r>
            <w:r w:rsidR="00424C3D">
              <w:t>s.</w:t>
            </w:r>
          </w:p>
          <w:p w14:paraId="522BE5D0" w14:textId="1E9D4BB3" w:rsidR="00C90BD1" w:rsidRDefault="0006706E">
            <w:pPr>
              <w:spacing w:before="240"/>
              <w:cnfStyle w:val="000000100000" w:firstRow="0" w:lastRow="0" w:firstColumn="0" w:lastColumn="0" w:oddVBand="0" w:evenVBand="0" w:oddHBand="1" w:evenHBand="0" w:firstRowFirstColumn="0" w:firstRowLastColumn="0" w:lastRowFirstColumn="0" w:lastRowLastColumn="0"/>
            </w:pPr>
            <w:r>
              <w:t>The extent to which s</w:t>
            </w:r>
            <w:r w:rsidR="00C90BD1">
              <w:t xml:space="preserve">ystems and structures </w:t>
            </w:r>
            <w:r>
              <w:t xml:space="preserve">are </w:t>
            </w:r>
            <w:r w:rsidR="00C90BD1">
              <w:t>in place that deliberately support implementation of GIA</w:t>
            </w:r>
            <w:r w:rsidR="004641D2">
              <w:t>s</w:t>
            </w:r>
            <w:r w:rsidR="00C90BD1">
              <w:t xml:space="preserve"> and reflexively address inherent bias that may detract from gender</w:t>
            </w:r>
            <w:r w:rsidR="004641D2">
              <w:t>-</w:t>
            </w:r>
            <w:r w:rsidR="00C90BD1">
              <w:t>equal outcomes</w:t>
            </w:r>
            <w:r>
              <w:t>.</w:t>
            </w:r>
          </w:p>
        </w:tc>
      </w:tr>
    </w:tbl>
    <w:p w14:paraId="077FD97B" w14:textId="41711747" w:rsidR="003C6C72" w:rsidRPr="003C6C72" w:rsidRDefault="003C6C72" w:rsidP="004676B8">
      <w:pPr>
        <w:spacing w:before="240"/>
        <w:rPr>
          <w:rFonts w:ascii="Calibri Light" w:eastAsia="Times New Roman" w:hAnsi="Calibri Light" w:cs="Times New Roman"/>
          <w:color w:val="404040"/>
          <w:sz w:val="26"/>
          <w:szCs w:val="26"/>
        </w:rPr>
      </w:pPr>
      <w:r>
        <w:rPr>
          <w:rFonts w:ascii="Calibri Light" w:eastAsia="Times New Roman" w:hAnsi="Calibri Light" w:cs="Times New Roman"/>
          <w:color w:val="404040"/>
          <w:sz w:val="26"/>
          <w:szCs w:val="26"/>
        </w:rPr>
        <w:t>Sector s</w:t>
      </w:r>
      <w:r w:rsidRPr="003C6C72">
        <w:rPr>
          <w:rFonts w:ascii="Calibri Light" w:eastAsia="Times New Roman" w:hAnsi="Calibri Light" w:cs="Times New Roman"/>
          <w:color w:val="404040"/>
          <w:sz w:val="26"/>
          <w:szCs w:val="26"/>
        </w:rPr>
        <w:t xml:space="preserve">urvey </w:t>
      </w:r>
    </w:p>
    <w:p w14:paraId="0E0EE6D2" w14:textId="136DC847" w:rsidR="009758A2" w:rsidRDefault="003C6C72" w:rsidP="004676B8">
      <w:pPr>
        <w:spacing w:before="240"/>
      </w:pPr>
      <w:r>
        <w:t>A</w:t>
      </w:r>
      <w:r w:rsidR="00C72B32">
        <w:t>n online</w:t>
      </w:r>
      <w:r>
        <w:t xml:space="preserve"> </w:t>
      </w:r>
      <w:r w:rsidR="004676B8" w:rsidRPr="004676B8">
        <w:t xml:space="preserve">sector survey </w:t>
      </w:r>
      <w:r>
        <w:t xml:space="preserve">was </w:t>
      </w:r>
      <w:r w:rsidR="004676B8" w:rsidRPr="004676B8">
        <w:t xml:space="preserve">distributed by the Commission </w:t>
      </w:r>
      <w:r w:rsidR="00B059AA">
        <w:t xml:space="preserve">on </w:t>
      </w:r>
      <w:r w:rsidR="00C56370">
        <w:t xml:space="preserve">22 December 2021 </w:t>
      </w:r>
      <w:r w:rsidR="000C71A4">
        <w:t xml:space="preserve">through its sector </w:t>
      </w:r>
      <w:r w:rsidR="00B059AA">
        <w:t>e-</w:t>
      </w:r>
      <w:r w:rsidR="000C71A4">
        <w:t>newsletter</w:t>
      </w:r>
      <w:r w:rsidR="00041016">
        <w:t>.</w:t>
      </w:r>
      <w:r>
        <w:t xml:space="preserve"> The survey was open from </w:t>
      </w:r>
      <w:r w:rsidR="00C56370">
        <w:t>22 December 2021 to 31 January 2022</w:t>
      </w:r>
      <w:r>
        <w:t>.</w:t>
      </w:r>
      <w:r w:rsidR="000C71A4">
        <w:t xml:space="preserve"> The survey had eleven questions and targeted practitioners working in defined entities who were likely to be engaged in, and responsible for, undertaking</w:t>
      </w:r>
      <w:r w:rsidR="00B059AA">
        <w:t xml:space="preserve"> GIA</w:t>
      </w:r>
      <w:r w:rsidR="004641D2">
        <w:t>s</w:t>
      </w:r>
      <w:r w:rsidR="000C71A4">
        <w:t xml:space="preserve">. </w:t>
      </w:r>
      <w:r w:rsidR="00041016">
        <w:t xml:space="preserve"> </w:t>
      </w:r>
      <w:r w:rsidR="00C72B32">
        <w:t>T</w:t>
      </w:r>
      <w:r w:rsidR="009758A2">
        <w:t xml:space="preserve">he survey </w:t>
      </w:r>
      <w:r w:rsidR="00C72B32">
        <w:t xml:space="preserve">was </w:t>
      </w:r>
      <w:r w:rsidR="00FE5281">
        <w:t xml:space="preserve">collected through a questionnaire application – SurveyMonkey. </w:t>
      </w:r>
      <w:r w:rsidR="00B22EAB">
        <w:t xml:space="preserve">The full set of survey questions </w:t>
      </w:r>
      <w:r w:rsidR="004641D2">
        <w:t>is</w:t>
      </w:r>
      <w:r w:rsidR="00B22EAB">
        <w:t xml:space="preserve"> detailed in </w:t>
      </w:r>
      <w:r w:rsidR="00B22EAB" w:rsidRPr="00B514E0">
        <w:rPr>
          <w:b/>
          <w:bCs/>
        </w:rPr>
        <w:t xml:space="preserve">Appendix One </w:t>
      </w:r>
      <w:r w:rsidR="00B22EAB">
        <w:t>of this report.</w:t>
      </w:r>
    </w:p>
    <w:p w14:paraId="3BF423F9" w14:textId="45CFFDD6" w:rsidR="004676B8" w:rsidRDefault="003C6C72" w:rsidP="004676B8">
      <w:pPr>
        <w:spacing w:before="240"/>
        <w:rPr>
          <w:rFonts w:ascii="Calibri Light" w:eastAsia="Times New Roman" w:hAnsi="Calibri Light" w:cs="Times New Roman"/>
          <w:color w:val="404040"/>
          <w:sz w:val="26"/>
          <w:szCs w:val="26"/>
        </w:rPr>
      </w:pPr>
      <w:r w:rsidRPr="003C6C72">
        <w:rPr>
          <w:rFonts w:ascii="Calibri Light" w:eastAsia="Times New Roman" w:hAnsi="Calibri Light" w:cs="Times New Roman"/>
          <w:color w:val="404040"/>
          <w:sz w:val="26"/>
          <w:szCs w:val="26"/>
        </w:rPr>
        <w:t xml:space="preserve">Interviews </w:t>
      </w:r>
    </w:p>
    <w:p w14:paraId="684EE0DB" w14:textId="136B0033" w:rsidR="00FC648B" w:rsidRDefault="00537BFE" w:rsidP="00AD4C65">
      <w:r>
        <w:t xml:space="preserve">Five </w:t>
      </w:r>
      <w:r w:rsidR="00713237" w:rsidRPr="00AD4C65">
        <w:t>one-hour</w:t>
      </w:r>
      <w:r w:rsidR="00AD4C65" w:rsidRPr="00AD4C65">
        <w:t xml:space="preserve"> interview</w:t>
      </w:r>
      <w:r w:rsidR="00011FA9">
        <w:t>s</w:t>
      </w:r>
      <w:r>
        <w:t xml:space="preserve"> occurred with</w:t>
      </w:r>
      <w:r w:rsidR="000B3014">
        <w:t xml:space="preserve"> </w:t>
      </w:r>
      <w:r w:rsidR="00126261">
        <w:t>stakeholders</w:t>
      </w:r>
      <w:r w:rsidR="000B3014">
        <w:t xml:space="preserve"> from</w:t>
      </w:r>
      <w:r>
        <w:t xml:space="preserve"> the following</w:t>
      </w:r>
      <w:r w:rsidR="000B3014">
        <w:t xml:space="preserve"> sectors</w:t>
      </w:r>
      <w:r w:rsidR="00126261">
        <w:t>:</w:t>
      </w:r>
      <w:r>
        <w:t xml:space="preserve"> </w:t>
      </w:r>
    </w:p>
    <w:tbl>
      <w:tblPr>
        <w:tblStyle w:val="GridTable4-Accent6"/>
        <w:tblW w:w="4040" w:type="dxa"/>
        <w:tblLook w:val="04A0" w:firstRow="1" w:lastRow="0" w:firstColumn="1" w:lastColumn="0" w:noHBand="0" w:noVBand="1"/>
      </w:tblPr>
      <w:tblGrid>
        <w:gridCol w:w="4040"/>
      </w:tblGrid>
      <w:tr w:rsidR="0042014A" w:rsidRPr="002F324E" w14:paraId="06DF716C" w14:textId="77777777" w:rsidTr="00484D2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040" w:type="dxa"/>
          </w:tcPr>
          <w:p w14:paraId="772CA5BE" w14:textId="0AF35AB4" w:rsidR="0042014A" w:rsidRPr="006B75D8" w:rsidRDefault="00330E82" w:rsidP="008D21D2">
            <w:pPr>
              <w:rPr>
                <w:rFonts w:ascii="Calibri Light" w:eastAsia="Times New Roman" w:hAnsi="Calibri Light" w:cs="Times New Roman"/>
                <w:color w:val="auto"/>
              </w:rPr>
            </w:pPr>
            <w:r>
              <w:rPr>
                <w:rFonts w:ascii="Calibri Light" w:eastAsia="Times New Roman" w:hAnsi="Calibri Light" w:cs="Times New Roman"/>
                <w:color w:val="auto"/>
              </w:rPr>
              <w:t>Stakeholder Secto</w:t>
            </w:r>
            <w:r w:rsidR="006C2D88">
              <w:rPr>
                <w:rFonts w:ascii="Calibri Light" w:eastAsia="Times New Roman" w:hAnsi="Calibri Light" w:cs="Times New Roman"/>
                <w:color w:val="auto"/>
              </w:rPr>
              <w:t>r</w:t>
            </w:r>
            <w:r w:rsidR="0042014A" w:rsidRPr="006B75D8">
              <w:rPr>
                <w:rFonts w:ascii="Calibri Light" w:eastAsia="Times New Roman" w:hAnsi="Calibri Light" w:cs="Times New Roman"/>
                <w:color w:val="auto"/>
              </w:rPr>
              <w:t xml:space="preserve"> </w:t>
            </w:r>
          </w:p>
        </w:tc>
      </w:tr>
      <w:tr w:rsidR="0042014A" w14:paraId="745471AC" w14:textId="77777777" w:rsidTr="0048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tcPr>
          <w:p w14:paraId="743A1C16" w14:textId="34EB6B61" w:rsidR="0042014A" w:rsidRPr="001D42F7" w:rsidRDefault="00330E82" w:rsidP="008C10D9">
            <w:pPr>
              <w:textAlignment w:val="baseline"/>
              <w:rPr>
                <w:rFonts w:eastAsia="Times New Roman"/>
              </w:rPr>
            </w:pPr>
            <w:r>
              <w:rPr>
                <w:rFonts w:eastAsia="Times New Roman"/>
              </w:rPr>
              <w:t>Local Government</w:t>
            </w:r>
          </w:p>
        </w:tc>
      </w:tr>
      <w:tr w:rsidR="0042014A" w14:paraId="1283C64F" w14:textId="77777777" w:rsidTr="00484D22">
        <w:tc>
          <w:tcPr>
            <w:cnfStyle w:val="001000000000" w:firstRow="0" w:lastRow="0" w:firstColumn="1" w:lastColumn="0" w:oddVBand="0" w:evenVBand="0" w:oddHBand="0" w:evenHBand="0" w:firstRowFirstColumn="0" w:firstRowLastColumn="0" w:lastRowFirstColumn="0" w:lastRowLastColumn="0"/>
            <w:tcW w:w="4040" w:type="dxa"/>
          </w:tcPr>
          <w:p w14:paraId="640442CE" w14:textId="468346B9" w:rsidR="0042014A" w:rsidRPr="009D774D" w:rsidRDefault="00713CC1" w:rsidP="008C10D9">
            <w:pPr>
              <w:textAlignment w:val="baseline"/>
              <w:rPr>
                <w:rFonts w:eastAsia="Times New Roman"/>
              </w:rPr>
            </w:pPr>
            <w:r>
              <w:rPr>
                <w:rFonts w:eastAsia="Times New Roman"/>
              </w:rPr>
              <w:t>Emergency Services</w:t>
            </w:r>
            <w:r w:rsidR="0042014A" w:rsidRPr="009D774D">
              <w:rPr>
                <w:rFonts w:eastAsia="Times New Roman"/>
              </w:rPr>
              <w:t>  </w:t>
            </w:r>
          </w:p>
        </w:tc>
      </w:tr>
      <w:tr w:rsidR="0042014A" w14:paraId="2FBDE4A7" w14:textId="77777777" w:rsidTr="0048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tcPr>
          <w:p w14:paraId="6779339C" w14:textId="00A5D7CD" w:rsidR="0042014A" w:rsidRPr="009D774D" w:rsidRDefault="009D1EF1" w:rsidP="008C10D9">
            <w:pPr>
              <w:spacing w:line="259" w:lineRule="auto"/>
            </w:pPr>
            <w:r>
              <w:t>Water Utility</w:t>
            </w:r>
          </w:p>
        </w:tc>
      </w:tr>
      <w:tr w:rsidR="0042014A" w14:paraId="783D147A" w14:textId="77777777" w:rsidTr="00484D22">
        <w:tc>
          <w:tcPr>
            <w:cnfStyle w:val="001000000000" w:firstRow="0" w:lastRow="0" w:firstColumn="1" w:lastColumn="0" w:oddVBand="0" w:evenVBand="0" w:oddHBand="0" w:evenHBand="0" w:firstRowFirstColumn="0" w:firstRowLastColumn="0" w:lastRowFirstColumn="0" w:lastRowLastColumn="0"/>
            <w:tcW w:w="4040" w:type="dxa"/>
          </w:tcPr>
          <w:p w14:paraId="5563FF11" w14:textId="497CD1BB" w:rsidR="0042014A" w:rsidRDefault="001E0FBC" w:rsidP="008C10D9">
            <w:pPr>
              <w:spacing w:after="160"/>
              <w:textAlignment w:val="baseline"/>
              <w:rPr>
                <w:lang w:eastAsia="en-AU"/>
              </w:rPr>
            </w:pPr>
            <w:r>
              <w:rPr>
                <w:lang w:eastAsia="en-AU"/>
              </w:rPr>
              <w:lastRenderedPageBreak/>
              <w:t>State Government Agency</w:t>
            </w:r>
          </w:p>
        </w:tc>
      </w:tr>
    </w:tbl>
    <w:p w14:paraId="08903E1C" w14:textId="77777777" w:rsidR="00FC648B" w:rsidRDefault="00FC648B" w:rsidP="00AD4C65"/>
    <w:p w14:paraId="4221F139" w14:textId="0E79E469" w:rsidR="00AD4C65" w:rsidRPr="00AD4C65" w:rsidRDefault="00AD4C65" w:rsidP="00AD4C65">
      <w:r w:rsidRPr="00AD4C65">
        <w:t>Interviews were structured around the following questions</w:t>
      </w:r>
      <w:r w:rsidR="00124B85">
        <w:t xml:space="preserve"> as per the</w:t>
      </w:r>
      <w:r w:rsidR="00C05730">
        <w:t xml:space="preserve"> above</w:t>
      </w:r>
      <w:r w:rsidR="00124B85">
        <w:t xml:space="preserve"> framework</w:t>
      </w:r>
      <w:r w:rsidR="00713237">
        <w:t>:</w:t>
      </w:r>
    </w:p>
    <w:p w14:paraId="6425D9E5" w14:textId="70589F6D" w:rsidR="00AD4C65" w:rsidRPr="00AD4C65" w:rsidRDefault="00AD4C65" w:rsidP="00C034EE">
      <w:pPr>
        <w:pStyle w:val="ListParagraph"/>
        <w:numPr>
          <w:ilvl w:val="0"/>
          <w:numId w:val="2"/>
        </w:numPr>
        <w:spacing w:after="0" w:line="252" w:lineRule="auto"/>
        <w:rPr>
          <w:rFonts w:eastAsia="Times New Roman"/>
        </w:rPr>
      </w:pPr>
      <w:r w:rsidRPr="00AD4C65">
        <w:rPr>
          <w:rFonts w:eastAsia="Times New Roman"/>
        </w:rPr>
        <w:t xml:space="preserve">What feedback are you receiving about </w:t>
      </w:r>
      <w:r w:rsidR="00C15633">
        <w:rPr>
          <w:rFonts w:eastAsia="Times New Roman"/>
        </w:rPr>
        <w:t xml:space="preserve">GIA </w:t>
      </w:r>
      <w:r w:rsidRPr="00AD4C65">
        <w:rPr>
          <w:rFonts w:eastAsia="Times New Roman"/>
        </w:rPr>
        <w:t xml:space="preserve">and what themes are you </w:t>
      </w:r>
      <w:r w:rsidR="005E5A01">
        <w:rPr>
          <w:rFonts w:eastAsia="Times New Roman"/>
        </w:rPr>
        <w:t>noticing</w:t>
      </w:r>
      <w:r w:rsidRPr="00AD4C65">
        <w:rPr>
          <w:rFonts w:eastAsia="Times New Roman"/>
        </w:rPr>
        <w:t xml:space="preserve"> around capacity, resourcing</w:t>
      </w:r>
      <w:r w:rsidR="00B22EAB">
        <w:rPr>
          <w:rFonts w:eastAsia="Times New Roman"/>
        </w:rPr>
        <w:t>,</w:t>
      </w:r>
      <w:r w:rsidRPr="00AD4C65">
        <w:rPr>
          <w:rFonts w:eastAsia="Times New Roman"/>
        </w:rPr>
        <w:t xml:space="preserve"> and leadership</w:t>
      </w:r>
      <w:r w:rsidR="005E5A01">
        <w:rPr>
          <w:rFonts w:eastAsia="Times New Roman"/>
        </w:rPr>
        <w:t xml:space="preserve">? </w:t>
      </w:r>
    </w:p>
    <w:p w14:paraId="1B2520C7" w14:textId="031A8D4E" w:rsidR="00AD4C65" w:rsidRPr="00AD4C65" w:rsidRDefault="00AD4C65" w:rsidP="00C034EE">
      <w:pPr>
        <w:pStyle w:val="ListParagraph"/>
        <w:numPr>
          <w:ilvl w:val="0"/>
          <w:numId w:val="2"/>
        </w:numPr>
        <w:spacing w:after="0" w:line="252" w:lineRule="auto"/>
        <w:rPr>
          <w:rFonts w:eastAsia="Times New Roman"/>
        </w:rPr>
      </w:pPr>
      <w:r w:rsidRPr="00AD4C65">
        <w:rPr>
          <w:rFonts w:eastAsia="Times New Roman"/>
        </w:rPr>
        <w:t>What does this mean for the resources and additional support required – now</w:t>
      </w:r>
      <w:r w:rsidR="00AA409D">
        <w:rPr>
          <w:rFonts w:eastAsia="Times New Roman"/>
        </w:rPr>
        <w:t xml:space="preserve"> and into the</w:t>
      </w:r>
      <w:r w:rsidRPr="00AD4C65">
        <w:rPr>
          <w:rFonts w:eastAsia="Times New Roman"/>
        </w:rPr>
        <w:t xml:space="preserve"> future</w:t>
      </w:r>
      <w:r w:rsidR="00AA409D">
        <w:rPr>
          <w:rFonts w:eastAsia="Times New Roman"/>
        </w:rPr>
        <w:t>?</w:t>
      </w:r>
    </w:p>
    <w:p w14:paraId="7A672C0F" w14:textId="1B01E939" w:rsidR="00AD4C65" w:rsidRPr="00AD4C65" w:rsidRDefault="00AD4C65" w:rsidP="00C034EE">
      <w:pPr>
        <w:pStyle w:val="ListParagraph"/>
        <w:numPr>
          <w:ilvl w:val="0"/>
          <w:numId w:val="2"/>
        </w:numPr>
        <w:spacing w:after="0" w:line="252" w:lineRule="auto"/>
        <w:rPr>
          <w:rFonts w:eastAsia="Times New Roman"/>
        </w:rPr>
      </w:pPr>
      <w:r w:rsidRPr="00AD4C65">
        <w:rPr>
          <w:rFonts w:eastAsia="Times New Roman"/>
        </w:rPr>
        <w:t>How do</w:t>
      </w:r>
      <w:r w:rsidR="00A73A2C">
        <w:rPr>
          <w:rFonts w:eastAsia="Times New Roman"/>
        </w:rPr>
        <w:t>es</w:t>
      </w:r>
      <w:r w:rsidRPr="00AD4C65">
        <w:rPr>
          <w:rFonts w:eastAsia="Times New Roman"/>
        </w:rPr>
        <w:t xml:space="preserve"> </w:t>
      </w:r>
      <w:r w:rsidR="00AA409D">
        <w:rPr>
          <w:rFonts w:eastAsia="Times New Roman"/>
        </w:rPr>
        <w:t>GIA</w:t>
      </w:r>
      <w:r w:rsidRPr="00AD4C65">
        <w:rPr>
          <w:rFonts w:eastAsia="Times New Roman"/>
        </w:rPr>
        <w:t xml:space="preserve"> become</w:t>
      </w:r>
      <w:r>
        <w:rPr>
          <w:rFonts w:eastAsia="Times New Roman"/>
        </w:rPr>
        <w:t xml:space="preserve"> business as usual</w:t>
      </w:r>
      <w:r w:rsidRPr="00AD4C65">
        <w:rPr>
          <w:rFonts w:eastAsia="Times New Roman"/>
        </w:rPr>
        <w:t>?</w:t>
      </w:r>
    </w:p>
    <w:p w14:paraId="5749E4A7" w14:textId="535CFFDA" w:rsidR="003C6C72" w:rsidRDefault="00AD4C65" w:rsidP="00C034EE">
      <w:pPr>
        <w:pStyle w:val="ListParagraph"/>
        <w:numPr>
          <w:ilvl w:val="0"/>
          <w:numId w:val="2"/>
        </w:numPr>
        <w:spacing w:after="0" w:line="252" w:lineRule="auto"/>
        <w:rPr>
          <w:rFonts w:eastAsia="Times New Roman"/>
        </w:rPr>
      </w:pPr>
      <w:r w:rsidRPr="00AD4C65">
        <w:rPr>
          <w:rFonts w:eastAsia="Times New Roman"/>
        </w:rPr>
        <w:t xml:space="preserve">Is there an issue with the </w:t>
      </w:r>
      <w:r w:rsidR="005E1CEB">
        <w:rPr>
          <w:rFonts w:eastAsia="Times New Roman"/>
        </w:rPr>
        <w:t>GIA</w:t>
      </w:r>
      <w:r w:rsidRPr="00AD4C65">
        <w:rPr>
          <w:rFonts w:eastAsia="Times New Roman"/>
        </w:rPr>
        <w:t xml:space="preserve"> process</w:t>
      </w:r>
      <w:r w:rsidR="008F706D">
        <w:rPr>
          <w:rFonts w:eastAsia="Times New Roman"/>
        </w:rPr>
        <w:t xml:space="preserve"> </w:t>
      </w:r>
      <w:r w:rsidRPr="00AD4C65">
        <w:rPr>
          <w:rFonts w:eastAsia="Times New Roman"/>
        </w:rPr>
        <w:t>be</w:t>
      </w:r>
      <w:r w:rsidR="008F706D">
        <w:rPr>
          <w:rFonts w:eastAsia="Times New Roman"/>
        </w:rPr>
        <w:t>ing</w:t>
      </w:r>
      <w:r w:rsidRPr="00AD4C65">
        <w:rPr>
          <w:rFonts w:eastAsia="Times New Roman"/>
        </w:rPr>
        <w:t xml:space="preserve"> implemented at scale – can it be implemented </w:t>
      </w:r>
      <w:r w:rsidR="005E1CEB">
        <w:rPr>
          <w:rFonts w:eastAsia="Times New Roman"/>
        </w:rPr>
        <w:t xml:space="preserve">in </w:t>
      </w:r>
      <w:r w:rsidRPr="00AD4C65">
        <w:rPr>
          <w:rFonts w:eastAsia="Times New Roman"/>
        </w:rPr>
        <w:t>small and large</w:t>
      </w:r>
      <w:r w:rsidR="005E1CEB">
        <w:rPr>
          <w:rFonts w:eastAsia="Times New Roman"/>
        </w:rPr>
        <w:t xml:space="preserve"> organisations</w:t>
      </w:r>
      <w:r w:rsidRPr="00AD4C65">
        <w:rPr>
          <w:rFonts w:eastAsia="Times New Roman"/>
        </w:rPr>
        <w:t>?</w:t>
      </w:r>
    </w:p>
    <w:p w14:paraId="20B6B8A2" w14:textId="00F6880A" w:rsidR="00041016" w:rsidRPr="003C6C72" w:rsidRDefault="003C6C72" w:rsidP="004676B8">
      <w:pPr>
        <w:spacing w:before="240"/>
        <w:rPr>
          <w:rFonts w:ascii="Calibri Light" w:eastAsia="Times New Roman" w:hAnsi="Calibri Light" w:cs="Times New Roman"/>
          <w:color w:val="404040"/>
          <w:sz w:val="26"/>
          <w:szCs w:val="26"/>
        </w:rPr>
      </w:pPr>
      <w:r w:rsidRPr="003C6C72">
        <w:rPr>
          <w:rFonts w:ascii="Calibri Light" w:eastAsia="Times New Roman" w:hAnsi="Calibri Light" w:cs="Times New Roman"/>
          <w:color w:val="404040"/>
          <w:sz w:val="26"/>
          <w:szCs w:val="26"/>
        </w:rPr>
        <w:t xml:space="preserve">Focus groups </w:t>
      </w:r>
    </w:p>
    <w:p w14:paraId="51D4D306" w14:textId="2E1AEBC7" w:rsidR="00713237" w:rsidRDefault="00E53677" w:rsidP="004676B8">
      <w:pPr>
        <w:spacing w:before="240"/>
      </w:pPr>
      <w:r>
        <w:t xml:space="preserve">Six </w:t>
      </w:r>
      <w:r w:rsidR="003C6C72">
        <w:t xml:space="preserve">focus groups </w:t>
      </w:r>
      <w:r w:rsidR="003619DA">
        <w:t xml:space="preserve">with 162 participants </w:t>
      </w:r>
      <w:r w:rsidR="003C6C72">
        <w:t xml:space="preserve">were conducted with the following groups as detailed below. Focus groups went for 1.5 hours and were facilitated by the </w:t>
      </w:r>
      <w:r w:rsidR="005E1CEB">
        <w:t>AGEP</w:t>
      </w:r>
      <w:r w:rsidR="003619DA">
        <w:t xml:space="preserve"> project team</w:t>
      </w:r>
      <w:r w:rsidR="003C6C72">
        <w:t xml:space="preserve"> online. </w:t>
      </w:r>
      <w:r w:rsidR="00713237">
        <w:t>Focus groups were structured around the following</w:t>
      </w:r>
      <w:r w:rsidR="00124B85">
        <w:t xml:space="preserve"> questions </w:t>
      </w:r>
      <w:r w:rsidR="005E1CEB">
        <w:t xml:space="preserve">as </w:t>
      </w:r>
      <w:r w:rsidR="00124B85">
        <w:t xml:space="preserve">guided by the </w:t>
      </w:r>
      <w:r w:rsidR="00C05730">
        <w:t xml:space="preserve">above </w:t>
      </w:r>
      <w:r w:rsidR="00124B85">
        <w:t>framework</w:t>
      </w:r>
      <w:r w:rsidR="00713237">
        <w:t>:</w:t>
      </w:r>
    </w:p>
    <w:p w14:paraId="4DF0BF50" w14:textId="60901E5A" w:rsidR="00713237" w:rsidRDefault="00713237" w:rsidP="00C034EE">
      <w:pPr>
        <w:pStyle w:val="ListParagraph"/>
        <w:numPr>
          <w:ilvl w:val="0"/>
          <w:numId w:val="3"/>
        </w:numPr>
        <w:spacing w:after="0" w:line="240" w:lineRule="auto"/>
        <w:rPr>
          <w:rFonts w:eastAsia="Times New Roman"/>
        </w:rPr>
      </w:pPr>
      <w:r w:rsidRPr="00713237">
        <w:rPr>
          <w:rFonts w:eastAsia="Times New Roman"/>
        </w:rPr>
        <w:t xml:space="preserve">What </w:t>
      </w:r>
      <w:r w:rsidR="005E1CEB">
        <w:rPr>
          <w:rFonts w:eastAsia="Times New Roman"/>
        </w:rPr>
        <w:t>GIA</w:t>
      </w:r>
      <w:r w:rsidRPr="00713237">
        <w:rPr>
          <w:rFonts w:eastAsia="Times New Roman"/>
        </w:rPr>
        <w:t xml:space="preserve"> activity is occurring and what is working well and why</w:t>
      </w:r>
      <w:r>
        <w:rPr>
          <w:rFonts w:eastAsia="Times New Roman"/>
        </w:rPr>
        <w:t>?</w:t>
      </w:r>
    </w:p>
    <w:p w14:paraId="1B30080D" w14:textId="745BDB18" w:rsidR="00713237" w:rsidRDefault="00713237" w:rsidP="00C034EE">
      <w:pPr>
        <w:pStyle w:val="ListParagraph"/>
        <w:numPr>
          <w:ilvl w:val="0"/>
          <w:numId w:val="3"/>
        </w:numPr>
        <w:spacing w:after="0" w:line="240" w:lineRule="auto"/>
        <w:rPr>
          <w:rFonts w:eastAsia="Times New Roman"/>
        </w:rPr>
      </w:pPr>
      <w:r w:rsidRPr="00713237">
        <w:rPr>
          <w:rFonts w:eastAsia="Times New Roman"/>
        </w:rPr>
        <w:t>What barriers are there to</w:t>
      </w:r>
      <w:r w:rsidR="005E1CEB">
        <w:rPr>
          <w:rFonts w:eastAsia="Times New Roman"/>
        </w:rPr>
        <w:t xml:space="preserve"> GIA</w:t>
      </w:r>
      <w:r w:rsidRPr="00713237">
        <w:rPr>
          <w:rFonts w:eastAsia="Times New Roman"/>
        </w:rPr>
        <w:t xml:space="preserve"> work not occurring or not occurring well?</w:t>
      </w:r>
    </w:p>
    <w:p w14:paraId="56AE2B54" w14:textId="34EA3DFA" w:rsidR="00713237" w:rsidRDefault="00713237" w:rsidP="00C034EE">
      <w:pPr>
        <w:pStyle w:val="ListParagraph"/>
        <w:numPr>
          <w:ilvl w:val="0"/>
          <w:numId w:val="3"/>
        </w:numPr>
        <w:spacing w:after="0" w:line="240" w:lineRule="auto"/>
        <w:rPr>
          <w:rFonts w:eastAsia="Times New Roman"/>
        </w:rPr>
      </w:pPr>
      <w:r w:rsidRPr="00713237">
        <w:rPr>
          <w:rFonts w:eastAsia="Times New Roman"/>
        </w:rPr>
        <w:t>What opportunities are there to better support</w:t>
      </w:r>
      <w:r>
        <w:rPr>
          <w:rFonts w:eastAsia="Times New Roman"/>
        </w:rPr>
        <w:t xml:space="preserve"> </w:t>
      </w:r>
      <w:r w:rsidR="00B764D1">
        <w:rPr>
          <w:rFonts w:eastAsia="Times New Roman"/>
        </w:rPr>
        <w:t>GIA</w:t>
      </w:r>
      <w:r w:rsidR="00C05730">
        <w:rPr>
          <w:rFonts w:eastAsia="Times New Roman"/>
        </w:rPr>
        <w:t>s</w:t>
      </w:r>
      <w:r w:rsidRPr="00713237">
        <w:rPr>
          <w:rFonts w:eastAsia="Times New Roman"/>
        </w:rPr>
        <w:t xml:space="preserve"> in organisations?</w:t>
      </w:r>
    </w:p>
    <w:p w14:paraId="756FEFB4" w14:textId="5486C355" w:rsidR="00CD1C2A" w:rsidRPr="00713237" w:rsidRDefault="00713237" w:rsidP="00C034EE">
      <w:pPr>
        <w:pStyle w:val="ListParagraph"/>
        <w:numPr>
          <w:ilvl w:val="0"/>
          <w:numId w:val="3"/>
        </w:numPr>
        <w:spacing w:after="0" w:line="240" w:lineRule="auto"/>
        <w:rPr>
          <w:rFonts w:eastAsia="Times New Roman"/>
        </w:rPr>
      </w:pPr>
      <w:r w:rsidRPr="00713237">
        <w:rPr>
          <w:rFonts w:eastAsia="Times New Roman"/>
        </w:rPr>
        <w:t>Thinking more broadly, what environment</w:t>
      </w:r>
      <w:r w:rsidR="00B764D1">
        <w:rPr>
          <w:rFonts w:eastAsia="Times New Roman"/>
        </w:rPr>
        <w:t>al</w:t>
      </w:r>
      <w:r w:rsidRPr="00713237">
        <w:rPr>
          <w:rFonts w:eastAsia="Times New Roman"/>
        </w:rPr>
        <w:t xml:space="preserve"> issues and other matters impact upon the completion of </w:t>
      </w:r>
      <w:r w:rsidR="00B764D1">
        <w:rPr>
          <w:rFonts w:eastAsia="Times New Roman"/>
        </w:rPr>
        <w:t>GIA</w:t>
      </w:r>
      <w:r w:rsidR="00C05730">
        <w:rPr>
          <w:rFonts w:eastAsia="Times New Roman"/>
        </w:rPr>
        <w:t>s</w:t>
      </w:r>
      <w:r w:rsidRPr="00713237">
        <w:rPr>
          <w:rFonts w:eastAsia="Times New Roman"/>
        </w:rPr>
        <w:t>?</w:t>
      </w:r>
    </w:p>
    <w:p w14:paraId="70786225" w14:textId="77777777" w:rsidR="00713237" w:rsidRDefault="00713237" w:rsidP="00BF1C53">
      <w:pPr>
        <w:pStyle w:val="ListParagraph"/>
        <w:spacing w:after="0" w:line="240" w:lineRule="auto"/>
      </w:pPr>
    </w:p>
    <w:tbl>
      <w:tblPr>
        <w:tblStyle w:val="GridTable4-Accent6"/>
        <w:tblW w:w="4923" w:type="pct"/>
        <w:tblLook w:val="04A0" w:firstRow="1" w:lastRow="0" w:firstColumn="1" w:lastColumn="0" w:noHBand="0" w:noVBand="1"/>
      </w:tblPr>
      <w:tblGrid>
        <w:gridCol w:w="5520"/>
        <w:gridCol w:w="3357"/>
      </w:tblGrid>
      <w:tr w:rsidR="00515496" w14:paraId="18E485EC" w14:textId="319FC72F" w:rsidTr="00BF1C53">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109" w:type="pct"/>
            <w:hideMark/>
          </w:tcPr>
          <w:p w14:paraId="638FA61D" w14:textId="31691270" w:rsidR="00515496" w:rsidRPr="006B75D8" w:rsidRDefault="00515496" w:rsidP="002F324E">
            <w:pPr>
              <w:rPr>
                <w:rFonts w:ascii="Calibri Light" w:eastAsia="Times New Roman" w:hAnsi="Calibri Light" w:cs="Times New Roman"/>
                <w:b w:val="0"/>
                <w:bCs w:val="0"/>
                <w:color w:val="auto"/>
              </w:rPr>
            </w:pPr>
            <w:r w:rsidRPr="006B75D8">
              <w:rPr>
                <w:rFonts w:ascii="Calibri Light" w:eastAsia="Times New Roman" w:hAnsi="Calibri Light" w:cs="Times New Roman"/>
                <w:color w:val="auto"/>
              </w:rPr>
              <w:t>Focus groups</w:t>
            </w:r>
          </w:p>
        </w:tc>
        <w:tc>
          <w:tcPr>
            <w:tcW w:w="1891" w:type="pct"/>
          </w:tcPr>
          <w:p w14:paraId="750B0422" w14:textId="09BFF87D" w:rsidR="00515496" w:rsidRPr="006B75D8" w:rsidRDefault="00515496" w:rsidP="002F324E">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auto"/>
              </w:rPr>
            </w:pPr>
            <w:r w:rsidRPr="006B75D8">
              <w:rPr>
                <w:rFonts w:ascii="Calibri Light" w:eastAsia="Times New Roman" w:hAnsi="Calibri Light" w:cs="Times New Roman"/>
                <w:color w:val="auto"/>
              </w:rPr>
              <w:t>Date</w:t>
            </w:r>
          </w:p>
        </w:tc>
      </w:tr>
      <w:tr w:rsidR="00515496" w14:paraId="1A1DEC7C" w14:textId="46A94355" w:rsidTr="00BF1C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pct"/>
            <w:hideMark/>
          </w:tcPr>
          <w:p w14:paraId="1BFED429" w14:textId="275B25DB" w:rsidR="00515496" w:rsidRPr="002F324E" w:rsidRDefault="00515496" w:rsidP="003C6C72">
            <w:pPr>
              <w:spacing w:line="259" w:lineRule="auto"/>
              <w:rPr>
                <w:b w:val="0"/>
                <w:bCs w:val="0"/>
              </w:rPr>
            </w:pPr>
            <w:r w:rsidRPr="002F324E">
              <w:rPr>
                <w:b w:val="0"/>
                <w:bCs w:val="0"/>
              </w:rPr>
              <w:t xml:space="preserve">Health </w:t>
            </w:r>
          </w:p>
        </w:tc>
        <w:tc>
          <w:tcPr>
            <w:tcW w:w="1891" w:type="pct"/>
          </w:tcPr>
          <w:p w14:paraId="13FED615" w14:textId="1BBE5BFF" w:rsidR="00515496" w:rsidRDefault="00515496" w:rsidP="003C6C72">
            <w:pPr>
              <w:cnfStyle w:val="000000100000" w:firstRow="0" w:lastRow="0" w:firstColumn="0" w:lastColumn="0" w:oddVBand="0" w:evenVBand="0" w:oddHBand="1" w:evenHBand="0" w:firstRowFirstColumn="0" w:firstRowLastColumn="0" w:lastRowFirstColumn="0" w:lastRowLastColumn="0"/>
            </w:pPr>
            <w:r>
              <w:t>27 January 2022</w:t>
            </w:r>
          </w:p>
        </w:tc>
      </w:tr>
      <w:tr w:rsidR="00515496" w14:paraId="2AD45198" w14:textId="2D8D6398" w:rsidTr="00BF1C53">
        <w:trPr>
          <w:trHeight w:val="617"/>
        </w:trPr>
        <w:tc>
          <w:tcPr>
            <w:cnfStyle w:val="001000000000" w:firstRow="0" w:lastRow="0" w:firstColumn="1" w:lastColumn="0" w:oddVBand="0" w:evenVBand="0" w:oddHBand="0" w:evenHBand="0" w:firstRowFirstColumn="0" w:firstRowLastColumn="0" w:lastRowFirstColumn="0" w:lastRowLastColumn="0"/>
            <w:tcW w:w="3109" w:type="pct"/>
            <w:hideMark/>
          </w:tcPr>
          <w:p w14:paraId="08511D0E" w14:textId="555256C5" w:rsidR="00515496" w:rsidRPr="002F324E" w:rsidRDefault="00515496" w:rsidP="003C6C72">
            <w:pPr>
              <w:spacing w:line="259" w:lineRule="auto"/>
              <w:rPr>
                <w:b w:val="0"/>
                <w:bCs w:val="0"/>
              </w:rPr>
            </w:pPr>
            <w:r>
              <w:rPr>
                <w:b w:val="0"/>
                <w:bCs w:val="0"/>
              </w:rPr>
              <w:t>R</w:t>
            </w:r>
            <w:r w:rsidR="005F597B">
              <w:rPr>
                <w:b w:val="0"/>
                <w:bCs w:val="0"/>
              </w:rPr>
              <w:t xml:space="preserve">ural </w:t>
            </w:r>
            <w:r>
              <w:rPr>
                <w:b w:val="0"/>
                <w:bCs w:val="0"/>
              </w:rPr>
              <w:t>Victoria</w:t>
            </w:r>
            <w:r w:rsidR="00A373B2">
              <w:rPr>
                <w:b w:val="0"/>
                <w:bCs w:val="0"/>
              </w:rPr>
              <w:t>,</w:t>
            </w:r>
            <w:r>
              <w:rPr>
                <w:b w:val="0"/>
                <w:bCs w:val="0"/>
              </w:rPr>
              <w:t xml:space="preserve"> Sports and Recreation</w:t>
            </w:r>
            <w:r w:rsidRPr="00AB666F">
              <w:rPr>
                <w:b w:val="0"/>
                <w:bCs w:val="0"/>
                <w:i/>
                <w:iCs/>
              </w:rPr>
              <w:t xml:space="preserve"> </w:t>
            </w:r>
          </w:p>
        </w:tc>
        <w:tc>
          <w:tcPr>
            <w:tcW w:w="1891" w:type="pct"/>
          </w:tcPr>
          <w:p w14:paraId="7C579DD1" w14:textId="437A6D7D" w:rsidR="00515496" w:rsidRDefault="00515496" w:rsidP="003C6C72">
            <w:pPr>
              <w:cnfStyle w:val="000000000000" w:firstRow="0" w:lastRow="0" w:firstColumn="0" w:lastColumn="0" w:oddVBand="0" w:evenVBand="0" w:oddHBand="0" w:evenHBand="0" w:firstRowFirstColumn="0" w:firstRowLastColumn="0" w:lastRowFirstColumn="0" w:lastRowLastColumn="0"/>
            </w:pPr>
            <w:r>
              <w:t>21 January 2022</w:t>
            </w:r>
          </w:p>
        </w:tc>
      </w:tr>
      <w:tr w:rsidR="00515496" w14:paraId="260ECCAB" w14:textId="4436E6AA" w:rsidTr="00BF1C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pct"/>
            <w:hideMark/>
          </w:tcPr>
          <w:p w14:paraId="33F9A780" w14:textId="126F5FDA" w:rsidR="00515496" w:rsidRPr="005333C7" w:rsidRDefault="00515496" w:rsidP="005333C7">
            <w:pPr>
              <w:spacing w:line="259" w:lineRule="auto"/>
              <w:rPr>
                <w:b w:val="0"/>
                <w:bCs w:val="0"/>
              </w:rPr>
            </w:pPr>
            <w:r>
              <w:rPr>
                <w:b w:val="0"/>
                <w:bCs w:val="0"/>
              </w:rPr>
              <w:t>Regional Local Government</w:t>
            </w:r>
            <w:r w:rsidRPr="002F324E">
              <w:rPr>
                <w:b w:val="0"/>
                <w:bCs w:val="0"/>
              </w:rPr>
              <w:t xml:space="preserve"> </w:t>
            </w:r>
          </w:p>
          <w:p w14:paraId="0B931EBC" w14:textId="4DBF0397" w:rsidR="00515496" w:rsidRPr="002F324E" w:rsidRDefault="00515496" w:rsidP="003C6C72">
            <w:pPr>
              <w:spacing w:line="259" w:lineRule="auto"/>
              <w:rPr>
                <w:b w:val="0"/>
                <w:bCs w:val="0"/>
              </w:rPr>
            </w:pPr>
          </w:p>
        </w:tc>
        <w:tc>
          <w:tcPr>
            <w:tcW w:w="1891" w:type="pct"/>
          </w:tcPr>
          <w:p w14:paraId="0196323D" w14:textId="57D88CD1" w:rsidR="00515496" w:rsidRDefault="00515496" w:rsidP="003C6C72">
            <w:pPr>
              <w:cnfStyle w:val="000000100000" w:firstRow="0" w:lastRow="0" w:firstColumn="0" w:lastColumn="0" w:oddVBand="0" w:evenVBand="0" w:oddHBand="1" w:evenHBand="0" w:firstRowFirstColumn="0" w:firstRowLastColumn="0" w:lastRowFirstColumn="0" w:lastRowLastColumn="0"/>
            </w:pPr>
            <w:r>
              <w:t>20 January 2022</w:t>
            </w:r>
          </w:p>
        </w:tc>
      </w:tr>
      <w:tr w:rsidR="00515496" w14:paraId="1AD0A593" w14:textId="10A6B61E" w:rsidTr="00BF1C53">
        <w:trPr>
          <w:trHeight w:val="601"/>
        </w:trPr>
        <w:tc>
          <w:tcPr>
            <w:cnfStyle w:val="001000000000" w:firstRow="0" w:lastRow="0" w:firstColumn="1" w:lastColumn="0" w:oddVBand="0" w:evenVBand="0" w:oddHBand="0" w:evenHBand="0" w:firstRowFirstColumn="0" w:firstRowLastColumn="0" w:lastRowFirstColumn="0" w:lastRowLastColumn="0"/>
            <w:tcW w:w="3109" w:type="pct"/>
            <w:hideMark/>
          </w:tcPr>
          <w:p w14:paraId="274846CB" w14:textId="5238C518" w:rsidR="00515496" w:rsidRPr="002F324E" w:rsidRDefault="00515496" w:rsidP="005333C7">
            <w:pPr>
              <w:spacing w:line="259" w:lineRule="auto"/>
              <w:rPr>
                <w:b w:val="0"/>
                <w:bCs w:val="0"/>
              </w:rPr>
            </w:pPr>
            <w:r w:rsidRPr="00EF49E5">
              <w:rPr>
                <w:b w:val="0"/>
                <w:bCs w:val="0"/>
              </w:rPr>
              <w:t>Public Sector D</w:t>
            </w:r>
            <w:r>
              <w:rPr>
                <w:b w:val="0"/>
                <w:bCs w:val="0"/>
              </w:rPr>
              <w:t>iversity</w:t>
            </w:r>
            <w:r w:rsidRPr="00EF49E5">
              <w:rPr>
                <w:b w:val="0"/>
                <w:bCs w:val="0"/>
              </w:rPr>
              <w:t xml:space="preserve"> and I</w:t>
            </w:r>
            <w:r>
              <w:rPr>
                <w:b w:val="0"/>
                <w:bCs w:val="0"/>
              </w:rPr>
              <w:t>nclusion</w:t>
            </w:r>
            <w:r w:rsidRPr="00EF49E5">
              <w:rPr>
                <w:b w:val="0"/>
                <w:bCs w:val="0"/>
              </w:rPr>
              <w:t xml:space="preserve"> </w:t>
            </w:r>
          </w:p>
        </w:tc>
        <w:tc>
          <w:tcPr>
            <w:tcW w:w="1891" w:type="pct"/>
          </w:tcPr>
          <w:p w14:paraId="4A5C1537" w14:textId="299F05D2" w:rsidR="00515496" w:rsidRDefault="00515496" w:rsidP="003C6C72">
            <w:pPr>
              <w:spacing w:before="240"/>
              <w:cnfStyle w:val="000000000000" w:firstRow="0" w:lastRow="0" w:firstColumn="0" w:lastColumn="0" w:oddVBand="0" w:evenVBand="0" w:oddHBand="0" w:evenHBand="0" w:firstRowFirstColumn="0" w:firstRowLastColumn="0" w:lastRowFirstColumn="0" w:lastRowLastColumn="0"/>
            </w:pPr>
            <w:r>
              <w:t>31 January 2022</w:t>
            </w:r>
          </w:p>
        </w:tc>
      </w:tr>
      <w:tr w:rsidR="00515496" w14:paraId="0C71579E" w14:textId="6FAFFD0B" w:rsidTr="00BF1C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pct"/>
            <w:hideMark/>
          </w:tcPr>
          <w:p w14:paraId="55C1F218" w14:textId="66EE1670" w:rsidR="00515496" w:rsidRPr="002F324E" w:rsidRDefault="00515496" w:rsidP="005333C7">
            <w:pPr>
              <w:spacing w:line="259" w:lineRule="auto"/>
              <w:rPr>
                <w:b w:val="0"/>
                <w:bCs w:val="0"/>
              </w:rPr>
            </w:pPr>
            <w:r>
              <w:rPr>
                <w:b w:val="0"/>
                <w:bCs w:val="0"/>
              </w:rPr>
              <w:t>Education</w:t>
            </w:r>
            <w:r w:rsidR="00FB32BD">
              <w:rPr>
                <w:b w:val="0"/>
                <w:bCs w:val="0"/>
              </w:rPr>
              <w:t>al Institutions</w:t>
            </w:r>
            <w:r w:rsidRPr="002F324E">
              <w:rPr>
                <w:b w:val="0"/>
                <w:bCs w:val="0"/>
              </w:rPr>
              <w:t> </w:t>
            </w:r>
          </w:p>
        </w:tc>
        <w:tc>
          <w:tcPr>
            <w:tcW w:w="1891" w:type="pct"/>
          </w:tcPr>
          <w:p w14:paraId="2C0FD77B" w14:textId="54AEFF3D" w:rsidR="00515496" w:rsidRDefault="00515496" w:rsidP="005333C7">
            <w:pPr>
              <w:cnfStyle w:val="000000100000" w:firstRow="0" w:lastRow="0" w:firstColumn="0" w:lastColumn="0" w:oddVBand="0" w:evenVBand="0" w:oddHBand="1" w:evenHBand="0" w:firstRowFirstColumn="0" w:firstRowLastColumn="0" w:lastRowFirstColumn="0" w:lastRowLastColumn="0"/>
            </w:pPr>
            <w:r>
              <w:t>24 January 2022</w:t>
            </w:r>
          </w:p>
        </w:tc>
      </w:tr>
      <w:tr w:rsidR="00515496" w14:paraId="48E41516" w14:textId="7C9CF94F" w:rsidTr="00BF1C53">
        <w:trPr>
          <w:trHeight w:val="300"/>
        </w:trPr>
        <w:tc>
          <w:tcPr>
            <w:cnfStyle w:val="001000000000" w:firstRow="0" w:lastRow="0" w:firstColumn="1" w:lastColumn="0" w:oddVBand="0" w:evenVBand="0" w:oddHBand="0" w:evenHBand="0" w:firstRowFirstColumn="0" w:firstRowLastColumn="0" w:lastRowFirstColumn="0" w:lastRowLastColumn="0"/>
            <w:tcW w:w="3109" w:type="pct"/>
            <w:hideMark/>
          </w:tcPr>
          <w:p w14:paraId="37B57F5E" w14:textId="507DD1D5" w:rsidR="00515496" w:rsidRPr="002F324E" w:rsidRDefault="00515496" w:rsidP="005333C7">
            <w:pPr>
              <w:spacing w:line="259" w:lineRule="auto"/>
              <w:rPr>
                <w:b w:val="0"/>
                <w:bCs w:val="0"/>
              </w:rPr>
            </w:pPr>
            <w:r w:rsidRPr="002F324E">
              <w:rPr>
                <w:b w:val="0"/>
                <w:bCs w:val="0"/>
              </w:rPr>
              <w:t xml:space="preserve">Local </w:t>
            </w:r>
            <w:r>
              <w:rPr>
                <w:b w:val="0"/>
                <w:bCs w:val="0"/>
              </w:rPr>
              <w:t>G</w:t>
            </w:r>
            <w:r w:rsidRPr="002F324E">
              <w:rPr>
                <w:b w:val="0"/>
                <w:bCs w:val="0"/>
              </w:rPr>
              <w:t>overnment</w:t>
            </w:r>
            <w:r w:rsidR="00FB32BD">
              <w:rPr>
                <w:b w:val="0"/>
                <w:bCs w:val="0"/>
              </w:rPr>
              <w:t xml:space="preserve"> </w:t>
            </w:r>
          </w:p>
        </w:tc>
        <w:tc>
          <w:tcPr>
            <w:tcW w:w="1891" w:type="pct"/>
          </w:tcPr>
          <w:p w14:paraId="6DC5DA86" w14:textId="5882989B" w:rsidR="00515496" w:rsidRDefault="00515496" w:rsidP="005333C7">
            <w:pPr>
              <w:cnfStyle w:val="000000000000" w:firstRow="0" w:lastRow="0" w:firstColumn="0" w:lastColumn="0" w:oddVBand="0" w:evenVBand="0" w:oddHBand="0" w:evenHBand="0" w:firstRowFirstColumn="0" w:firstRowLastColumn="0" w:lastRowFirstColumn="0" w:lastRowLastColumn="0"/>
            </w:pPr>
            <w:r>
              <w:t>31 January 2022</w:t>
            </w:r>
          </w:p>
        </w:tc>
      </w:tr>
    </w:tbl>
    <w:p w14:paraId="337FCB9E" w14:textId="77777777" w:rsidR="00437DC8" w:rsidRDefault="00437DC8" w:rsidP="00535446"/>
    <w:p w14:paraId="29A2D6AF" w14:textId="72412A1C" w:rsidR="00611DE0" w:rsidRDefault="006436A7" w:rsidP="00535446">
      <w:r>
        <w:t>F</w:t>
      </w:r>
      <w:r w:rsidR="00193CCA">
        <w:t>ocus group</w:t>
      </w:r>
      <w:r>
        <w:t>s</w:t>
      </w:r>
      <w:r w:rsidR="00193CCA">
        <w:t xml:space="preserve"> and interview</w:t>
      </w:r>
      <w:r>
        <w:t>s</w:t>
      </w:r>
      <w:r w:rsidR="00193CCA">
        <w:t xml:space="preserve"> </w:t>
      </w:r>
      <w:r w:rsidR="00C17921">
        <w:t>were</w:t>
      </w:r>
      <w:r w:rsidR="00193CCA">
        <w:t xml:space="preserve"> </w:t>
      </w:r>
      <w:r w:rsidR="00A061A6">
        <w:t xml:space="preserve">recorded for </w:t>
      </w:r>
      <w:r w:rsidR="00467771">
        <w:t>consultation</w:t>
      </w:r>
      <w:r w:rsidR="00A061A6">
        <w:t xml:space="preserve"> purposes only and all participants were asked </w:t>
      </w:r>
      <w:r>
        <w:t xml:space="preserve">by AGEP </w:t>
      </w:r>
      <w:r w:rsidR="00A061A6">
        <w:t xml:space="preserve">for their permission to record the </w:t>
      </w:r>
      <w:r w:rsidR="00C17921">
        <w:t>interview</w:t>
      </w:r>
      <w:r>
        <w:t xml:space="preserve"> or </w:t>
      </w:r>
      <w:r w:rsidR="00C17921">
        <w:t xml:space="preserve">focus group. </w:t>
      </w:r>
      <w:r w:rsidR="003420A0">
        <w:t xml:space="preserve">Transcripts were generated through </w:t>
      </w:r>
      <w:r>
        <w:t xml:space="preserve">the </w:t>
      </w:r>
      <w:r w:rsidR="003420A0">
        <w:t>Otter.ai platform.</w:t>
      </w:r>
      <w:r>
        <w:t xml:space="preserve"> </w:t>
      </w:r>
      <w:r w:rsidR="68138091" w:rsidRPr="0E7F17CB">
        <w:t>Thematic analysis of the data was undertaken, using an inductive approach to identify themes</w:t>
      </w:r>
      <w:r w:rsidR="00611DE0">
        <w:t xml:space="preserve">. </w:t>
      </w:r>
      <w:r>
        <w:t>The project team u</w:t>
      </w:r>
      <w:r w:rsidR="00611DE0">
        <w:t>s</w:t>
      </w:r>
      <w:r>
        <w:t xml:space="preserve">ed </w:t>
      </w:r>
      <w:r w:rsidR="68138091" w:rsidRPr="0E7F17CB">
        <w:t xml:space="preserve">Braun </w:t>
      </w:r>
      <w:r>
        <w:t>and</w:t>
      </w:r>
      <w:r w:rsidR="68138091" w:rsidRPr="0E7F17CB">
        <w:t xml:space="preserve"> Clarke</w:t>
      </w:r>
      <w:r w:rsidR="00611DE0">
        <w:t xml:space="preserve">’s </w:t>
      </w:r>
      <w:r>
        <w:t>seven</w:t>
      </w:r>
      <w:r w:rsidR="00611DE0">
        <w:t xml:space="preserve"> step approach</w:t>
      </w:r>
      <w:r w:rsidR="00F8385D">
        <w:rPr>
          <w:rStyle w:val="FootnoteReference"/>
        </w:rPr>
        <w:footnoteReference w:id="12"/>
      </w:r>
      <w:r w:rsidR="00611DE0">
        <w:t xml:space="preserve"> </w:t>
      </w:r>
      <w:r w:rsidR="00A01980">
        <w:t>to</w:t>
      </w:r>
      <w:r w:rsidR="00611DE0">
        <w:t>:</w:t>
      </w:r>
    </w:p>
    <w:p w14:paraId="34504867" w14:textId="57C2AD9E" w:rsidR="00193CCA" w:rsidRDefault="00F81C67" w:rsidP="00C034EE">
      <w:pPr>
        <w:pStyle w:val="ListParagraph"/>
        <w:numPr>
          <w:ilvl w:val="0"/>
          <w:numId w:val="14"/>
        </w:numPr>
      </w:pPr>
      <w:r>
        <w:t>Independently f</w:t>
      </w:r>
      <w:r w:rsidR="00611DE0">
        <w:t xml:space="preserve">amiliarise themselves with the </w:t>
      </w:r>
      <w:r>
        <w:t xml:space="preserve">interviews and focus groups </w:t>
      </w:r>
      <w:r w:rsidR="00611DE0">
        <w:t>outputs</w:t>
      </w:r>
    </w:p>
    <w:p w14:paraId="2FF368B7" w14:textId="3050902B" w:rsidR="00193CCA" w:rsidRDefault="00193CCA" w:rsidP="00C034EE">
      <w:pPr>
        <w:pStyle w:val="ListParagraph"/>
        <w:numPr>
          <w:ilvl w:val="0"/>
          <w:numId w:val="14"/>
        </w:numPr>
      </w:pPr>
      <w:r>
        <w:t xml:space="preserve">Generate initial thoughts on themes emerging </w:t>
      </w:r>
      <w:r w:rsidR="000469D5">
        <w:t xml:space="preserve">via a coding system </w:t>
      </w:r>
    </w:p>
    <w:p w14:paraId="388FA800" w14:textId="51428AE6" w:rsidR="004A25F6" w:rsidRDefault="00193CCA" w:rsidP="00C034EE">
      <w:pPr>
        <w:pStyle w:val="ListParagraph"/>
        <w:numPr>
          <w:ilvl w:val="0"/>
          <w:numId w:val="14"/>
        </w:numPr>
      </w:pPr>
      <w:r>
        <w:lastRenderedPageBreak/>
        <w:t>Compare and search for themes (codes) across all interviews and focus groups</w:t>
      </w:r>
      <w:r w:rsidR="68138091" w:rsidRPr="0E7F17CB">
        <w:t xml:space="preserve"> </w:t>
      </w:r>
    </w:p>
    <w:p w14:paraId="05A1FD72" w14:textId="1934079C" w:rsidR="002B336E" w:rsidRPr="000469D5" w:rsidRDefault="00A73A2C" w:rsidP="00C034EE">
      <w:pPr>
        <w:pStyle w:val="ListParagraph"/>
        <w:numPr>
          <w:ilvl w:val="0"/>
          <w:numId w:val="14"/>
        </w:numPr>
      </w:pPr>
      <w:r>
        <w:t>R</w:t>
      </w:r>
      <w:r w:rsidRPr="008D21D2">
        <w:t>eview</w:t>
      </w:r>
      <w:r>
        <w:t xml:space="preserve"> t</w:t>
      </w:r>
      <w:r w:rsidR="002B336E" w:rsidRPr="008D21D2">
        <w:t>hemes for patterns and alignment to the</w:t>
      </w:r>
      <w:r w:rsidR="000469D5" w:rsidRPr="008D21D2">
        <w:t xml:space="preserve"> project</w:t>
      </w:r>
      <w:r w:rsidR="002B336E" w:rsidRPr="008D21D2">
        <w:t xml:space="preserve"> goals</w:t>
      </w:r>
    </w:p>
    <w:p w14:paraId="6CB561A5" w14:textId="3F273B19" w:rsidR="000570FD" w:rsidRPr="006B75D8" w:rsidRDefault="00A73A2C" w:rsidP="00C034EE">
      <w:pPr>
        <w:pStyle w:val="ListParagraph"/>
        <w:numPr>
          <w:ilvl w:val="0"/>
          <w:numId w:val="14"/>
        </w:numPr>
      </w:pPr>
      <w:r>
        <w:t>Produce a</w:t>
      </w:r>
      <w:r w:rsidR="007F4BEB">
        <w:t xml:space="preserve"> r</w:t>
      </w:r>
      <w:r w:rsidR="000570FD" w:rsidRPr="000469D5">
        <w:t xml:space="preserve">eport on </w:t>
      </w:r>
      <w:r w:rsidR="000469D5">
        <w:t xml:space="preserve">this </w:t>
      </w:r>
      <w:r w:rsidR="000570FD" w:rsidRPr="008D21D2">
        <w:t>analysis</w:t>
      </w:r>
      <w:r w:rsidR="000469D5">
        <w:t>,</w:t>
      </w:r>
      <w:r w:rsidR="000570FD" w:rsidRPr="008D21D2">
        <w:t xml:space="preserve"> which</w:t>
      </w:r>
      <w:r w:rsidR="000570FD" w:rsidRPr="000469D5">
        <w:t xml:space="preserve"> now</w:t>
      </w:r>
      <w:r w:rsidR="000469D5">
        <w:t xml:space="preserve"> informs</w:t>
      </w:r>
      <w:r w:rsidR="000570FD" w:rsidRPr="000469D5">
        <w:t xml:space="preserve"> this report.</w:t>
      </w:r>
    </w:p>
    <w:p w14:paraId="50FC9C1D" w14:textId="05FDE6B2" w:rsidR="0057729D" w:rsidRDefault="0057729D">
      <w:pPr>
        <w:rPr>
          <w:rFonts w:ascii="Calibri Light" w:eastAsia="Times New Roman" w:hAnsi="Calibri Light" w:cs="Times New Roman"/>
          <w:color w:val="404040"/>
        </w:rPr>
      </w:pPr>
    </w:p>
    <w:p w14:paraId="7887EC30" w14:textId="2B9BEB92" w:rsidR="0057729D" w:rsidRDefault="0057729D">
      <w:pPr>
        <w:rPr>
          <w:rFonts w:ascii="Calibri Light" w:eastAsia="Times New Roman" w:hAnsi="Calibri Light" w:cs="Times New Roman"/>
          <w:color w:val="404040"/>
        </w:rPr>
      </w:pPr>
    </w:p>
    <w:p w14:paraId="17A8FC82" w14:textId="44B80945" w:rsidR="00713237" w:rsidRDefault="00713237">
      <w:pPr>
        <w:rPr>
          <w:rFonts w:ascii="Calibri Light" w:eastAsia="Times New Roman" w:hAnsi="Calibri Light" w:cs="Times New Roman"/>
          <w:color w:val="404040"/>
        </w:rPr>
      </w:pPr>
    </w:p>
    <w:p w14:paraId="63486D53" w14:textId="6C96F5CC" w:rsidR="00832B67" w:rsidRDefault="00832B67">
      <w:pPr>
        <w:rPr>
          <w:rFonts w:ascii="Calibri Light" w:eastAsia="Times New Roman" w:hAnsi="Calibri Light" w:cs="Times New Roman"/>
          <w:color w:val="404040"/>
        </w:rPr>
      </w:pPr>
    </w:p>
    <w:p w14:paraId="76607B7B" w14:textId="6E6E1EEF" w:rsidR="00832B67" w:rsidRDefault="00832B67">
      <w:pPr>
        <w:rPr>
          <w:rFonts w:ascii="Calibri Light" w:eastAsia="Times New Roman" w:hAnsi="Calibri Light" w:cs="Times New Roman"/>
          <w:color w:val="404040"/>
        </w:rPr>
      </w:pPr>
    </w:p>
    <w:p w14:paraId="11A59D67" w14:textId="19944586" w:rsidR="00832B67" w:rsidRDefault="00832B67">
      <w:pPr>
        <w:rPr>
          <w:rFonts w:ascii="Calibri Light" w:eastAsia="Times New Roman" w:hAnsi="Calibri Light" w:cs="Times New Roman"/>
          <w:color w:val="404040"/>
        </w:rPr>
      </w:pPr>
    </w:p>
    <w:p w14:paraId="19C1D666" w14:textId="7F366BBA" w:rsidR="00713237" w:rsidRDefault="00713237">
      <w:pPr>
        <w:rPr>
          <w:rFonts w:ascii="Calibri Light" w:eastAsia="Times New Roman" w:hAnsi="Calibri Light" w:cs="Times New Roman"/>
          <w:color w:val="404040"/>
        </w:rPr>
      </w:pPr>
    </w:p>
    <w:p w14:paraId="65CFB63B" w14:textId="77777777" w:rsidR="007F4BEB" w:rsidRDefault="007F4BEB">
      <w:pPr>
        <w:rPr>
          <w:rFonts w:ascii="Calibri Light" w:eastAsia="Times New Roman" w:hAnsi="Calibri Light" w:cs="Times New Roman"/>
          <w:color w:val="404040"/>
        </w:rPr>
      </w:pPr>
    </w:p>
    <w:p w14:paraId="2FA50A89" w14:textId="77777777" w:rsidR="00706135" w:rsidRDefault="00706135">
      <w:pPr>
        <w:rPr>
          <w:rFonts w:asciiTheme="majorHAnsi" w:eastAsia="Times New Roman" w:hAnsiTheme="majorHAnsi" w:cstheme="majorBidi"/>
          <w:spacing w:val="-10"/>
          <w:kern w:val="28"/>
          <w:sz w:val="56"/>
          <w:szCs w:val="56"/>
        </w:rPr>
      </w:pPr>
      <w:bookmarkStart w:id="7" w:name="_Toc96348274"/>
      <w:r>
        <w:rPr>
          <w:rFonts w:eastAsia="Times New Roman"/>
        </w:rPr>
        <w:br w:type="page"/>
      </w:r>
    </w:p>
    <w:p w14:paraId="17E09A15" w14:textId="31FF7129" w:rsidR="004A25F6" w:rsidRPr="004A25F6" w:rsidRDefault="004A25F6" w:rsidP="00346EBB">
      <w:pPr>
        <w:pStyle w:val="Title"/>
        <w:rPr>
          <w:rFonts w:eastAsia="Times New Roman"/>
        </w:rPr>
      </w:pPr>
      <w:r w:rsidRPr="004A25F6">
        <w:rPr>
          <w:rFonts w:eastAsia="Times New Roman"/>
        </w:rPr>
        <w:lastRenderedPageBreak/>
        <w:t>Survey results</w:t>
      </w:r>
      <w:bookmarkEnd w:id="7"/>
      <w:r w:rsidRPr="004A25F6">
        <w:rPr>
          <w:rFonts w:eastAsia="Times New Roman"/>
        </w:rPr>
        <w:t xml:space="preserve"> </w:t>
      </w:r>
    </w:p>
    <w:p w14:paraId="77F8C9B0" w14:textId="38B1E27C" w:rsidR="00173864" w:rsidRDefault="00173864" w:rsidP="006B75D8">
      <w:pPr>
        <w:spacing w:after="0"/>
      </w:pPr>
    </w:p>
    <w:p w14:paraId="7FB77FB4" w14:textId="3C2A8934" w:rsidR="003610CE" w:rsidRDefault="00F71094" w:rsidP="006B75D8">
      <w:r>
        <w:t xml:space="preserve">The online survey had </w:t>
      </w:r>
      <w:r w:rsidR="00CB0FD2">
        <w:t xml:space="preserve">330 </w:t>
      </w:r>
      <w:r>
        <w:t xml:space="preserve">participant </w:t>
      </w:r>
      <w:r w:rsidR="00CB0FD2">
        <w:t>responses.</w:t>
      </w:r>
      <w:r w:rsidR="00C3301C">
        <w:t xml:space="preserve"> Of these: </w:t>
      </w:r>
    </w:p>
    <w:p w14:paraId="6A42071D" w14:textId="30684094" w:rsidR="00660B06" w:rsidRPr="001E7052" w:rsidRDefault="00CB275B" w:rsidP="00C034EE">
      <w:pPr>
        <w:pStyle w:val="ListParagraph"/>
        <w:numPr>
          <w:ilvl w:val="0"/>
          <w:numId w:val="16"/>
        </w:numPr>
      </w:pPr>
      <w:r w:rsidRPr="001E7052">
        <w:t>92 per cent (n=</w:t>
      </w:r>
      <w:r w:rsidR="00BF19F9" w:rsidRPr="001E7052">
        <w:t>305</w:t>
      </w:r>
      <w:r w:rsidRPr="001E7052">
        <w:t>)</w:t>
      </w:r>
      <w:r w:rsidR="00BF19F9" w:rsidRPr="001E7052">
        <w:t xml:space="preserve"> were from </w:t>
      </w:r>
      <w:r w:rsidR="00C3301C">
        <w:t xml:space="preserve">a </w:t>
      </w:r>
      <w:r w:rsidR="00BF19F9" w:rsidRPr="001E7052">
        <w:t>defined entit</w:t>
      </w:r>
      <w:r w:rsidR="00C3301C">
        <w:t>y</w:t>
      </w:r>
      <w:r w:rsidR="00BF19F9" w:rsidRPr="001E7052">
        <w:t xml:space="preserve"> </w:t>
      </w:r>
    </w:p>
    <w:p w14:paraId="2E877359" w14:textId="04D36C50" w:rsidR="00C84B00" w:rsidRPr="001E7052" w:rsidRDefault="00CB275B" w:rsidP="00C84B00">
      <w:pPr>
        <w:pStyle w:val="ListParagraph"/>
        <w:numPr>
          <w:ilvl w:val="0"/>
          <w:numId w:val="16"/>
        </w:numPr>
      </w:pPr>
      <w:r w:rsidRPr="001E7052">
        <w:t>70 per cent (n=</w:t>
      </w:r>
      <w:r w:rsidR="00BF19F9" w:rsidRPr="001E7052">
        <w:t>215</w:t>
      </w:r>
      <w:r w:rsidRPr="001E7052">
        <w:t>)</w:t>
      </w:r>
      <w:r w:rsidR="00BF19F9" w:rsidRPr="001E7052">
        <w:t xml:space="preserve"> </w:t>
      </w:r>
      <w:r w:rsidR="00C84B00" w:rsidRPr="001E7052">
        <w:t xml:space="preserve">of practitioners from a defined entity </w:t>
      </w:r>
      <w:r w:rsidR="00BF19F9" w:rsidRPr="001E7052">
        <w:t xml:space="preserve">reported that they </w:t>
      </w:r>
      <w:r w:rsidR="00B41AC5" w:rsidRPr="001E7052">
        <w:t>had been or were involved in commencing a G</w:t>
      </w:r>
      <w:r w:rsidR="00043476" w:rsidRPr="001E7052">
        <w:t>IA</w:t>
      </w:r>
    </w:p>
    <w:p w14:paraId="27CCB4A3" w14:textId="4EB108F0" w:rsidR="00C84B00" w:rsidRPr="001E7052" w:rsidRDefault="00C84B00" w:rsidP="00C84B00">
      <w:pPr>
        <w:pStyle w:val="ListParagraph"/>
        <w:numPr>
          <w:ilvl w:val="0"/>
          <w:numId w:val="16"/>
        </w:numPr>
      </w:pPr>
      <w:r w:rsidRPr="001E7052">
        <w:t>23</w:t>
      </w:r>
      <w:r w:rsidR="00CB275B" w:rsidRPr="001E7052">
        <w:t xml:space="preserve"> per cent (n=</w:t>
      </w:r>
      <w:r w:rsidR="00B41AC5" w:rsidRPr="001E7052">
        <w:t>71</w:t>
      </w:r>
      <w:r w:rsidR="00CB275B" w:rsidRPr="001E7052">
        <w:t>)</w:t>
      </w:r>
      <w:r w:rsidR="00B41AC5" w:rsidRPr="001E7052">
        <w:t xml:space="preserve"> </w:t>
      </w:r>
      <w:r w:rsidRPr="001E7052">
        <w:t xml:space="preserve">of practitioners </w:t>
      </w:r>
      <w:r w:rsidR="00CB3112" w:rsidRPr="001E7052">
        <w:t>f</w:t>
      </w:r>
      <w:r w:rsidR="00B41AC5" w:rsidRPr="001E7052">
        <w:t xml:space="preserve">rom </w:t>
      </w:r>
      <w:r w:rsidRPr="001E7052">
        <w:t xml:space="preserve">a </w:t>
      </w:r>
      <w:r w:rsidR="00B41AC5" w:rsidRPr="001E7052">
        <w:t>defined entit</w:t>
      </w:r>
      <w:r w:rsidRPr="001E7052">
        <w:t xml:space="preserve">y reported that they </w:t>
      </w:r>
      <w:r w:rsidR="00B41AC5" w:rsidRPr="001E7052">
        <w:t xml:space="preserve">were not currently or had </w:t>
      </w:r>
      <w:r w:rsidRPr="001E7052">
        <w:t xml:space="preserve">not </w:t>
      </w:r>
      <w:r w:rsidR="00B41AC5" w:rsidRPr="001E7052">
        <w:t>ever implemented a GI</w:t>
      </w:r>
      <w:r w:rsidR="0036366B" w:rsidRPr="001E7052">
        <w:t>A</w:t>
      </w:r>
      <w:r w:rsidRPr="001E7052">
        <w:t xml:space="preserve"> </w:t>
      </w:r>
    </w:p>
    <w:p w14:paraId="682B7BD2" w14:textId="4935CAC3" w:rsidR="00B41AC5" w:rsidRDefault="001E7052" w:rsidP="00C3301C">
      <w:pPr>
        <w:pStyle w:val="ListParagraph"/>
        <w:numPr>
          <w:ilvl w:val="0"/>
          <w:numId w:val="16"/>
        </w:numPr>
      </w:pPr>
      <w:r w:rsidRPr="001E7052">
        <w:t>7 per cent (n=</w:t>
      </w:r>
      <w:r w:rsidR="00C84B00" w:rsidRPr="001E7052">
        <w:t>22</w:t>
      </w:r>
      <w:r w:rsidRPr="001E7052">
        <w:t xml:space="preserve">) of respondents </w:t>
      </w:r>
      <w:r w:rsidR="00C84B00" w:rsidRPr="001E7052">
        <w:t>were not from a defined entity</w:t>
      </w:r>
      <w:r w:rsidRPr="001E7052">
        <w:t xml:space="preserve">. These people were </w:t>
      </w:r>
      <w:r w:rsidR="00C84B00" w:rsidRPr="001E7052">
        <w:t>thanked for their interest and exited from the survey.</w:t>
      </w:r>
    </w:p>
    <w:p w14:paraId="28011B22" w14:textId="1427260E" w:rsidR="00C84B00" w:rsidRDefault="00C84B00" w:rsidP="001E7052">
      <w:pPr>
        <w:pStyle w:val="Heading1"/>
      </w:pPr>
      <w:bookmarkStart w:id="8" w:name="_Toc96348275"/>
      <w:r>
        <w:t xml:space="preserve">Survey </w:t>
      </w:r>
      <w:r w:rsidR="004C32C2">
        <w:t>s</w:t>
      </w:r>
      <w:r>
        <w:t>tructure</w:t>
      </w:r>
      <w:bookmarkEnd w:id="8"/>
    </w:p>
    <w:p w14:paraId="62EAB36C" w14:textId="60884060" w:rsidR="00C84B00" w:rsidRDefault="00C84B00" w:rsidP="00667ED0">
      <w:r>
        <w:t>The survey was designed to elicit feedback from defined entities to understand from practitioners the barriers and enable</w:t>
      </w:r>
      <w:r w:rsidR="00BE6C95">
        <w:t>r</w:t>
      </w:r>
      <w:r>
        <w:t>s to implementing GIAs based on their experiences, as well as the reasons why some organisations are not implementing GIA</w:t>
      </w:r>
      <w:r w:rsidR="00A73A2C">
        <w:t>s</w:t>
      </w:r>
      <w:r>
        <w:t xml:space="preserve">.  </w:t>
      </w:r>
    </w:p>
    <w:p w14:paraId="4350398E" w14:textId="38D96467" w:rsidR="00667ED0" w:rsidRDefault="00667ED0" w:rsidP="00667ED0">
      <w:r>
        <w:t xml:space="preserve">The categories </w:t>
      </w:r>
      <w:r w:rsidR="0036366B">
        <w:t>of</w:t>
      </w:r>
      <w:r>
        <w:t xml:space="preserve"> </w:t>
      </w:r>
      <w:r w:rsidR="0036366B">
        <w:t>‘</w:t>
      </w:r>
      <w:r>
        <w:t>defined entity currently or ha</w:t>
      </w:r>
      <w:r w:rsidR="001E7052">
        <w:t>s</w:t>
      </w:r>
      <w:r>
        <w:t xml:space="preserve"> been implementing a GIA</w:t>
      </w:r>
      <w:r w:rsidR="0036366B">
        <w:t>’ or ‘defined entity</w:t>
      </w:r>
      <w:r>
        <w:t xml:space="preserve"> not implementing a GIA</w:t>
      </w:r>
      <w:r w:rsidR="0036366B">
        <w:t>’</w:t>
      </w:r>
      <w:r>
        <w:t xml:space="preserve"> were important </w:t>
      </w:r>
      <w:r w:rsidR="0036366B">
        <w:t xml:space="preserve">in </w:t>
      </w:r>
      <w:r>
        <w:t xml:space="preserve">the </w:t>
      </w:r>
      <w:r w:rsidR="0036366B">
        <w:t xml:space="preserve">survey </w:t>
      </w:r>
      <w:r>
        <w:t>design</w:t>
      </w:r>
      <w:r w:rsidR="0043331F">
        <w:t>, as</w:t>
      </w:r>
      <w:r>
        <w:t xml:space="preserve"> </w:t>
      </w:r>
      <w:r w:rsidR="0043331F">
        <w:t>s</w:t>
      </w:r>
      <w:r>
        <w:t>pecific questions</w:t>
      </w:r>
      <w:r w:rsidR="0036366B">
        <w:t xml:space="preserve"> were designed</w:t>
      </w:r>
      <w:r>
        <w:t xml:space="preserve"> for each cohort.</w:t>
      </w:r>
    </w:p>
    <w:p w14:paraId="276F7A8A" w14:textId="5E7285D6" w:rsidR="005E6C13" w:rsidRDefault="005E6C13" w:rsidP="00346EBB">
      <w:pPr>
        <w:pStyle w:val="Heading1"/>
      </w:pPr>
      <w:bookmarkStart w:id="9" w:name="_Toc96348276"/>
      <w:r>
        <w:t xml:space="preserve">Characteristics of </w:t>
      </w:r>
      <w:r w:rsidR="008B19C5">
        <w:t>r</w:t>
      </w:r>
      <w:r>
        <w:t>espondents</w:t>
      </w:r>
      <w:bookmarkEnd w:id="9"/>
    </w:p>
    <w:p w14:paraId="0AD1F49D" w14:textId="3A8B5C26" w:rsidR="005E6C13" w:rsidRDefault="003B560A" w:rsidP="00786172">
      <w:r>
        <w:t xml:space="preserve">Ninety-three per cent </w:t>
      </w:r>
      <w:r w:rsidR="00ED3817">
        <w:t xml:space="preserve">of </w:t>
      </w:r>
      <w:r>
        <w:t xml:space="preserve">survey </w:t>
      </w:r>
      <w:r w:rsidR="00ED3817">
        <w:t>respondents were from a defined entity.</w:t>
      </w:r>
    </w:p>
    <w:p w14:paraId="7C1AA66B" w14:textId="207993AF" w:rsidR="00ED3817" w:rsidRDefault="0027182F" w:rsidP="00786172">
      <w:r>
        <w:rPr>
          <w:noProof/>
        </w:rPr>
        <w:drawing>
          <wp:inline distT="0" distB="0" distL="0" distR="0" wp14:anchorId="50044CE5" wp14:editId="2FA0EE46">
            <wp:extent cx="5724525" cy="2333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333625"/>
                    </a:xfrm>
                    <a:prstGeom prst="rect">
                      <a:avLst/>
                    </a:prstGeom>
                    <a:noFill/>
                    <a:ln>
                      <a:noFill/>
                    </a:ln>
                  </pic:spPr>
                </pic:pic>
              </a:graphicData>
            </a:graphic>
          </wp:inline>
        </w:drawing>
      </w:r>
    </w:p>
    <w:p w14:paraId="2D752215" w14:textId="186089B5" w:rsidR="004A25F6" w:rsidRDefault="00A87C42" w:rsidP="00A87C42">
      <w:pPr>
        <w:pStyle w:val="Caption"/>
      </w:pPr>
      <w:r>
        <w:t xml:space="preserve">Figure </w:t>
      </w:r>
      <w:r>
        <w:fldChar w:fldCharType="begin"/>
      </w:r>
      <w:r>
        <w:instrText>SEQ Figure \* ARABIC</w:instrText>
      </w:r>
      <w:r>
        <w:fldChar w:fldCharType="separate"/>
      </w:r>
      <w:r w:rsidR="00A276D5">
        <w:rPr>
          <w:noProof/>
        </w:rPr>
        <w:t>1</w:t>
      </w:r>
      <w:r>
        <w:fldChar w:fldCharType="end"/>
      </w:r>
      <w:r>
        <w:t xml:space="preserve"> </w:t>
      </w:r>
      <w:r w:rsidRPr="00180520">
        <w:t>Survey Respondents x Type of Organisation</w:t>
      </w:r>
      <w:r w:rsidR="00F024B0">
        <w:t xml:space="preserve"> (n=305)</w:t>
      </w:r>
    </w:p>
    <w:p w14:paraId="55C09159" w14:textId="27C3BAA8" w:rsidR="001F75B5" w:rsidRDefault="00004997" w:rsidP="00A87C42">
      <w:r>
        <w:t>Figure t</w:t>
      </w:r>
      <w:r w:rsidR="002B3573">
        <w:t>wo, as detailed below,</w:t>
      </w:r>
      <w:r>
        <w:t xml:space="preserve"> shows that there w</w:t>
      </w:r>
      <w:r w:rsidR="00B825F2">
        <w:t>ere</w:t>
      </w:r>
      <w:r>
        <w:t xml:space="preserve"> </w:t>
      </w:r>
      <w:r w:rsidR="002B3573">
        <w:t xml:space="preserve">practitioners from </w:t>
      </w:r>
      <w:r>
        <w:t>a</w:t>
      </w:r>
      <w:r w:rsidR="00A87C42">
        <w:t xml:space="preserve"> diverse range of </w:t>
      </w:r>
      <w:r w:rsidR="002B3573">
        <w:t>defined entit</w:t>
      </w:r>
      <w:r w:rsidR="00A73A2C">
        <w:t>ies</w:t>
      </w:r>
      <w:r w:rsidR="002B3573">
        <w:t xml:space="preserve"> </w:t>
      </w:r>
      <w:r>
        <w:t>who responded to the survey</w:t>
      </w:r>
      <w:r w:rsidR="00A87C42">
        <w:t>.</w:t>
      </w:r>
    </w:p>
    <w:p w14:paraId="7346DC4C" w14:textId="6DDDC4E4" w:rsidR="00067D1D" w:rsidRDefault="00067D1D" w:rsidP="00A87C42"/>
    <w:p w14:paraId="0EE44F18" w14:textId="7055FA51" w:rsidR="00FC5E26" w:rsidRDefault="00FC5E26" w:rsidP="00A87C42"/>
    <w:p w14:paraId="34EA68E6" w14:textId="3F22C8EF" w:rsidR="00FC5E26" w:rsidRDefault="00FC5E26" w:rsidP="00A87C42"/>
    <w:p w14:paraId="4533000D" w14:textId="79F33A67" w:rsidR="00817807" w:rsidRDefault="00405CC7" w:rsidP="00817807">
      <w:pPr>
        <w:pStyle w:val="Caption"/>
      </w:pPr>
      <w:r>
        <w:rPr>
          <w:noProof/>
        </w:rPr>
        <w:lastRenderedPageBreak/>
        <w:drawing>
          <wp:anchor distT="0" distB="0" distL="114300" distR="114300" simplePos="0" relativeHeight="251658240" behindDoc="0" locked="0" layoutInCell="1" allowOverlap="1" wp14:anchorId="3773989C" wp14:editId="03147BC8">
            <wp:simplePos x="0" y="0"/>
            <wp:positionH relativeFrom="margin">
              <wp:align>center</wp:align>
            </wp:positionH>
            <wp:positionV relativeFrom="margin">
              <wp:align>top</wp:align>
            </wp:positionV>
            <wp:extent cx="6703695" cy="3190875"/>
            <wp:effectExtent l="0" t="0" r="1905" b="9525"/>
            <wp:wrapThrough wrapText="bothSides">
              <wp:wrapPolygon edited="0">
                <wp:start x="0" y="0"/>
                <wp:lineTo x="0" y="21536"/>
                <wp:lineTo x="21545" y="21536"/>
                <wp:lineTo x="215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369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807">
        <w:t>Figure 2 Type of Defined Entity and is undertaking or commencing a GIA (n= 215)</w:t>
      </w:r>
    </w:p>
    <w:p w14:paraId="21D1BEE2" w14:textId="67011AAB" w:rsidR="00660B06" w:rsidRPr="0098589D" w:rsidRDefault="00660B06" w:rsidP="00346EBB">
      <w:pPr>
        <w:pStyle w:val="Heading1"/>
      </w:pPr>
      <w:bookmarkStart w:id="10" w:name="_Toc96348277"/>
      <w:r w:rsidRPr="0098589D">
        <w:t xml:space="preserve">Questions for </w:t>
      </w:r>
      <w:r w:rsidR="00CB78C7" w:rsidRPr="006B75D8">
        <w:t>d</w:t>
      </w:r>
      <w:r w:rsidRPr="0098589D">
        <w:t xml:space="preserve">efined </w:t>
      </w:r>
      <w:r w:rsidR="00CB78C7" w:rsidRPr="006B75D8">
        <w:t>e</w:t>
      </w:r>
      <w:r w:rsidRPr="0098589D">
        <w:t>ntit</w:t>
      </w:r>
      <w:r w:rsidR="00CB78C7" w:rsidRPr="006B75D8">
        <w:t>ies</w:t>
      </w:r>
      <w:r w:rsidRPr="0098589D">
        <w:t xml:space="preserve"> currently implementing GIA</w:t>
      </w:r>
      <w:bookmarkEnd w:id="10"/>
      <w:r w:rsidR="005C0327">
        <w:t>s</w:t>
      </w:r>
    </w:p>
    <w:p w14:paraId="2908D82E" w14:textId="585CC4B5" w:rsidR="00D03D46" w:rsidRDefault="003F7A2C" w:rsidP="00494D8D">
      <w:pPr>
        <w:sectPr w:rsidR="00D03D46" w:rsidSect="00BF1C53">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1440" w:left="1440" w:header="568" w:footer="708" w:gutter="0"/>
          <w:pgNumType w:start="0"/>
          <w:cols w:space="708"/>
          <w:titlePg/>
          <w:docGrid w:linePitch="360"/>
        </w:sectPr>
      </w:pPr>
      <w:r w:rsidRPr="006B75D8">
        <w:t>The survey asked s</w:t>
      </w:r>
      <w:r w:rsidR="00660B06" w:rsidRPr="0098589D">
        <w:t>pecific questions</w:t>
      </w:r>
      <w:r w:rsidRPr="006B75D8">
        <w:t xml:space="preserve"> of practitioners </w:t>
      </w:r>
      <w:r w:rsidR="00660B06" w:rsidRPr="0098589D">
        <w:t xml:space="preserve">from defined </w:t>
      </w:r>
      <w:r w:rsidR="0033672F" w:rsidRPr="0098589D">
        <w:t>entities</w:t>
      </w:r>
      <w:r w:rsidR="00660B06" w:rsidRPr="0098589D">
        <w:t xml:space="preserve"> that </w:t>
      </w:r>
      <w:r w:rsidRPr="006B75D8">
        <w:t>had experienc</w:t>
      </w:r>
      <w:r w:rsidR="001E7939">
        <w:t>e</w:t>
      </w:r>
      <w:r w:rsidRPr="006B75D8">
        <w:t xml:space="preserve"> </w:t>
      </w:r>
      <w:r w:rsidR="00660B06" w:rsidRPr="0098589D">
        <w:t>implementing GIA</w:t>
      </w:r>
      <w:r w:rsidR="005C0327">
        <w:t>s</w:t>
      </w:r>
      <w:r w:rsidR="00660B06" w:rsidRPr="0098589D">
        <w:t xml:space="preserve">. </w:t>
      </w:r>
      <w:r w:rsidRPr="006B75D8">
        <w:t xml:space="preserve">This part of the report details their survey responses. </w:t>
      </w:r>
    </w:p>
    <w:p w14:paraId="24FA8558" w14:textId="254E547C" w:rsidR="00586FD0" w:rsidRDefault="00586FD0" w:rsidP="00817807">
      <w:pPr>
        <w:pStyle w:val="Heading3"/>
      </w:pPr>
      <w:r>
        <w:lastRenderedPageBreak/>
        <w:t xml:space="preserve">Organisational </w:t>
      </w:r>
      <w:r w:rsidR="005C0327">
        <w:t>r</w:t>
      </w:r>
      <w:r>
        <w:t xml:space="preserve">eadiness and </w:t>
      </w:r>
      <w:r w:rsidR="005C0327">
        <w:t>c</w:t>
      </w:r>
      <w:r>
        <w:t>apability for GIA</w:t>
      </w:r>
      <w:r w:rsidR="005C0327">
        <w:t>s</w:t>
      </w:r>
    </w:p>
    <w:p w14:paraId="330FB5B3" w14:textId="25362D16" w:rsidR="003F5015" w:rsidRDefault="000424F0" w:rsidP="00322994">
      <w:pPr>
        <w:spacing w:before="240"/>
      </w:pPr>
      <w:r>
        <w:t>When asked what the level o</w:t>
      </w:r>
      <w:r w:rsidR="005C0327">
        <w:t>f</w:t>
      </w:r>
      <w:r>
        <w:t xml:space="preserve"> readiness and capability </w:t>
      </w:r>
      <w:r w:rsidR="00887BFC">
        <w:t>the respondents currently believed their defined entity had to undertake GIA</w:t>
      </w:r>
      <w:r w:rsidR="005C0327">
        <w:t>s</w:t>
      </w:r>
      <w:r w:rsidR="00887BFC">
        <w:t xml:space="preserve"> in their workplace, a </w:t>
      </w:r>
      <w:r w:rsidR="002168BD">
        <w:t>majority (73%)</w:t>
      </w:r>
      <w:r w:rsidR="00887BFC">
        <w:t xml:space="preserve"> stated that their organisation had low capability and readiness</w:t>
      </w:r>
      <w:r w:rsidR="005C0327">
        <w:t>.</w:t>
      </w:r>
      <w:r w:rsidR="00887BFC">
        <w:t xml:space="preserve"> (</w:t>
      </w:r>
      <w:r w:rsidR="00586FD0">
        <w:t>**</w:t>
      </w:r>
      <w:r w:rsidR="005C0327">
        <w:t>T</w:t>
      </w:r>
      <w:r w:rsidR="00887BFC">
        <w:t>hat is</w:t>
      </w:r>
      <w:r w:rsidR="005C0327">
        <w:t>,</w:t>
      </w:r>
      <w:r w:rsidR="00887BFC">
        <w:t xml:space="preserve"> they stated that their organisation</w:t>
      </w:r>
      <w:r w:rsidR="00322994" w:rsidRPr="00322994">
        <w:t xml:space="preserve"> was either "Not at all capable and ready"</w:t>
      </w:r>
      <w:r w:rsidR="005C0327">
        <w:t>,</w:t>
      </w:r>
      <w:r w:rsidR="00322994" w:rsidRPr="00322994">
        <w:t xml:space="preserve"> "Not so capable and ready"</w:t>
      </w:r>
      <w:r w:rsidR="005C0327">
        <w:t>,</w:t>
      </w:r>
      <w:r w:rsidR="00322994" w:rsidRPr="00322994">
        <w:t xml:space="preserve"> or "Somewhat capable and ready"</w:t>
      </w:r>
      <w:r w:rsidR="00322994">
        <w:t>)</w:t>
      </w:r>
      <w:r w:rsidR="005C0327">
        <w:t>.</w:t>
      </w:r>
      <w:r w:rsidR="002168BD">
        <w:t xml:space="preserve"> Across each sector the response was as follows (n = </w:t>
      </w:r>
      <w:r w:rsidR="003F5015">
        <w:t>208)</w:t>
      </w:r>
      <w:r w:rsidR="005C0327">
        <w:t>:</w:t>
      </w:r>
    </w:p>
    <w:p w14:paraId="4AE5D8C0" w14:textId="77777777" w:rsidR="00887EA3" w:rsidRDefault="001B70D5" w:rsidP="00322994">
      <w:pPr>
        <w:spacing w:before="240"/>
      </w:pPr>
      <w:r>
        <w:rPr>
          <w:noProof/>
        </w:rPr>
        <w:drawing>
          <wp:inline distT="0" distB="0" distL="0" distR="0" wp14:anchorId="7D546E23" wp14:editId="651F57E8">
            <wp:extent cx="8782050" cy="4362450"/>
            <wp:effectExtent l="0" t="0" r="0" b="0"/>
            <wp:docPr id="14" name="Chart 14">
              <a:extLst xmlns:a="http://schemas.openxmlformats.org/drawingml/2006/main">
                <a:ext uri="{FF2B5EF4-FFF2-40B4-BE49-F238E27FC236}">
                  <a16:creationId xmlns:a16="http://schemas.microsoft.com/office/drawing/2014/main" id="{4FAA092A-5268-4BF7-90FF-3E53FEF1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7DDD40" w14:textId="3E5AB6FA" w:rsidR="000424F0" w:rsidRDefault="000518DD" w:rsidP="000518DD">
      <w:pPr>
        <w:pStyle w:val="Caption"/>
      </w:pPr>
      <w:r>
        <w:t xml:space="preserve">Figure </w:t>
      </w:r>
      <w:r w:rsidR="005C0327">
        <w:t>3 Per cent</w:t>
      </w:r>
      <w:r>
        <w:t xml:space="preserve"> Respondents x Sector Identify Org as Low Capability</w:t>
      </w:r>
      <w:r w:rsidR="000424F0">
        <w:br w:type="page"/>
      </w:r>
    </w:p>
    <w:p w14:paraId="2ADD5073" w14:textId="77777777" w:rsidR="000424F0" w:rsidRDefault="000424F0">
      <w:pPr>
        <w:sectPr w:rsidR="000424F0" w:rsidSect="00D03D46">
          <w:pgSz w:w="16838" w:h="11906" w:orient="landscape"/>
          <w:pgMar w:top="1440" w:right="1440" w:bottom="1440" w:left="1440" w:header="708" w:footer="708" w:gutter="0"/>
          <w:cols w:space="708"/>
          <w:docGrid w:linePitch="360"/>
        </w:sectPr>
      </w:pPr>
    </w:p>
    <w:p w14:paraId="02F51AFD" w14:textId="28FB9C90" w:rsidR="001D1E66" w:rsidRDefault="001D1E66" w:rsidP="00817807">
      <w:pPr>
        <w:pStyle w:val="Heading3"/>
      </w:pPr>
      <w:r>
        <w:lastRenderedPageBreak/>
        <w:t xml:space="preserve">Support in </w:t>
      </w:r>
      <w:r w:rsidR="005C0327">
        <w:t>p</w:t>
      </w:r>
      <w:r>
        <w:t xml:space="preserve">lace and </w:t>
      </w:r>
      <w:r w:rsidR="005C0327">
        <w:t>l</w:t>
      </w:r>
      <w:r>
        <w:t>eadership</w:t>
      </w:r>
    </w:p>
    <w:p w14:paraId="3B74DC77" w14:textId="3D35D1ED" w:rsidR="004A25F6" w:rsidRDefault="00771209">
      <w:r>
        <w:t>Respondents were asked to consider the level of support that staff implementing GIA</w:t>
      </w:r>
      <w:r w:rsidR="005C0327">
        <w:t>s</w:t>
      </w:r>
      <w:r>
        <w:t xml:space="preserve"> receive from </w:t>
      </w:r>
      <w:r w:rsidR="0048515B">
        <w:t xml:space="preserve">people in </w:t>
      </w:r>
      <w:r>
        <w:t>leadership</w:t>
      </w:r>
      <w:r w:rsidR="00DD5ABB">
        <w:t xml:space="preserve"> and </w:t>
      </w:r>
      <w:r>
        <w:t>management</w:t>
      </w:r>
      <w:r w:rsidR="0048515B">
        <w:t xml:space="preserve"> positions</w:t>
      </w:r>
      <w:r>
        <w:t xml:space="preserve">. The level of support was reasonably evenly distributed across the 5-point Likert scale </w:t>
      </w:r>
      <w:r w:rsidR="00B443A8">
        <w:t>(n=187):</w:t>
      </w:r>
    </w:p>
    <w:p w14:paraId="235B1088" w14:textId="70F2B5EF" w:rsidR="00B443A8" w:rsidRDefault="002D47D1" w:rsidP="00C034EE">
      <w:pPr>
        <w:pStyle w:val="ListParagraph"/>
        <w:numPr>
          <w:ilvl w:val="0"/>
          <w:numId w:val="17"/>
        </w:numPr>
      </w:pPr>
      <w:r>
        <w:t>12 per cent (n=</w:t>
      </w:r>
      <w:r w:rsidR="00506B95">
        <w:t>22</w:t>
      </w:r>
      <w:r>
        <w:t>)</w:t>
      </w:r>
      <w:r w:rsidR="00506B95">
        <w:t xml:space="preserve"> said they receive “</w:t>
      </w:r>
      <w:r w:rsidR="0048515B">
        <w:t>a</w:t>
      </w:r>
      <w:r w:rsidR="00506B95">
        <w:t xml:space="preserve"> great deal</w:t>
      </w:r>
      <w:r w:rsidR="0048515B">
        <w:t xml:space="preserve"> </w:t>
      </w:r>
      <w:r w:rsidR="00506B95">
        <w:t>of support</w:t>
      </w:r>
      <w:r w:rsidR="0048515B">
        <w:t>”</w:t>
      </w:r>
    </w:p>
    <w:p w14:paraId="1BB9961F" w14:textId="3455C088" w:rsidR="00506B95" w:rsidRDefault="002D47D1" w:rsidP="00C034EE">
      <w:pPr>
        <w:pStyle w:val="ListParagraph"/>
        <w:numPr>
          <w:ilvl w:val="0"/>
          <w:numId w:val="17"/>
        </w:numPr>
      </w:pPr>
      <w:r>
        <w:t>19 per cent (n=</w:t>
      </w:r>
      <w:r w:rsidR="00506B95">
        <w:t>35</w:t>
      </w:r>
      <w:r>
        <w:t>)</w:t>
      </w:r>
      <w:r w:rsidR="00506B95">
        <w:t xml:space="preserve"> said they receive “</w:t>
      </w:r>
      <w:r w:rsidR="0048515B">
        <w:t>a</w:t>
      </w:r>
      <w:r w:rsidR="00506B95">
        <w:t xml:space="preserve"> lot of support</w:t>
      </w:r>
      <w:r w:rsidR="0048515B">
        <w:t>”</w:t>
      </w:r>
    </w:p>
    <w:p w14:paraId="3873B144" w14:textId="4FE00D06" w:rsidR="00506B95" w:rsidRDefault="002D47D1" w:rsidP="00C034EE">
      <w:pPr>
        <w:pStyle w:val="ListParagraph"/>
        <w:numPr>
          <w:ilvl w:val="0"/>
          <w:numId w:val="17"/>
        </w:numPr>
      </w:pPr>
      <w:r>
        <w:t>21 per cent (n=</w:t>
      </w:r>
      <w:r w:rsidR="00506B95">
        <w:t>39</w:t>
      </w:r>
      <w:r>
        <w:t>)</w:t>
      </w:r>
      <w:r w:rsidR="00506B95">
        <w:t xml:space="preserve"> said that they receive “</w:t>
      </w:r>
      <w:r w:rsidR="0048515B">
        <w:t>a</w:t>
      </w:r>
      <w:r w:rsidR="00506B95">
        <w:t xml:space="preserve"> moderate amount of support</w:t>
      </w:r>
      <w:r w:rsidR="0048515B">
        <w:t>”</w:t>
      </w:r>
    </w:p>
    <w:p w14:paraId="0B34BF4F" w14:textId="4B89B252" w:rsidR="00506B95" w:rsidRDefault="002D47D1" w:rsidP="00C034EE">
      <w:pPr>
        <w:pStyle w:val="ListParagraph"/>
        <w:numPr>
          <w:ilvl w:val="0"/>
          <w:numId w:val="17"/>
        </w:numPr>
      </w:pPr>
      <w:r>
        <w:t>20 per cent (n=</w:t>
      </w:r>
      <w:r w:rsidR="005B2F68">
        <w:t>37</w:t>
      </w:r>
      <w:r>
        <w:t>)</w:t>
      </w:r>
      <w:r w:rsidR="005B2F68">
        <w:t xml:space="preserve"> said </w:t>
      </w:r>
      <w:r w:rsidR="002531CD">
        <w:t>that they</w:t>
      </w:r>
      <w:r w:rsidR="005B2F68">
        <w:t xml:space="preserve"> receive “</w:t>
      </w:r>
      <w:r w:rsidR="0048515B">
        <w:t>a</w:t>
      </w:r>
      <w:r w:rsidR="005B2F68">
        <w:t xml:space="preserve"> little bit of support</w:t>
      </w:r>
      <w:r w:rsidR="0048515B">
        <w:t>”</w:t>
      </w:r>
    </w:p>
    <w:p w14:paraId="129CF901" w14:textId="57B212E2" w:rsidR="005B2F68" w:rsidRDefault="002D47D1" w:rsidP="00C034EE">
      <w:pPr>
        <w:pStyle w:val="ListParagraph"/>
        <w:numPr>
          <w:ilvl w:val="0"/>
          <w:numId w:val="17"/>
        </w:numPr>
      </w:pPr>
      <w:r>
        <w:t>6 per cent</w:t>
      </w:r>
      <w:r w:rsidR="0032779A">
        <w:t xml:space="preserve"> </w:t>
      </w:r>
      <w:r>
        <w:t>(n=</w:t>
      </w:r>
      <w:r w:rsidR="005B2F68">
        <w:t>12</w:t>
      </w:r>
      <w:r>
        <w:t>)</w:t>
      </w:r>
      <w:r w:rsidR="005B2F68">
        <w:t xml:space="preserve"> </w:t>
      </w:r>
      <w:r>
        <w:t>said</w:t>
      </w:r>
      <w:r w:rsidR="005B2F68">
        <w:t xml:space="preserve"> that they received </w:t>
      </w:r>
      <w:r w:rsidR="0048515B">
        <w:t>“</w:t>
      </w:r>
      <w:r w:rsidR="005B2F68">
        <w:t>no support</w:t>
      </w:r>
      <w:r w:rsidR="0048515B">
        <w:t>”</w:t>
      </w:r>
      <w:r w:rsidR="005C0327">
        <w:t>.</w:t>
      </w:r>
    </w:p>
    <w:p w14:paraId="32028568" w14:textId="658B4862" w:rsidR="005B2F68" w:rsidRPr="006B64CF" w:rsidRDefault="002D47D1">
      <w:pPr>
        <w:rPr>
          <w:i/>
          <w:iCs/>
        </w:rPr>
      </w:pPr>
      <w:r>
        <w:t>The remaining 22 per cent (n=</w:t>
      </w:r>
      <w:r w:rsidR="005B2F68">
        <w:t>42</w:t>
      </w:r>
      <w:r>
        <w:t>) of</w:t>
      </w:r>
      <w:r w:rsidR="005B2F68">
        <w:t xml:space="preserve"> </w:t>
      </w:r>
      <w:r w:rsidR="002531CD">
        <w:t>respondents</w:t>
      </w:r>
      <w:r w:rsidR="005B2F68">
        <w:t xml:space="preserve"> provide</w:t>
      </w:r>
      <w:r>
        <w:t>d</w:t>
      </w:r>
      <w:r w:rsidR="005B2F68">
        <w:t xml:space="preserve"> </w:t>
      </w:r>
      <w:r>
        <w:t xml:space="preserve">a </w:t>
      </w:r>
      <w:r w:rsidR="005B2F68">
        <w:t>written response to th</w:t>
      </w:r>
      <w:r w:rsidR="0032779A">
        <w:t>e</w:t>
      </w:r>
      <w:r w:rsidR="005B2F68">
        <w:t xml:space="preserve"> question</w:t>
      </w:r>
      <w:r w:rsidR="005C0327">
        <w:t>,</w:t>
      </w:r>
      <w:r w:rsidR="006B64CF" w:rsidRPr="006B64CF">
        <w:t xml:space="preserve"> “</w:t>
      </w:r>
      <w:r w:rsidR="005C0327">
        <w:t>W</w:t>
      </w:r>
      <w:r w:rsidR="006B64CF" w:rsidRPr="006B64CF">
        <w:t>hat level of support do staff undertaking GIAs receive from your management/leadership team?”</w:t>
      </w:r>
    </w:p>
    <w:p w14:paraId="3AB2454B" w14:textId="7DF61A40" w:rsidR="00DB4D4B" w:rsidRDefault="006150B2">
      <w:r>
        <w:t xml:space="preserve">Of these qualitative responses, 59 per cent (n=13) </w:t>
      </w:r>
      <w:r w:rsidR="002D47D1">
        <w:t>reported t</w:t>
      </w:r>
      <w:r w:rsidR="00DB4D4B">
        <w:t xml:space="preserve">hat </w:t>
      </w:r>
      <w:r w:rsidR="002D47D1">
        <w:t xml:space="preserve">there was </w:t>
      </w:r>
      <w:r w:rsidR="00DB4D4B">
        <w:t>positive leadership support</w:t>
      </w:r>
      <w:r w:rsidR="002D47D1">
        <w:t xml:space="preserve"> for GIA</w:t>
      </w:r>
      <w:r w:rsidR="005C0327">
        <w:t>s</w:t>
      </w:r>
      <w:r w:rsidR="002D47D1">
        <w:t>,</w:t>
      </w:r>
      <w:r w:rsidR="002A2D24">
        <w:t xml:space="preserve"> </w:t>
      </w:r>
      <w:r w:rsidR="00DB4D4B">
        <w:t xml:space="preserve">however this </w:t>
      </w:r>
      <w:r w:rsidR="006B64CF">
        <w:t xml:space="preserve">was often </w:t>
      </w:r>
      <w:r w:rsidR="00DB4D4B">
        <w:t xml:space="preserve">countered </w:t>
      </w:r>
      <w:r w:rsidR="002D47D1">
        <w:t xml:space="preserve">by </w:t>
      </w:r>
      <w:r w:rsidR="00DB4D4B">
        <w:t xml:space="preserve">poor </w:t>
      </w:r>
      <w:r w:rsidR="006B64CF">
        <w:t xml:space="preserve">organisational </w:t>
      </w:r>
      <w:r w:rsidR="00DB4D4B">
        <w:t>resourc</w:t>
      </w:r>
      <w:r w:rsidR="002D47D1">
        <w:t>ing</w:t>
      </w:r>
      <w:r w:rsidR="00DB4D4B">
        <w:t>.</w:t>
      </w:r>
    </w:p>
    <w:p w14:paraId="24F3E00A" w14:textId="153FF89C" w:rsidR="009262F5" w:rsidRPr="0098589D" w:rsidRDefault="009262F5" w:rsidP="009262F5">
      <w:pPr>
        <w:pStyle w:val="Quote"/>
      </w:pPr>
      <w:r w:rsidRPr="0098589D">
        <w:t>Support for GIAs is there in principle, but (at least in our first example), management and leadership did not adjust scope or timelines for the project in a way that would have better acknowledged the importance of the GIA and enabled it to be truly embedded in the project planning and implementation</w:t>
      </w:r>
      <w:r w:rsidR="001817BE" w:rsidRPr="0098589D">
        <w:t>.</w:t>
      </w:r>
    </w:p>
    <w:p w14:paraId="72311DAE" w14:textId="2A90EF7B" w:rsidR="00317BA1" w:rsidRDefault="001E1D1D" w:rsidP="001E1D1D">
      <w:pPr>
        <w:pStyle w:val="Quote"/>
      </w:pPr>
      <w:r w:rsidRPr="001E1D1D">
        <w:t>Leadership are supportive, but we do not have the resources or staff</w:t>
      </w:r>
      <w:r w:rsidR="001817BE">
        <w:t>.</w:t>
      </w:r>
      <w:r w:rsidRPr="001E1D1D">
        <w:t xml:space="preserve"> </w:t>
      </w:r>
    </w:p>
    <w:p w14:paraId="29458DF6" w14:textId="5953A672" w:rsidR="001E1D1D" w:rsidRDefault="001817BE" w:rsidP="001E1D1D">
      <w:pPr>
        <w:pStyle w:val="Quote"/>
      </w:pPr>
      <w:r>
        <w:t>T</w:t>
      </w:r>
      <w:r w:rsidR="00317BA1" w:rsidRPr="00317BA1">
        <w:t>hey're absolutely supportive but do not have capacity to support the roll out of GIAs as there are too many pressing priorities from continuous covid impacts</w:t>
      </w:r>
      <w:r w:rsidR="00317BA1">
        <w:rPr>
          <w:rFonts w:ascii="Helvetica" w:hAnsi="Helvetica" w:cs="Helvetica"/>
          <w:color w:val="333E48"/>
          <w:sz w:val="20"/>
          <w:szCs w:val="20"/>
          <w:shd w:val="clear" w:color="auto" w:fill="F4F5F5"/>
        </w:rPr>
        <w:t>.</w:t>
      </w:r>
      <w:r w:rsidR="001E1D1D" w:rsidRPr="001E1D1D">
        <w:t xml:space="preserve"> </w:t>
      </w:r>
    </w:p>
    <w:p w14:paraId="21444C1B" w14:textId="066CA200" w:rsidR="002B6F0B" w:rsidRPr="002B6F0B" w:rsidRDefault="002B6F0B" w:rsidP="002B6F0B">
      <w:pPr>
        <w:pStyle w:val="Quote"/>
      </w:pPr>
      <w:r w:rsidRPr="00A16BE8">
        <w:t>Staff are strongly supported by senior leadership however middle management who are more acutely aware of workloads and pressures are less inclined to support GIAs in the current form and scope required by the Commission. Management and leadership are unable to provide ample practical support for staff undertaking GIAs which is understandable</w:t>
      </w:r>
      <w:r w:rsidR="00D56C35">
        <w:t>,</w:t>
      </w:r>
      <w:r w:rsidRPr="00A16BE8">
        <w:t xml:space="preserve"> so this supporting role is being provided via GIA Champions trained up in each unit and GE Officers.</w:t>
      </w:r>
    </w:p>
    <w:p w14:paraId="7CB11D86" w14:textId="276D0BA7" w:rsidR="001E1D1D" w:rsidRDefault="000B2C55" w:rsidP="002A2D24">
      <w:r>
        <w:t>A further 36 per cent (n=8) of</w:t>
      </w:r>
      <w:r w:rsidR="00193F61">
        <w:t xml:space="preserve"> </w:t>
      </w:r>
      <w:r w:rsidR="00346EBB">
        <w:t>respondents</w:t>
      </w:r>
      <w:r w:rsidR="002A2D24">
        <w:t xml:space="preserve"> </w:t>
      </w:r>
      <w:r w:rsidR="00193F61">
        <w:t xml:space="preserve">reported </w:t>
      </w:r>
      <w:r w:rsidR="0032779A">
        <w:t xml:space="preserve">that </w:t>
      </w:r>
      <w:r w:rsidR="00D875F6">
        <w:t xml:space="preserve">their organisational </w:t>
      </w:r>
      <w:r w:rsidR="00E33C56">
        <w:t>leaders</w:t>
      </w:r>
      <w:r w:rsidR="00D875F6">
        <w:t xml:space="preserve"> </w:t>
      </w:r>
      <w:r w:rsidR="0032779A">
        <w:t>needed</w:t>
      </w:r>
      <w:r w:rsidR="00E33C56">
        <w:t xml:space="preserve"> </w:t>
      </w:r>
      <w:r w:rsidR="00193F61">
        <w:t>greater</w:t>
      </w:r>
      <w:r w:rsidR="00E33C56">
        <w:t xml:space="preserve"> skills and </w:t>
      </w:r>
      <w:r w:rsidR="00193F61">
        <w:t xml:space="preserve">GIA </w:t>
      </w:r>
      <w:r w:rsidR="00E33C56">
        <w:t>capability</w:t>
      </w:r>
      <w:r w:rsidR="00CA7500">
        <w:t xml:space="preserve">, which many thought </w:t>
      </w:r>
      <w:r w:rsidR="00D875F6">
        <w:t>c</w:t>
      </w:r>
      <w:r w:rsidR="00CA7500">
        <w:t>ould</w:t>
      </w:r>
      <w:r w:rsidR="00D875F6">
        <w:t xml:space="preserve"> be achieved via</w:t>
      </w:r>
      <w:r w:rsidR="00CA7500">
        <w:t xml:space="preserve"> </w:t>
      </w:r>
      <w:r w:rsidR="002A6101">
        <w:t xml:space="preserve">leadership </w:t>
      </w:r>
      <w:r w:rsidR="00CA7500">
        <w:t>training</w:t>
      </w:r>
      <w:r w:rsidR="00193F61">
        <w:t xml:space="preserve">. </w:t>
      </w:r>
    </w:p>
    <w:p w14:paraId="62DCF196" w14:textId="2D26E0CC" w:rsidR="00D74802" w:rsidRPr="00523971" w:rsidRDefault="00E33C56" w:rsidP="0098589D">
      <w:pPr>
        <w:pStyle w:val="Quote"/>
      </w:pPr>
      <w:r>
        <w:t>Our management/leadership/executive staff need more training to ensure their competency. Many managerial staff</w:t>
      </w:r>
      <w:r w:rsidR="000B2C55">
        <w:t>…</w:t>
      </w:r>
      <w:r>
        <w:t xml:space="preserve"> have not completed any training and do not understand GIA processes and therefore are not equipped to support our staff in the processes.</w:t>
      </w:r>
    </w:p>
    <w:p w14:paraId="641630E4" w14:textId="7E825B7F" w:rsidR="00D74802" w:rsidRPr="00523971" w:rsidRDefault="00D74802" w:rsidP="00523971">
      <w:pPr>
        <w:pStyle w:val="Quote"/>
      </w:pPr>
      <w:r w:rsidRPr="00523971">
        <w:t>As yet management not trained, so unable to provide support and GIAs currently not being conducted within organisation.</w:t>
      </w:r>
    </w:p>
    <w:p w14:paraId="0B5C63E4" w14:textId="2F0D4580" w:rsidR="00523971" w:rsidRDefault="00523971" w:rsidP="00523971">
      <w:pPr>
        <w:pStyle w:val="Quote"/>
      </w:pPr>
      <w:r w:rsidRPr="00523971">
        <w:t xml:space="preserve">Management and leadership aren't trained in this area, so the only support would be moral/compliance focused, not technical. </w:t>
      </w:r>
    </w:p>
    <w:p w14:paraId="43E8AC10" w14:textId="77777777" w:rsidR="001C0994" w:rsidRDefault="001C0994" w:rsidP="00523971">
      <w:pPr>
        <w:jc w:val="right"/>
        <w:rPr>
          <w:i/>
          <w:iCs/>
          <w:sz w:val="16"/>
          <w:szCs w:val="16"/>
        </w:rPr>
      </w:pPr>
    </w:p>
    <w:p w14:paraId="1EBAB298" w14:textId="6559F55F" w:rsidR="001C0994" w:rsidRDefault="00BC23C0" w:rsidP="001C0994">
      <w:r w:rsidRPr="00CF03E8">
        <w:t>Ano</w:t>
      </w:r>
      <w:r w:rsidR="001C0994" w:rsidRPr="00CF03E8">
        <w:t xml:space="preserve">ther key theme </w:t>
      </w:r>
      <w:r w:rsidR="00036497">
        <w:t xml:space="preserve">relating to </w:t>
      </w:r>
      <w:r w:rsidR="00036497" w:rsidRPr="00CF03E8">
        <w:t>challenges</w:t>
      </w:r>
      <w:r w:rsidR="00036497">
        <w:t xml:space="preserve"> with</w:t>
      </w:r>
      <w:r w:rsidR="00036497" w:rsidRPr="00CF03E8">
        <w:t xml:space="preserve"> </w:t>
      </w:r>
      <w:r w:rsidR="001C0994" w:rsidRPr="00CF03E8">
        <w:t xml:space="preserve">leadership support </w:t>
      </w:r>
      <w:r w:rsidR="00036497">
        <w:t>i</w:t>
      </w:r>
      <w:r w:rsidR="001C0994" w:rsidRPr="00CF03E8">
        <w:t xml:space="preserve">s </w:t>
      </w:r>
      <w:r w:rsidRPr="00CF03E8">
        <w:t xml:space="preserve">the understanding that GIA </w:t>
      </w:r>
      <w:r w:rsidR="00036497">
        <w:t>is</w:t>
      </w:r>
      <w:r w:rsidRPr="00CF03E8">
        <w:t xml:space="preserve"> a </w:t>
      </w:r>
      <w:r w:rsidR="005E4461" w:rsidRPr="00CF03E8">
        <w:t xml:space="preserve">compliance </w:t>
      </w:r>
      <w:r w:rsidRPr="00CF03E8">
        <w:t>requirement, as opposed to an</w:t>
      </w:r>
      <w:r w:rsidR="005E4461" w:rsidRPr="00CF03E8">
        <w:t xml:space="preserve"> opportunity to create gender equality through culture change</w:t>
      </w:r>
      <w:r w:rsidRPr="00CF03E8">
        <w:t xml:space="preserve"> that requires ongoing action, resourcing</w:t>
      </w:r>
      <w:r w:rsidR="005C0327">
        <w:t>,</w:t>
      </w:r>
      <w:r>
        <w:t xml:space="preserve"> and </w:t>
      </w:r>
      <w:r w:rsidR="00FD409E">
        <w:t>continuous improvement</w:t>
      </w:r>
      <w:r>
        <w:t xml:space="preserve">. </w:t>
      </w:r>
      <w:r w:rsidR="00CB14CD">
        <w:t xml:space="preserve"> </w:t>
      </w:r>
    </w:p>
    <w:p w14:paraId="52597F35" w14:textId="1DB64065" w:rsidR="005E4461" w:rsidRDefault="000F6D6D" w:rsidP="00D33942">
      <w:pPr>
        <w:pStyle w:val="Quote"/>
        <w:rPr>
          <w:shd w:val="clear" w:color="auto" w:fill="FFFFFF"/>
        </w:rPr>
      </w:pPr>
      <w:r>
        <w:rPr>
          <w:shd w:val="clear" w:color="auto" w:fill="FFFFFF"/>
        </w:rPr>
        <w:lastRenderedPageBreak/>
        <w:t xml:space="preserve">The compliance side is understood. Adopting change processes and requiring qualitative and quantitative data captured for reporting across such diverse direct and significant external work is hard to implement. Each area is under-resourced and won't take on additional responsibilities. </w:t>
      </w:r>
    </w:p>
    <w:p w14:paraId="7E32994D" w14:textId="13A8DCD3" w:rsidR="00CB14CD" w:rsidRDefault="00CB14CD" w:rsidP="00D33942">
      <w:pPr>
        <w:pStyle w:val="Quote"/>
        <w:rPr>
          <w:shd w:val="clear" w:color="auto" w:fill="FFFFFF"/>
        </w:rPr>
      </w:pPr>
      <w:r w:rsidRPr="00D33942">
        <w:rPr>
          <w:shd w:val="clear" w:color="auto" w:fill="FFFFFF"/>
        </w:rPr>
        <w:t>Some management/leadership are involved in applying gender impact assessments. Once the assessment is done, there is a disconnect between making the assessment and applying the recommendations and it then needs to be incorporated into a project or action plan</w:t>
      </w:r>
      <w:r w:rsidR="00BC23C0">
        <w:rPr>
          <w:shd w:val="clear" w:color="auto" w:fill="FFFFFF"/>
        </w:rPr>
        <w:t>.</w:t>
      </w:r>
    </w:p>
    <w:p w14:paraId="1C635F2C" w14:textId="2FB6EFFF" w:rsidR="000F6D6D" w:rsidRDefault="000F6D6D" w:rsidP="00D33942">
      <w:pPr>
        <w:pStyle w:val="Quote"/>
      </w:pPr>
      <w:r>
        <w:rPr>
          <w:shd w:val="clear" w:color="auto" w:fill="FFFFFF"/>
        </w:rPr>
        <w:t>The CEO and Board are supportive of GIA being completed, but it's more about how they practically go about it.</w:t>
      </w:r>
    </w:p>
    <w:p w14:paraId="2D846E0E" w14:textId="73836E4C" w:rsidR="00E33C56" w:rsidRDefault="00BC23C0" w:rsidP="002A2D24">
      <w:r w:rsidRPr="0098589D">
        <w:t>The survey asked practi</w:t>
      </w:r>
      <w:r>
        <w:t>ti</w:t>
      </w:r>
      <w:r w:rsidRPr="0098589D">
        <w:t>oners to rate</w:t>
      </w:r>
      <w:r>
        <w:rPr>
          <w:sz w:val="16"/>
          <w:szCs w:val="16"/>
        </w:rPr>
        <w:t xml:space="preserve"> </w:t>
      </w:r>
      <w:r w:rsidR="00FA3972">
        <w:rPr>
          <w:noProof/>
        </w:rPr>
        <w:drawing>
          <wp:anchor distT="0" distB="0" distL="114300" distR="114300" simplePos="0" relativeHeight="251658241" behindDoc="1" locked="0" layoutInCell="1" allowOverlap="1" wp14:anchorId="6D9C1E74" wp14:editId="7C82C7D6">
            <wp:simplePos x="0" y="0"/>
            <wp:positionH relativeFrom="column">
              <wp:posOffset>-47625</wp:posOffset>
            </wp:positionH>
            <wp:positionV relativeFrom="paragraph">
              <wp:posOffset>881380</wp:posOffset>
            </wp:positionV>
            <wp:extent cx="6099221" cy="2790825"/>
            <wp:effectExtent l="0" t="0" r="9525" b="5715"/>
            <wp:wrapTight wrapText="bothSides">
              <wp:wrapPolygon edited="0">
                <wp:start x="0" y="0"/>
                <wp:lineTo x="0" y="21379"/>
                <wp:lineTo x="21521" y="21379"/>
                <wp:lineTo x="215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9221"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t>their leaders’</w:t>
      </w:r>
      <w:r w:rsidR="00814A5B">
        <w:t xml:space="preserve"> level of knowledge about GIA</w:t>
      </w:r>
      <w:r w:rsidR="0011013D">
        <w:t>s</w:t>
      </w:r>
      <w:r w:rsidR="00814A5B">
        <w:t xml:space="preserve"> using a 5-point Likert scale.</w:t>
      </w:r>
      <w:r w:rsidR="00150FDA">
        <w:t xml:space="preserve"> </w:t>
      </w:r>
      <w:r>
        <w:t xml:space="preserve">Of those who responded, </w:t>
      </w:r>
      <w:r w:rsidR="00296E66">
        <w:t>33</w:t>
      </w:r>
      <w:r>
        <w:t xml:space="preserve"> per cent </w:t>
      </w:r>
      <w:r w:rsidR="00296E66">
        <w:t xml:space="preserve">(n=61) </w:t>
      </w:r>
      <w:r>
        <w:t>of practitioner</w:t>
      </w:r>
      <w:r w:rsidR="0011013D">
        <w:t>s</w:t>
      </w:r>
      <w:r w:rsidR="00296E66">
        <w:t xml:space="preserve"> reported </w:t>
      </w:r>
      <w:r w:rsidR="0042036A">
        <w:t>their leadership</w:t>
      </w:r>
      <w:r w:rsidR="00296E66">
        <w:t xml:space="preserve"> team</w:t>
      </w:r>
      <w:r w:rsidR="0042036A">
        <w:t xml:space="preserve"> had </w:t>
      </w:r>
      <w:r w:rsidR="00296E66">
        <w:t xml:space="preserve">“a </w:t>
      </w:r>
      <w:r w:rsidR="0042036A">
        <w:t>moderate amount</w:t>
      </w:r>
      <w:r w:rsidR="00296E66">
        <w:t>”</w:t>
      </w:r>
      <w:r w:rsidR="0042036A">
        <w:t xml:space="preserve"> of knowledge</w:t>
      </w:r>
      <w:r w:rsidR="00296E66">
        <w:t>, while 41 per cent (n=77) reported their leadership team had “</w:t>
      </w:r>
      <w:r w:rsidR="0042036A">
        <w:t>a little</w:t>
      </w:r>
      <w:r w:rsidR="00296E66">
        <w:t>”</w:t>
      </w:r>
      <w:r w:rsidR="0042036A">
        <w:t xml:space="preserve"> knowledge</w:t>
      </w:r>
      <w:r w:rsidR="00296E66">
        <w:t xml:space="preserve"> </w:t>
      </w:r>
      <w:r w:rsidR="00077B8A">
        <w:t xml:space="preserve">of </w:t>
      </w:r>
      <w:r w:rsidR="00296E66">
        <w:t>GIA</w:t>
      </w:r>
      <w:r w:rsidR="0011013D">
        <w:t>s</w:t>
      </w:r>
      <w:r w:rsidR="00296E66">
        <w:t>.</w:t>
      </w:r>
    </w:p>
    <w:p w14:paraId="2AD6FC02" w14:textId="6169A7CE" w:rsidR="00D44286" w:rsidRDefault="00FA3972" w:rsidP="00FA3972">
      <w:pPr>
        <w:pStyle w:val="Caption"/>
      </w:pPr>
      <w:r w:rsidRPr="007A6519">
        <w:t xml:space="preserve">Figure </w:t>
      </w:r>
      <w:r w:rsidR="006026A9" w:rsidRPr="006026A9">
        <w:t xml:space="preserve">4 </w:t>
      </w:r>
      <w:r w:rsidRPr="006026A9">
        <w:t>Perceived level</w:t>
      </w:r>
      <w:r>
        <w:t xml:space="preserve"> of GIA knowledge of leadership</w:t>
      </w:r>
    </w:p>
    <w:p w14:paraId="38333C30" w14:textId="2B64C11A" w:rsidR="00FA3972" w:rsidRPr="00CF03E8" w:rsidRDefault="00887EA3" w:rsidP="00FA3972">
      <w:pPr>
        <w:pStyle w:val="Heading3"/>
      </w:pPr>
      <w:r>
        <w:t xml:space="preserve">Additional </w:t>
      </w:r>
      <w:r w:rsidR="0011013D">
        <w:t>s</w:t>
      </w:r>
      <w:r w:rsidR="00FA3972" w:rsidRPr="00CF03E8">
        <w:t xml:space="preserve">upport to </w:t>
      </w:r>
      <w:r w:rsidR="00AF43E3" w:rsidRPr="00CF03E8">
        <w:t>i</w:t>
      </w:r>
      <w:r w:rsidR="00FA3972" w:rsidRPr="00CF03E8">
        <w:t>mplement GIA</w:t>
      </w:r>
      <w:r w:rsidR="0011013D">
        <w:t>s</w:t>
      </w:r>
    </w:p>
    <w:p w14:paraId="7F77E232" w14:textId="6DA6FF89" w:rsidR="00C60FEA" w:rsidRDefault="00496450" w:rsidP="00FA3972">
      <w:r w:rsidRPr="00CF03E8">
        <w:t>Figure 5</w:t>
      </w:r>
      <w:r w:rsidR="00CA6C24">
        <w:t xml:space="preserve"> </w:t>
      </w:r>
      <w:r w:rsidRPr="00CF03E8">
        <w:t>provides an overview of</w:t>
      </w:r>
      <w:r>
        <w:t xml:space="preserve"> </w:t>
      </w:r>
      <w:r w:rsidR="00C60FEA">
        <w:t>what</w:t>
      </w:r>
      <w:r>
        <w:t xml:space="preserve"> </w:t>
      </w:r>
      <w:r w:rsidR="00C60FEA">
        <w:t xml:space="preserve">additional support </w:t>
      </w:r>
      <w:r>
        <w:t xml:space="preserve">practitioners </w:t>
      </w:r>
      <w:r w:rsidR="00BA101D">
        <w:t>w</w:t>
      </w:r>
      <w:r w:rsidR="00CA6C24">
        <w:t>ant</w:t>
      </w:r>
      <w:r w:rsidR="00BA101D" w:rsidRPr="0098589D">
        <w:t xml:space="preserve"> to assist </w:t>
      </w:r>
      <w:r>
        <w:t>them</w:t>
      </w:r>
      <w:r w:rsidR="00BA101D" w:rsidRPr="0098589D">
        <w:t xml:space="preserve"> </w:t>
      </w:r>
      <w:r w:rsidR="0011013D">
        <w:t xml:space="preserve">to </w:t>
      </w:r>
      <w:r w:rsidR="00BA101D" w:rsidRPr="0098589D">
        <w:t>undertake GIA</w:t>
      </w:r>
      <w:r w:rsidR="0011013D">
        <w:t>s</w:t>
      </w:r>
      <w:r>
        <w:t>.</w:t>
      </w:r>
      <w:r w:rsidR="00BA101D" w:rsidRPr="0098589D">
        <w:t xml:space="preserve"> </w:t>
      </w:r>
      <w:r w:rsidR="000C034F">
        <w:t xml:space="preserve">Respondents were able to choose from a </w:t>
      </w:r>
      <w:r w:rsidR="00C60FEA">
        <w:t xml:space="preserve">range of </w:t>
      </w:r>
      <w:r w:rsidR="00073B28">
        <w:t>options</w:t>
      </w:r>
      <w:r w:rsidR="00C657B8">
        <w:t xml:space="preserve"> </w:t>
      </w:r>
      <w:r w:rsidR="000C034F">
        <w:t xml:space="preserve">and tick as many </w:t>
      </w:r>
      <w:r>
        <w:t xml:space="preserve">options </w:t>
      </w:r>
      <w:r w:rsidR="000C034F">
        <w:t>as they deem</w:t>
      </w:r>
      <w:r w:rsidR="00CA6C24">
        <w:t>ed</w:t>
      </w:r>
      <w:r w:rsidR="000C034F">
        <w:t xml:space="preserve"> relevant. </w:t>
      </w:r>
      <w:r w:rsidR="0087590F">
        <w:t xml:space="preserve">The </w:t>
      </w:r>
      <w:r>
        <w:t>question aims</w:t>
      </w:r>
      <w:r w:rsidR="0087590F">
        <w:t xml:space="preserve"> </w:t>
      </w:r>
      <w:r w:rsidR="000C034F">
        <w:t>to</w:t>
      </w:r>
      <w:r w:rsidR="0087590F">
        <w:t xml:space="preserve"> understand </w:t>
      </w:r>
      <w:r w:rsidR="000C034F">
        <w:t>practitioner</w:t>
      </w:r>
      <w:r w:rsidR="00722074">
        <w:t>s’</w:t>
      </w:r>
      <w:r w:rsidR="000C034F">
        <w:t xml:space="preserve"> </w:t>
      </w:r>
      <w:r w:rsidR="0087590F">
        <w:t>preferred support options</w:t>
      </w:r>
      <w:r w:rsidR="000C034F">
        <w:t>,</w:t>
      </w:r>
      <w:r w:rsidR="0087590F">
        <w:t xml:space="preserve"> as well as the volume of interest in the </w:t>
      </w:r>
      <w:r>
        <w:t xml:space="preserve">various support </w:t>
      </w:r>
      <w:r w:rsidR="009936F9">
        <w:t>options</w:t>
      </w:r>
      <w:r w:rsidR="00205383">
        <w:t>.</w:t>
      </w:r>
    </w:p>
    <w:p w14:paraId="1C49FE9F" w14:textId="3AA62E6B" w:rsidR="00205383" w:rsidRDefault="006B3045" w:rsidP="00FA3972">
      <w:r>
        <w:t>Of the 179 responses, t</w:t>
      </w:r>
      <w:r w:rsidR="006D2E97">
        <w:t xml:space="preserve">he </w:t>
      </w:r>
      <w:r w:rsidR="00FE41D0">
        <w:t>four</w:t>
      </w:r>
      <w:r>
        <w:t xml:space="preserve"> most popular ‘additional supports’ practitioner</w:t>
      </w:r>
      <w:r w:rsidR="00BB367C">
        <w:t>s</w:t>
      </w:r>
      <w:r>
        <w:t xml:space="preserve"> would like to implement GIA</w:t>
      </w:r>
      <w:r w:rsidR="0011013D">
        <w:t>s</w:t>
      </w:r>
      <w:r w:rsidR="00FE41D0">
        <w:t xml:space="preserve"> </w:t>
      </w:r>
      <w:r w:rsidR="006D2E97">
        <w:t>were:</w:t>
      </w:r>
    </w:p>
    <w:p w14:paraId="173DDBC0" w14:textId="0913CBEE" w:rsidR="006D2E97" w:rsidRDefault="006D2E97" w:rsidP="00C034EE">
      <w:pPr>
        <w:pStyle w:val="ListParagraph"/>
        <w:numPr>
          <w:ilvl w:val="0"/>
          <w:numId w:val="18"/>
        </w:numPr>
      </w:pPr>
      <w:r w:rsidRPr="006D2E97">
        <w:t>Guidance and tips on how GIA</w:t>
      </w:r>
      <w:r w:rsidR="0011013D">
        <w:t>s</w:t>
      </w:r>
      <w:r w:rsidRPr="006D2E97">
        <w:t xml:space="preserve"> can be implemented across organisation and become </w:t>
      </w:r>
      <w:r w:rsidR="0011013D">
        <w:t>‘</w:t>
      </w:r>
      <w:r w:rsidRPr="006D2E97">
        <w:t>business as usual</w:t>
      </w:r>
      <w:r w:rsidR="0011013D">
        <w:t>’</w:t>
      </w:r>
      <w:r w:rsidR="005B7814">
        <w:t xml:space="preserve"> (n=120)</w:t>
      </w:r>
    </w:p>
    <w:p w14:paraId="38F3F344" w14:textId="578310B9" w:rsidR="00057C22" w:rsidRDefault="005B7814" w:rsidP="00057C22">
      <w:pPr>
        <w:pStyle w:val="ListParagraph"/>
        <w:numPr>
          <w:ilvl w:val="0"/>
          <w:numId w:val="18"/>
        </w:numPr>
      </w:pPr>
      <w:r w:rsidRPr="005B7814">
        <w:t>Demonstration of how to do a GIA on a small program, policy</w:t>
      </w:r>
      <w:r w:rsidR="0011013D">
        <w:t>,</w:t>
      </w:r>
      <w:r w:rsidRPr="005B7814">
        <w:t xml:space="preserve"> or service</w:t>
      </w:r>
      <w:r>
        <w:t xml:space="preserve"> (n=109)</w:t>
      </w:r>
    </w:p>
    <w:p w14:paraId="417BE751" w14:textId="55B5A138" w:rsidR="00057C22" w:rsidRDefault="005B7814" w:rsidP="00057C22">
      <w:pPr>
        <w:pStyle w:val="ListParagraph"/>
        <w:numPr>
          <w:ilvl w:val="0"/>
          <w:numId w:val="18"/>
        </w:numPr>
      </w:pPr>
      <w:r w:rsidRPr="005B7814">
        <w:t>More training</w:t>
      </w:r>
      <w:r w:rsidR="0011013D">
        <w:t xml:space="preserve"> – </w:t>
      </w:r>
      <w:r w:rsidRPr="005B7814">
        <w:t>short</w:t>
      </w:r>
      <w:r w:rsidR="0011013D">
        <w:t>,</w:t>
      </w:r>
      <w:r w:rsidRPr="005B7814">
        <w:t xml:space="preserve"> sharp (1</w:t>
      </w:r>
      <w:r w:rsidR="0011013D">
        <w:t>-</w:t>
      </w:r>
      <w:r w:rsidRPr="005B7814">
        <w:t xml:space="preserve"> to 2</w:t>
      </w:r>
      <w:r w:rsidR="0011013D">
        <w:t>-</w:t>
      </w:r>
      <w:r w:rsidRPr="005B7814">
        <w:t>hour) sessions on specific steps in the process</w:t>
      </w:r>
      <w:r w:rsidR="00914890">
        <w:t xml:space="preserve"> (n=101)</w:t>
      </w:r>
    </w:p>
    <w:p w14:paraId="2E0FC86D" w14:textId="1AAFC340" w:rsidR="00E62E33" w:rsidRDefault="009317F5" w:rsidP="00057C22">
      <w:pPr>
        <w:pStyle w:val="ListParagraph"/>
        <w:numPr>
          <w:ilvl w:val="0"/>
          <w:numId w:val="18"/>
        </w:numPr>
      </w:pPr>
      <w:r w:rsidRPr="009317F5">
        <w:t xml:space="preserve">More </w:t>
      </w:r>
      <w:r w:rsidR="006B3045">
        <w:t>c</w:t>
      </w:r>
      <w:r w:rsidRPr="009317F5">
        <w:t xml:space="preserve">ase </w:t>
      </w:r>
      <w:r w:rsidR="006B3045">
        <w:t>s</w:t>
      </w:r>
      <w:r w:rsidRPr="009317F5">
        <w:t>tudies</w:t>
      </w:r>
      <w:r w:rsidR="0011013D">
        <w:t xml:space="preserve"> – </w:t>
      </w:r>
      <w:r w:rsidRPr="009317F5">
        <w:t>examples of</w:t>
      </w:r>
      <w:r w:rsidR="006B3045">
        <w:t xml:space="preserve"> how</w:t>
      </w:r>
      <w:r w:rsidRPr="009317F5">
        <w:t xml:space="preserve"> the GIA </w:t>
      </w:r>
      <w:r w:rsidR="006B3045">
        <w:t>i</w:t>
      </w:r>
      <w:r w:rsidRPr="009317F5">
        <w:t>s undertaken</w:t>
      </w:r>
      <w:r>
        <w:t xml:space="preserve"> (n=101)</w:t>
      </w:r>
      <w:r w:rsidR="00057C22">
        <w:t>.</w:t>
      </w:r>
    </w:p>
    <w:p w14:paraId="49594208" w14:textId="32693862" w:rsidR="006E798E" w:rsidRPr="006E798E" w:rsidRDefault="006E798E" w:rsidP="006E798E">
      <w:pPr>
        <w:sectPr w:rsidR="006E798E" w:rsidRPr="006E798E">
          <w:pgSz w:w="11906" w:h="16838"/>
          <w:pgMar w:top="1440" w:right="1440" w:bottom="1440" w:left="1440" w:header="708" w:footer="708" w:gutter="0"/>
          <w:cols w:space="708"/>
          <w:docGrid w:linePitch="360"/>
        </w:sectPr>
      </w:pPr>
    </w:p>
    <w:p w14:paraId="08CA932E" w14:textId="4AE43803" w:rsidR="00C6334C" w:rsidRDefault="00C6334C" w:rsidP="00C6334C">
      <w:r>
        <w:rPr>
          <w:noProof/>
        </w:rPr>
        <w:lastRenderedPageBreak/>
        <w:drawing>
          <wp:inline distT="0" distB="0" distL="0" distR="0" wp14:anchorId="3045B018" wp14:editId="778E7273">
            <wp:extent cx="9020175" cy="5219700"/>
            <wp:effectExtent l="0" t="0" r="9525"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2C1475" w14:textId="3FE3D5D1" w:rsidR="00914890" w:rsidRPr="00BD392A" w:rsidRDefault="00AA33EA" w:rsidP="00AA33EA">
      <w:pPr>
        <w:pStyle w:val="Caption"/>
      </w:pPr>
      <w:r>
        <w:t xml:space="preserve">Figure </w:t>
      </w:r>
      <w:r w:rsidR="0098589D">
        <w:t>5</w:t>
      </w:r>
      <w:r>
        <w:t xml:space="preserve"> Additional support to assist with GIA (n= 179)</w:t>
      </w:r>
    </w:p>
    <w:p w14:paraId="004710DD" w14:textId="77777777" w:rsidR="0006199F" w:rsidRDefault="0006199F">
      <w:pPr>
        <w:sectPr w:rsidR="0006199F" w:rsidSect="0006199F">
          <w:pgSz w:w="16838" w:h="11906" w:orient="landscape"/>
          <w:pgMar w:top="1440" w:right="1440" w:bottom="1440" w:left="1440" w:header="708" w:footer="708" w:gutter="0"/>
          <w:cols w:space="708"/>
          <w:docGrid w:linePitch="360"/>
        </w:sectPr>
      </w:pPr>
    </w:p>
    <w:p w14:paraId="791554B6" w14:textId="1BA5EC7B" w:rsidR="0098589D" w:rsidRDefault="00D0350C" w:rsidP="0098589D">
      <w:r>
        <w:lastRenderedPageBreak/>
        <w:t>The qualitative response</w:t>
      </w:r>
      <w:r w:rsidR="00151E79">
        <w:t>s</w:t>
      </w:r>
      <w:r>
        <w:t xml:space="preserve"> to this question highlight the </w:t>
      </w:r>
      <w:r w:rsidR="0098589D">
        <w:t xml:space="preserve">need for clear ‘how to' </w:t>
      </w:r>
      <w:r w:rsidR="00151E79">
        <w:t xml:space="preserve">GIA </w:t>
      </w:r>
      <w:r w:rsidR="0098589D">
        <w:t xml:space="preserve">advice.  </w:t>
      </w:r>
      <w:r w:rsidR="00151E79">
        <w:t>Practitioners noted</w:t>
      </w:r>
      <w:r w:rsidR="0098589D">
        <w:t xml:space="preserve"> that this ‘how to’ advice needs to be in digestible ‘chunks’, </w:t>
      </w:r>
      <w:r w:rsidR="0054184C">
        <w:t>use</w:t>
      </w:r>
      <w:r w:rsidR="0098589D">
        <w:t xml:space="preserve"> accessible </w:t>
      </w:r>
      <w:r w:rsidR="0098589D" w:rsidRPr="0085767A">
        <w:t>language</w:t>
      </w:r>
      <w:r w:rsidR="00B72780">
        <w:t>,</w:t>
      </w:r>
      <w:r w:rsidR="0098589D" w:rsidRPr="00295CE2">
        <w:t xml:space="preserve"> and </w:t>
      </w:r>
      <w:r w:rsidR="0054184C">
        <w:t xml:space="preserve">be </w:t>
      </w:r>
      <w:r w:rsidR="0098589D" w:rsidRPr="00295CE2">
        <w:t xml:space="preserve">tailored for specific sectors and settings. Many reported that the Commission’s current GIA guidance </w:t>
      </w:r>
      <w:r w:rsidR="0098589D" w:rsidRPr="006B75D8">
        <w:t>is</w:t>
      </w:r>
      <w:r w:rsidR="008D3109">
        <w:t xml:space="preserve"> </w:t>
      </w:r>
      <w:r w:rsidR="0098589D" w:rsidRPr="006B75D8">
        <w:t>n</w:t>
      </w:r>
      <w:r w:rsidR="008D3109">
        <w:t>o</w:t>
      </w:r>
      <w:r w:rsidR="0098589D" w:rsidRPr="006B75D8">
        <w:t>t meeting this need</w:t>
      </w:r>
      <w:r w:rsidR="0098589D" w:rsidRPr="00295CE2">
        <w:t>.</w:t>
      </w:r>
    </w:p>
    <w:p w14:paraId="425FC3A7" w14:textId="77777777" w:rsidR="0098589D" w:rsidRDefault="0098589D" w:rsidP="0098589D">
      <w:pPr>
        <w:pStyle w:val="Quote"/>
        <w:rPr>
          <w:shd w:val="clear" w:color="auto" w:fill="FFFFFF"/>
        </w:rPr>
      </w:pPr>
      <w:r>
        <w:rPr>
          <w:shd w:val="clear" w:color="auto" w:fill="FFFFFF"/>
        </w:rPr>
        <w:t>It's guidance on HOW to undertake a GIA and embedding it into BAU that is really needed. This guidance needs to be accessible to the types of people undertaking GIAs (i.e., not GE practitioners).</w:t>
      </w:r>
    </w:p>
    <w:p w14:paraId="6EE1A91E" w14:textId="56DDD97F" w:rsidR="0098589D" w:rsidRPr="00C971CC" w:rsidRDefault="0098589D" w:rsidP="0098589D">
      <w:pPr>
        <w:pStyle w:val="Quote"/>
      </w:pPr>
      <w:r>
        <w:rPr>
          <w:shd w:val="clear" w:color="auto" w:fill="FFFFFF"/>
        </w:rPr>
        <w:t> </w:t>
      </w:r>
      <w:r w:rsidR="00234221">
        <w:rPr>
          <w:shd w:val="clear" w:color="auto" w:fill="FFFFFF"/>
        </w:rPr>
        <w:t>T</w:t>
      </w:r>
      <w:r>
        <w:rPr>
          <w:shd w:val="clear" w:color="auto" w:fill="FFFFFF"/>
        </w:rPr>
        <w:t>he GIA template needs to be adapted to suit the spectrum of policies, programs, services and strategies/frameworks/plans that require a GIA to be applied. There is little benefit in each organisation trying to adapt the template for these purposes when these would be common experiences sector-wide. The meaningful application of the GIA tool has required more human resourcing</w:t>
      </w:r>
      <w:r w:rsidR="00012B1C">
        <w:rPr>
          <w:shd w:val="clear" w:color="auto" w:fill="FFFFFF"/>
        </w:rPr>
        <w:t>…</w:t>
      </w:r>
      <w:r>
        <w:rPr>
          <w:shd w:val="clear" w:color="auto" w:fill="FFFFFF"/>
        </w:rPr>
        <w:t xml:space="preserve"> The current guidance regarding what a direct and significant impact still leads to a situation of the vast majority of policies, programs and services falling under the category.</w:t>
      </w:r>
    </w:p>
    <w:p w14:paraId="6221E0BA" w14:textId="79AE865D" w:rsidR="0098589D" w:rsidRDefault="0098589D" w:rsidP="0098589D">
      <w:pPr>
        <w:pStyle w:val="Quote"/>
        <w:rPr>
          <w:shd w:val="clear" w:color="auto" w:fill="FFFFFF"/>
        </w:rPr>
      </w:pPr>
      <w:r w:rsidRPr="006B75D8">
        <w:rPr>
          <w:shd w:val="clear" w:color="auto" w:fill="FFFFFF"/>
        </w:rPr>
        <w:t>How to document/report that a GIA has been completed on a policy, program</w:t>
      </w:r>
      <w:r w:rsidR="00F0077D">
        <w:rPr>
          <w:shd w:val="clear" w:color="auto" w:fill="FFFFFF"/>
        </w:rPr>
        <w:t>,</w:t>
      </w:r>
      <w:r w:rsidRPr="006B75D8">
        <w:rPr>
          <w:shd w:val="clear" w:color="auto" w:fill="FFFFFF"/>
        </w:rPr>
        <w:t xml:space="preserve"> or service.</w:t>
      </w:r>
    </w:p>
    <w:p w14:paraId="48B73116" w14:textId="1E611DE9" w:rsidR="0098589D" w:rsidRDefault="0098589D" w:rsidP="0098589D">
      <w:pPr>
        <w:pStyle w:val="Quote"/>
        <w:rPr>
          <w:shd w:val="clear" w:color="auto" w:fill="FFFFFF"/>
        </w:rPr>
      </w:pPr>
      <w:r>
        <w:rPr>
          <w:shd w:val="clear" w:color="auto" w:fill="FFFFFF"/>
        </w:rPr>
        <w:t>More user-friendly templates with specific questions not open-ended and vague guidance. Contact officers or representatives that can be available for staff to contact to assist with completing a GIA</w:t>
      </w:r>
      <w:r w:rsidR="00234221">
        <w:rPr>
          <w:shd w:val="clear" w:color="auto" w:fill="FFFFFF"/>
        </w:rPr>
        <w:t>.</w:t>
      </w:r>
    </w:p>
    <w:p w14:paraId="36E2F9F3" w14:textId="77777777" w:rsidR="0098589D" w:rsidRDefault="0098589D" w:rsidP="0098589D">
      <w:pPr>
        <w:pStyle w:val="Quote"/>
        <w:rPr>
          <w:shd w:val="clear" w:color="auto" w:fill="FFFFFF"/>
        </w:rPr>
      </w:pPr>
      <w:r>
        <w:rPr>
          <w:shd w:val="clear" w:color="auto" w:fill="FFFFFF"/>
        </w:rPr>
        <w:t>The 4-part template is overwhelming to everyone when they first come across it. So providing examples of a variety of completed GIAs would be useful.</w:t>
      </w:r>
    </w:p>
    <w:p w14:paraId="3C9BBAC4" w14:textId="17EDCC2F" w:rsidR="0098589D" w:rsidRPr="006B75D8" w:rsidRDefault="0098589D" w:rsidP="0098589D">
      <w:pPr>
        <w:pStyle w:val="Quote"/>
        <w:rPr>
          <w:shd w:val="clear" w:color="auto" w:fill="FFFFFF"/>
        </w:rPr>
      </w:pPr>
      <w:r w:rsidRPr="006B75D8">
        <w:rPr>
          <w:shd w:val="clear" w:color="auto" w:fill="FFFFFF"/>
        </w:rPr>
        <w:t>Short and sharp content that we could provide to teams to support them to complete a GIA would be useful. Also comms content to communicate that this is a BAU initiative and that all teams are responsible for completing GIAs</w:t>
      </w:r>
      <w:r w:rsidR="00012B1C">
        <w:rPr>
          <w:shd w:val="clear" w:color="auto" w:fill="FFFFFF"/>
        </w:rPr>
        <w:t>.</w:t>
      </w:r>
    </w:p>
    <w:p w14:paraId="3D58C2BA" w14:textId="77777777" w:rsidR="0098589D" w:rsidRDefault="0098589D" w:rsidP="0098589D">
      <w:pPr>
        <w:pStyle w:val="Quote"/>
        <w:rPr>
          <w:shd w:val="clear" w:color="auto" w:fill="FFFFFF"/>
        </w:rPr>
      </w:pPr>
      <w:r>
        <w:rPr>
          <w:shd w:val="clear" w:color="auto" w:fill="FFFFFF"/>
        </w:rPr>
        <w:t>How to apply GIAs across large, state-wide organisations. Information to engage internal departments with limited knowledge (possibly a one-pager) to inform them of the Gender Equality Act and GIA reporting requirements, to assist in inter-departmental resistance.</w:t>
      </w:r>
    </w:p>
    <w:p w14:paraId="72202DA5" w14:textId="322FC7DE" w:rsidR="0098589D" w:rsidRDefault="0098589D" w:rsidP="0098589D">
      <w:pPr>
        <w:pStyle w:val="Quote"/>
        <w:rPr>
          <w:shd w:val="clear" w:color="auto" w:fill="FFFFFF"/>
        </w:rPr>
      </w:pPr>
      <w:r w:rsidRPr="00957A2D">
        <w:rPr>
          <w:shd w:val="clear" w:color="auto" w:fill="FFFFFF"/>
        </w:rPr>
        <w:t>  Short sharp pre-recorded training for staff who will need to conduct a GIA. We have discovered that most staff will need some training.</w:t>
      </w:r>
    </w:p>
    <w:p w14:paraId="5784044F" w14:textId="6CCDDC69" w:rsidR="0098589D" w:rsidRDefault="0098589D" w:rsidP="0098589D">
      <w:pPr>
        <w:pStyle w:val="Quote"/>
        <w:rPr>
          <w:shd w:val="clear" w:color="auto" w:fill="FFFFFF"/>
        </w:rPr>
      </w:pPr>
      <w:r w:rsidRPr="007804DC">
        <w:rPr>
          <w:shd w:val="clear" w:color="auto" w:fill="FFFFFF"/>
        </w:rPr>
        <w:t>The resources and trainings which have so far been provided to the hospital sector have been too generic and high-level.</w:t>
      </w:r>
      <w:r w:rsidR="00612950">
        <w:rPr>
          <w:shd w:val="clear" w:color="auto" w:fill="FFFFFF"/>
        </w:rPr>
        <w:t>.</w:t>
      </w:r>
      <w:r w:rsidRPr="007804DC">
        <w:rPr>
          <w:shd w:val="clear" w:color="auto" w:fill="FFFFFF"/>
        </w:rPr>
        <w:t>. Any new resources and trainings should be co-designed with the hospital sector to ensure they are fit-for-purpose.</w:t>
      </w:r>
    </w:p>
    <w:p w14:paraId="505FF227" w14:textId="42DFFC22" w:rsidR="0098589D" w:rsidRDefault="0098589D" w:rsidP="00140F0C">
      <w:r>
        <w:t>Another qualitative theme that emerged</w:t>
      </w:r>
      <w:r w:rsidR="008D3109">
        <w:t xml:space="preserve"> </w:t>
      </w:r>
      <w:r w:rsidR="00012B1C">
        <w:t>is defined entities</w:t>
      </w:r>
      <w:r w:rsidR="008D3109">
        <w:t xml:space="preserve">’ need </w:t>
      </w:r>
      <w:r w:rsidR="00012B1C">
        <w:t xml:space="preserve">to </w:t>
      </w:r>
      <w:r>
        <w:t>access gender equ</w:t>
      </w:r>
      <w:r w:rsidR="00012B1C">
        <w:t xml:space="preserve">ality </w:t>
      </w:r>
      <w:r>
        <w:t>expertise – either through the Commission or skilled staff onsite</w:t>
      </w:r>
      <w:r w:rsidR="00140F0C">
        <w:t xml:space="preserve"> – to support GIA implementation. </w:t>
      </w:r>
    </w:p>
    <w:p w14:paraId="0BD99B30" w14:textId="4315D50E" w:rsidR="0098589D" w:rsidRDefault="0098589D" w:rsidP="0098589D">
      <w:pPr>
        <w:pStyle w:val="Quote"/>
        <w:rPr>
          <w:shd w:val="clear" w:color="auto" w:fill="FFFFFF"/>
        </w:rPr>
      </w:pPr>
      <w:r>
        <w:rPr>
          <w:shd w:val="clear" w:color="auto" w:fill="FFFFFF"/>
        </w:rPr>
        <w:t xml:space="preserve">I think the ability to have a consideration from the Commission around the expectations of what organisations can deliver and a support for a deeper capability and coaching support for D&amp;I practitioners, to enable BAU. </w:t>
      </w:r>
    </w:p>
    <w:p w14:paraId="36232BD2" w14:textId="6F0C9AF3" w:rsidR="0098589D" w:rsidRDefault="0098589D" w:rsidP="0098589D">
      <w:pPr>
        <w:pStyle w:val="Quote"/>
        <w:rPr>
          <w:shd w:val="clear" w:color="auto" w:fill="FFFFFF"/>
        </w:rPr>
      </w:pPr>
      <w:r>
        <w:rPr>
          <w:shd w:val="clear" w:color="auto" w:fill="FFFFFF"/>
        </w:rPr>
        <w:lastRenderedPageBreak/>
        <w:t>More support is required from the Commission across a number of areas. There is an opportunity for the Commission to get buy in from Boards and Leadership Teams to support the practitioners tasked with delivering in the entities. In many cases this work is being championed and led by individuals at low levels in organisations that are extremely hierarchical</w:t>
      </w:r>
      <w:r w:rsidR="00CE0BC9">
        <w:rPr>
          <w:shd w:val="clear" w:color="auto" w:fill="FFFFFF"/>
        </w:rPr>
        <w:t>…</w:t>
      </w:r>
      <w:r>
        <w:rPr>
          <w:shd w:val="clear" w:color="auto" w:fill="FFFFFF"/>
        </w:rPr>
        <w:t xml:space="preserve"> Supporting organisations to understand the why and the anticipated required resourcing is an important contribution that would contribute to positive outcomes. </w:t>
      </w:r>
    </w:p>
    <w:p w14:paraId="7E54F7A5" w14:textId="77777777" w:rsidR="0098589D" w:rsidRDefault="0098589D" w:rsidP="0098589D">
      <w:pPr>
        <w:pStyle w:val="Quote"/>
        <w:rPr>
          <w:shd w:val="clear" w:color="auto" w:fill="FFFFFF"/>
        </w:rPr>
      </w:pPr>
      <w:r>
        <w:rPr>
          <w:shd w:val="clear" w:color="auto" w:fill="FFFFFF"/>
        </w:rPr>
        <w:t> Our core expertise is held within 2-3 staff. That is a risk. It would be good if there was training to ensure more people in the organisation are as equally conversant as our current subject matter experts.</w:t>
      </w:r>
    </w:p>
    <w:p w14:paraId="1CAD6569" w14:textId="77777777" w:rsidR="0098589D" w:rsidRDefault="0098589D" w:rsidP="0098589D">
      <w:pPr>
        <w:pStyle w:val="Quote"/>
        <w:rPr>
          <w:shd w:val="clear" w:color="auto" w:fill="FFFFFF"/>
        </w:rPr>
      </w:pPr>
      <w:r>
        <w:rPr>
          <w:shd w:val="clear" w:color="auto" w:fill="FFFFFF"/>
        </w:rPr>
        <w:t>Dedicated training provided on site by a training provider that is tailored for our type of organisation would be ideal - as was done for the Charter of Human Rights and responsibilities when that was rolled out.</w:t>
      </w:r>
    </w:p>
    <w:p w14:paraId="0CD0B660" w14:textId="25D88F6D" w:rsidR="00767096" w:rsidRPr="008D3109" w:rsidRDefault="00926884" w:rsidP="008D3109">
      <w:pPr>
        <w:pStyle w:val="Quote"/>
        <w:rPr>
          <w:shd w:val="clear" w:color="auto" w:fill="FFFFFF"/>
        </w:rPr>
      </w:pPr>
      <w:r>
        <w:rPr>
          <w:shd w:val="clear" w:color="auto" w:fill="FFFFFF"/>
        </w:rPr>
        <w:t>F</w:t>
      </w:r>
      <w:r w:rsidR="0098589D" w:rsidRPr="00672195">
        <w:rPr>
          <w:shd w:val="clear" w:color="auto" w:fill="FFFFFF"/>
        </w:rPr>
        <w:t>unding, human resources and outsourced support to complete this work</w:t>
      </w:r>
      <w:r>
        <w:rPr>
          <w:shd w:val="clear" w:color="auto" w:fill="FFFFFF"/>
        </w:rPr>
        <w:t>.</w:t>
      </w:r>
    </w:p>
    <w:p w14:paraId="3EC1E3AF" w14:textId="5350D2B1" w:rsidR="009262F5" w:rsidRPr="00CF03E8" w:rsidRDefault="00767096">
      <w:r w:rsidRPr="00451B05">
        <w:t>Practitioners were asked</w:t>
      </w:r>
      <w:r w:rsidR="00F30378">
        <w:t>,</w:t>
      </w:r>
      <w:r w:rsidRPr="00451B05">
        <w:t xml:space="preserve"> “</w:t>
      </w:r>
      <w:r w:rsidR="00F30378">
        <w:t>A</w:t>
      </w:r>
      <w:r w:rsidRPr="006B75D8">
        <w:t>re there additional barriers or challenges that you or your organisation are experiencing in undertaking GIA</w:t>
      </w:r>
      <w:r w:rsidR="00F30378">
        <w:t>s</w:t>
      </w:r>
      <w:r w:rsidRPr="00451B05">
        <w:t>?</w:t>
      </w:r>
      <w:r w:rsidRPr="006B75D8">
        <w:t xml:space="preserve">” </w:t>
      </w:r>
      <w:r w:rsidR="00451B05">
        <w:t>Of the 126 r</w:t>
      </w:r>
      <w:r>
        <w:t>espon</w:t>
      </w:r>
      <w:r w:rsidR="00451B05">
        <w:t xml:space="preserve">ses, practitioners’ </w:t>
      </w:r>
      <w:r>
        <w:t>answers reinforced the</w:t>
      </w:r>
      <w:r w:rsidR="00672195" w:rsidRPr="00767096">
        <w:t xml:space="preserve"> themes</w:t>
      </w:r>
      <w:r w:rsidR="00672195">
        <w:t xml:space="preserve"> </w:t>
      </w:r>
      <w:r>
        <w:t>of</w:t>
      </w:r>
      <w:r w:rsidR="00672195">
        <w:t xml:space="preserve"> </w:t>
      </w:r>
      <w:r>
        <w:t xml:space="preserve">challenges with leadership, </w:t>
      </w:r>
      <w:r w:rsidR="00672195">
        <w:t>resourc</w:t>
      </w:r>
      <w:r>
        <w:t>ing</w:t>
      </w:r>
      <w:r w:rsidR="00672195">
        <w:t xml:space="preserve">, </w:t>
      </w:r>
      <w:r>
        <w:t xml:space="preserve">gender equality </w:t>
      </w:r>
      <w:r w:rsidR="00672195">
        <w:t>expertise</w:t>
      </w:r>
      <w:r>
        <w:t>, and</w:t>
      </w:r>
      <w:r w:rsidR="00672195">
        <w:t xml:space="preserve"> tailoring</w:t>
      </w:r>
      <w:r>
        <w:t xml:space="preserve"> and </w:t>
      </w:r>
      <w:r w:rsidR="00672195" w:rsidRPr="00CF03E8">
        <w:t>customis</w:t>
      </w:r>
      <w:r w:rsidR="008D3109">
        <w:t>ing</w:t>
      </w:r>
      <w:r w:rsidRPr="00CF03E8">
        <w:t xml:space="preserve"> educational resources. </w:t>
      </w:r>
    </w:p>
    <w:p w14:paraId="17C8F613" w14:textId="0F6D88CF" w:rsidR="00C62676" w:rsidRPr="00296637" w:rsidRDefault="0005289D">
      <w:r w:rsidRPr="00CF03E8">
        <w:t>The number one</w:t>
      </w:r>
      <w:r w:rsidR="00767096" w:rsidRPr="00CF03E8">
        <w:t xml:space="preserve"> barrier reported by practitioners</w:t>
      </w:r>
      <w:r w:rsidRPr="00CF03E8">
        <w:t xml:space="preserve"> </w:t>
      </w:r>
      <w:r w:rsidR="00296637" w:rsidRPr="00CF03E8">
        <w:t>in undertaking GIA</w:t>
      </w:r>
      <w:r w:rsidR="00F30378">
        <w:t>s</w:t>
      </w:r>
      <w:r w:rsidR="00296637" w:rsidRPr="00CF03E8">
        <w:t xml:space="preserve"> was time</w:t>
      </w:r>
      <w:r w:rsidR="00767096" w:rsidRPr="00CF03E8">
        <w:t>, followed by</w:t>
      </w:r>
      <w:r w:rsidR="00296637" w:rsidRPr="00CF03E8">
        <w:t xml:space="preserve"> staffing</w:t>
      </w:r>
      <w:r w:rsidR="00767096" w:rsidRPr="00CF03E8">
        <w:t xml:space="preserve"> and </w:t>
      </w:r>
      <w:r w:rsidR="00296637" w:rsidRPr="00CF03E8">
        <w:t>resources.</w:t>
      </w:r>
      <w:r w:rsidR="007B318C" w:rsidRPr="00CF03E8">
        <w:t xml:space="preserve"> This </w:t>
      </w:r>
      <w:r w:rsidR="009C7FC4" w:rsidRPr="00CF03E8">
        <w:t>was a theme shared by defined entities</w:t>
      </w:r>
      <w:r w:rsidR="007B318C" w:rsidRPr="00CF03E8">
        <w:t xml:space="preserve"> regardless of </w:t>
      </w:r>
      <w:r w:rsidR="009C7FC4" w:rsidRPr="00CF03E8">
        <w:t xml:space="preserve">their </w:t>
      </w:r>
      <w:r w:rsidR="007B318C" w:rsidRPr="00CF03E8">
        <w:t>size,</w:t>
      </w:r>
      <w:r w:rsidR="009C7FC4" w:rsidRPr="00CF03E8">
        <w:t xml:space="preserve"> sector</w:t>
      </w:r>
      <w:r w:rsidR="00F30378">
        <w:t>,</w:t>
      </w:r>
      <w:r w:rsidR="007B318C" w:rsidRPr="00CF03E8">
        <w:t xml:space="preserve"> and region.</w:t>
      </w:r>
      <w:r w:rsidR="00F15D6E" w:rsidRPr="00CF03E8">
        <w:t xml:space="preserve"> </w:t>
      </w:r>
      <w:r w:rsidR="00BB367C">
        <w:t xml:space="preserve">The </w:t>
      </w:r>
      <w:r w:rsidR="00F15D6E" w:rsidRPr="00CF03E8">
        <w:t>COVID</w:t>
      </w:r>
      <w:r w:rsidR="00BB367C">
        <w:t>-19 pandemic</w:t>
      </w:r>
      <w:r w:rsidR="00F15D6E" w:rsidRPr="00CF03E8">
        <w:t xml:space="preserve"> </w:t>
      </w:r>
      <w:r w:rsidR="009C7FC4" w:rsidRPr="00CF03E8">
        <w:t xml:space="preserve">was noted as </w:t>
      </w:r>
      <w:r w:rsidR="00F15D6E" w:rsidRPr="00CF03E8">
        <w:t>an enormous barrier,</w:t>
      </w:r>
      <w:r w:rsidR="009C7FC4" w:rsidRPr="00CF03E8">
        <w:t xml:space="preserve"> which was</w:t>
      </w:r>
      <w:r w:rsidR="00F15D6E" w:rsidRPr="00CF03E8">
        <w:t xml:space="preserve"> a theme</w:t>
      </w:r>
      <w:r w:rsidR="009C7FC4" w:rsidRPr="00CF03E8">
        <w:t xml:space="preserve"> also reported by </w:t>
      </w:r>
      <w:r w:rsidR="00F15D6E" w:rsidRPr="00CF03E8">
        <w:t>organisations</w:t>
      </w:r>
      <w:r w:rsidR="009C7FC4" w:rsidRPr="00CF03E8">
        <w:t xml:space="preserve"> yet to commence</w:t>
      </w:r>
      <w:r w:rsidR="00F15D6E" w:rsidRPr="00CF03E8">
        <w:t xml:space="preserve"> GIA.</w:t>
      </w:r>
    </w:p>
    <w:p w14:paraId="5AA89E66" w14:textId="715ED65E" w:rsidR="009262F5" w:rsidRDefault="00A170F7" w:rsidP="00C26DBB">
      <w:pPr>
        <w:pStyle w:val="Quote"/>
        <w:rPr>
          <w:shd w:val="clear" w:color="auto" w:fill="FFFFFF"/>
        </w:rPr>
      </w:pPr>
      <w:r>
        <w:rPr>
          <w:shd w:val="clear" w:color="auto" w:fill="FFFFFF"/>
        </w:rPr>
        <w:t>We are a very small health service with no resources to do this</w:t>
      </w:r>
      <w:r w:rsidR="009C7FC4">
        <w:rPr>
          <w:shd w:val="clear" w:color="auto" w:fill="FFFFFF"/>
        </w:rPr>
        <w:t>.</w:t>
      </w:r>
    </w:p>
    <w:p w14:paraId="5B17E02D" w14:textId="782613A2" w:rsidR="00A170F7" w:rsidRDefault="007B318C" w:rsidP="00C26DBB">
      <w:pPr>
        <w:pStyle w:val="Quote"/>
        <w:rPr>
          <w:shd w:val="clear" w:color="auto" w:fill="FFFFFF"/>
        </w:rPr>
      </w:pPr>
      <w:r>
        <w:rPr>
          <w:shd w:val="clear" w:color="auto" w:fill="FFFFFF"/>
        </w:rPr>
        <w:t>Resourcing to ensure the requisite level of competency and knowledge has been developed and embedded into the organisation office holders and our BAU activities as well as adequate compliance and recording processes for both policy and programs have been put in place. We probably have particular barriers due to our size and structure as well as the fact that we service the entire Victorian population</w:t>
      </w:r>
      <w:r w:rsidR="00451B05">
        <w:rPr>
          <w:shd w:val="clear" w:color="auto" w:fill="FFFFFF"/>
        </w:rPr>
        <w:t>…</w:t>
      </w:r>
      <w:r>
        <w:rPr>
          <w:shd w:val="clear" w:color="auto" w:fill="FFFFFF"/>
        </w:rPr>
        <w:t xml:space="preserve"> </w:t>
      </w:r>
      <w:r w:rsidR="00451B05">
        <w:rPr>
          <w:shd w:val="clear" w:color="auto" w:fill="FFFFFF"/>
        </w:rPr>
        <w:t>T</w:t>
      </w:r>
      <w:r>
        <w:rPr>
          <w:shd w:val="clear" w:color="auto" w:fill="FFFFFF"/>
        </w:rPr>
        <w:t>he only way to really progress gender equality and like anything new, will just take time and patience to fully realise the goals</w:t>
      </w:r>
      <w:r w:rsidR="00451B05">
        <w:rPr>
          <w:shd w:val="clear" w:color="auto" w:fill="FFFFFF"/>
        </w:rPr>
        <w:t>.</w:t>
      </w:r>
    </w:p>
    <w:p w14:paraId="0EE1646D" w14:textId="1C82F280" w:rsidR="007B318C" w:rsidRDefault="007B318C" w:rsidP="00C26DBB">
      <w:pPr>
        <w:pStyle w:val="Quote"/>
        <w:rPr>
          <w:shd w:val="clear" w:color="auto" w:fill="FFFFFF"/>
        </w:rPr>
      </w:pPr>
      <w:r>
        <w:rPr>
          <w:shd w:val="clear" w:color="auto" w:fill="FFFFFF"/>
        </w:rPr>
        <w:t>As we are a small organisation, resourcing and finding the capacity to undertake the project is difficult</w:t>
      </w:r>
      <w:r w:rsidR="00451B05">
        <w:rPr>
          <w:shd w:val="clear" w:color="auto" w:fill="FFFFFF"/>
        </w:rPr>
        <w:t>.</w:t>
      </w:r>
    </w:p>
    <w:p w14:paraId="02A33451" w14:textId="52F0903B" w:rsidR="007B318C" w:rsidRDefault="007B318C" w:rsidP="00C26DBB">
      <w:pPr>
        <w:pStyle w:val="Quote"/>
        <w:rPr>
          <w:shd w:val="clear" w:color="auto" w:fill="FFFFFF"/>
        </w:rPr>
      </w:pPr>
      <w:r>
        <w:rPr>
          <w:shd w:val="clear" w:color="auto" w:fill="FFFFFF"/>
        </w:rPr>
        <w:t>Resourcing and time to develop internal processes and educate staff.</w:t>
      </w:r>
    </w:p>
    <w:p w14:paraId="3C3714BA" w14:textId="776BFB24" w:rsidR="00F15D6E" w:rsidRDefault="00F15D6E" w:rsidP="00C26DBB">
      <w:pPr>
        <w:pStyle w:val="Quote"/>
        <w:rPr>
          <w:shd w:val="clear" w:color="auto" w:fill="FFFFFF"/>
        </w:rPr>
      </w:pPr>
      <w:r>
        <w:rPr>
          <w:shd w:val="clear" w:color="auto" w:fill="FFFFFF"/>
        </w:rPr>
        <w:t>Financial resources - money is tight across the organisation, and the Gender Equality Act implementation/monitoring/ongoing impacts requires a huge amount of input that we do not have the resources for. We do not necessarily have budget to put on more people, or to utilise the panel of providers to assist in this process. The expectations are considerable, and pressure put on organisations to make it work with limited resources is daunting</w:t>
      </w:r>
      <w:r w:rsidR="00451B05">
        <w:rPr>
          <w:shd w:val="clear" w:color="auto" w:fill="FFFFFF"/>
        </w:rPr>
        <w:t>.</w:t>
      </w:r>
    </w:p>
    <w:p w14:paraId="3B828496" w14:textId="24FD1A5C" w:rsidR="00C26DBB" w:rsidRDefault="00C26DBB" w:rsidP="00C26DBB">
      <w:pPr>
        <w:pStyle w:val="Quote"/>
        <w:rPr>
          <w:shd w:val="clear" w:color="auto" w:fill="FFFFFF"/>
        </w:rPr>
      </w:pPr>
      <w:r>
        <w:rPr>
          <w:shd w:val="clear" w:color="auto" w:fill="FFFFFF"/>
        </w:rPr>
        <w:t>Currently managing workloads with reduced staff due to the impact of Covid</w:t>
      </w:r>
      <w:r w:rsidR="00451B05">
        <w:rPr>
          <w:shd w:val="clear" w:color="auto" w:fill="FFFFFF"/>
        </w:rPr>
        <w:t>.</w:t>
      </w:r>
    </w:p>
    <w:p w14:paraId="1195CAD9" w14:textId="147AF1B7" w:rsidR="00C26DBB" w:rsidRDefault="00C26DBB" w:rsidP="00C26DBB">
      <w:pPr>
        <w:pStyle w:val="Quote"/>
        <w:rPr>
          <w:shd w:val="clear" w:color="auto" w:fill="FFFFFF"/>
        </w:rPr>
      </w:pPr>
      <w:r>
        <w:rPr>
          <w:shd w:val="clear" w:color="auto" w:fill="FFFFFF"/>
        </w:rPr>
        <w:lastRenderedPageBreak/>
        <w:t xml:space="preserve">Pandemic and workload that results in </w:t>
      </w:r>
      <w:r w:rsidR="00451B05">
        <w:rPr>
          <w:shd w:val="clear" w:color="auto" w:fill="FFFFFF"/>
        </w:rPr>
        <w:t>h</w:t>
      </w:r>
      <w:r>
        <w:rPr>
          <w:shd w:val="clear" w:color="auto" w:fill="FFFFFF"/>
        </w:rPr>
        <w:t>ealth</w:t>
      </w:r>
      <w:r w:rsidR="00451B05">
        <w:rPr>
          <w:shd w:val="clear" w:color="auto" w:fill="FFFFFF"/>
        </w:rPr>
        <w:t xml:space="preserve">… </w:t>
      </w:r>
      <w:r>
        <w:rPr>
          <w:shd w:val="clear" w:color="auto" w:fill="FFFFFF"/>
        </w:rPr>
        <w:t>Small rural health services don't have staff appointed to do this work, there is an expectation that this is absorbed into day-to-day workload which is already overwhelming plus Covid.</w:t>
      </w:r>
    </w:p>
    <w:p w14:paraId="21DFA2A4" w14:textId="42CE6854" w:rsidR="00C26DBB" w:rsidRPr="00073D3C" w:rsidRDefault="00C26DBB" w:rsidP="00C26DBB">
      <w:pPr>
        <w:pStyle w:val="Quote"/>
        <w:rPr>
          <w:shd w:val="clear" w:color="auto" w:fill="FFFFFF"/>
        </w:rPr>
      </w:pPr>
      <w:r w:rsidRPr="00073D3C">
        <w:rPr>
          <w:shd w:val="clear" w:color="auto" w:fill="FFFFFF"/>
        </w:rPr>
        <w:t>Much of what needs to happen is resource intensive or systemic change. Challenging social norms is difficult as is changing the way we do our business. Everyone is so time poor and just trying to get the job done, that anything beyond that is not critical business.</w:t>
      </w:r>
    </w:p>
    <w:p w14:paraId="5406CBAF" w14:textId="366377D7" w:rsidR="0045061D" w:rsidRPr="00073D3C" w:rsidRDefault="0045061D" w:rsidP="0045061D">
      <w:pPr>
        <w:pStyle w:val="Quote"/>
        <w:rPr>
          <w:shd w:val="clear" w:color="auto" w:fill="FFFFFF"/>
        </w:rPr>
      </w:pPr>
      <w:r w:rsidRPr="00073D3C">
        <w:rPr>
          <w:shd w:val="clear" w:color="auto" w:fill="FFFFFF"/>
        </w:rPr>
        <w:t>Lack of staff capacity to undertake the size of implementing the GIA process. Funding for additional staff and hours would be beneficial to progress the requirement.</w:t>
      </w:r>
    </w:p>
    <w:p w14:paraId="025D1D75" w14:textId="5ECA889C" w:rsidR="00303315" w:rsidRPr="00075B78" w:rsidRDefault="00073D3C" w:rsidP="00075B78">
      <w:pPr>
        <w:pStyle w:val="Quote"/>
        <w:rPr>
          <w:shd w:val="clear" w:color="auto" w:fill="FFFFFF"/>
        </w:rPr>
      </w:pPr>
      <w:r w:rsidRPr="00073D3C">
        <w:rPr>
          <w:shd w:val="clear" w:color="auto" w:fill="FFFFFF"/>
        </w:rPr>
        <w:t>Time and resource constraints - linked to covid, rate-capping and lack of understanding from leadership of the need to apply a GIA early but also allow the time for a GIA to be undertaken - and that this can be an iterative process for big projects - which will have an impact in terms of timelines (but a much better and more robust outcome in the end).</w:t>
      </w:r>
    </w:p>
    <w:p w14:paraId="1AFCBF4F" w14:textId="7ADD5E97" w:rsidR="00073D3C" w:rsidRDefault="002E7A3F" w:rsidP="00073D3C">
      <w:pPr>
        <w:pStyle w:val="Heading1"/>
      </w:pPr>
      <w:bookmarkStart w:id="11" w:name="_Toc96348278"/>
      <w:r w:rsidRPr="0098589D">
        <w:t xml:space="preserve">Questions for </w:t>
      </w:r>
      <w:r w:rsidRPr="007B3B0E">
        <w:t>d</w:t>
      </w:r>
      <w:r w:rsidRPr="0098589D">
        <w:t xml:space="preserve">efined </w:t>
      </w:r>
      <w:r w:rsidRPr="007B3B0E">
        <w:t>e</w:t>
      </w:r>
      <w:r w:rsidRPr="0098589D">
        <w:t>ntit</w:t>
      </w:r>
      <w:r w:rsidRPr="007B3B0E">
        <w:t>ies</w:t>
      </w:r>
      <w:r w:rsidRPr="0098589D">
        <w:t xml:space="preserve"> </w:t>
      </w:r>
      <w:r>
        <w:t>who have n</w:t>
      </w:r>
      <w:r w:rsidR="00073D3C">
        <w:t>ot commenced GIA</w:t>
      </w:r>
      <w:bookmarkEnd w:id="11"/>
    </w:p>
    <w:p w14:paraId="0E26735F" w14:textId="421F4999" w:rsidR="00223EBF" w:rsidRPr="0098589D" w:rsidRDefault="00223EBF" w:rsidP="00223EBF">
      <w:r w:rsidRPr="007B3B0E">
        <w:t>The survey asked s</w:t>
      </w:r>
      <w:r w:rsidRPr="0098589D">
        <w:t>pecific questions</w:t>
      </w:r>
      <w:r w:rsidRPr="007B3B0E">
        <w:t xml:space="preserve"> of practitioners </w:t>
      </w:r>
      <w:r w:rsidRPr="0098589D">
        <w:t xml:space="preserve">from defined entities </w:t>
      </w:r>
      <w:r>
        <w:t xml:space="preserve">who </w:t>
      </w:r>
      <w:r w:rsidR="002E2A01">
        <w:t>are</w:t>
      </w:r>
      <w:r>
        <w:t xml:space="preserve"> yet </w:t>
      </w:r>
      <w:r w:rsidR="002E2A01">
        <w:t xml:space="preserve">to </w:t>
      </w:r>
      <w:r>
        <w:t xml:space="preserve">commence </w:t>
      </w:r>
      <w:r w:rsidRPr="0098589D">
        <w:t>GIA</w:t>
      </w:r>
      <w:r w:rsidR="00F30378">
        <w:t xml:space="preserve"> work</w:t>
      </w:r>
      <w:r w:rsidRPr="0098589D">
        <w:t xml:space="preserve">. </w:t>
      </w:r>
      <w:r w:rsidRPr="007B3B0E">
        <w:t>This part of the report details their survey responses.</w:t>
      </w:r>
    </w:p>
    <w:p w14:paraId="161A7416" w14:textId="16648DC1" w:rsidR="00F65831" w:rsidRDefault="00F65831" w:rsidP="00F65831">
      <w:r>
        <w:t>Of those respondents that had not started GIA (n=53)</w:t>
      </w:r>
      <w:r w:rsidR="00223EBF">
        <w:t>, 62 per cent (n=33)</w:t>
      </w:r>
      <w:r>
        <w:t xml:space="preserve"> stated that </w:t>
      </w:r>
      <w:r w:rsidR="00223EBF">
        <w:t xml:space="preserve">their organisation </w:t>
      </w:r>
      <w:r>
        <w:t>intended to start</w:t>
      </w:r>
      <w:r w:rsidR="00223EBF">
        <w:t xml:space="preserve"> a GIA</w:t>
      </w:r>
      <w:r>
        <w:t xml:space="preserve"> in the next 6 months.</w:t>
      </w:r>
      <w:r w:rsidR="00223EBF" w:rsidRPr="00223EBF">
        <w:t xml:space="preserve"> </w:t>
      </w:r>
    </w:p>
    <w:p w14:paraId="0FE422B9" w14:textId="77777777" w:rsidR="00F65831" w:rsidRDefault="00F65831" w:rsidP="006B75D8">
      <w:pPr>
        <w:jc w:val="center"/>
      </w:pPr>
      <w:r>
        <w:rPr>
          <w:noProof/>
        </w:rPr>
        <w:drawing>
          <wp:inline distT="0" distB="0" distL="0" distR="0" wp14:anchorId="3DEBDB30" wp14:editId="5D83F4A6">
            <wp:extent cx="5007610" cy="3016250"/>
            <wp:effectExtent l="0" t="0" r="2540" b="12700"/>
            <wp:docPr id="6" name="Chart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14C58F" w14:textId="0B4FA4C8" w:rsidR="00F65831" w:rsidRDefault="00F65831" w:rsidP="00F65831">
      <w:pPr>
        <w:pStyle w:val="Caption"/>
      </w:pPr>
      <w:r w:rsidRPr="00CF03E8">
        <w:t xml:space="preserve">Figure </w:t>
      </w:r>
      <w:r w:rsidR="00CF03E8" w:rsidRPr="00CF03E8">
        <w:t>6</w:t>
      </w:r>
      <w:r w:rsidRPr="00CF03E8">
        <w:t xml:space="preserve"> Anticipate starting a GIA in next 6 to 12 months?</w:t>
      </w:r>
    </w:p>
    <w:p w14:paraId="2F5FF8FC" w14:textId="17357530" w:rsidR="00966092" w:rsidRPr="00E019BB" w:rsidRDefault="00E019BB" w:rsidP="00E019BB">
      <w:r>
        <w:t>Practitioners were</w:t>
      </w:r>
      <w:r w:rsidRPr="00E019BB">
        <w:t xml:space="preserve"> asked</w:t>
      </w:r>
      <w:r w:rsidR="00F30378">
        <w:t>,</w:t>
      </w:r>
      <w:r w:rsidRPr="00E019BB">
        <w:t xml:space="preserve"> “</w:t>
      </w:r>
      <w:r w:rsidR="00F30378">
        <w:t>W</w:t>
      </w:r>
      <w:r w:rsidRPr="006B75D8">
        <w:t>hy have you not commenced a GIA yet</w:t>
      </w:r>
      <w:r w:rsidR="00F30378">
        <w:t>?</w:t>
      </w:r>
      <w:r w:rsidRPr="006B75D8">
        <w:t>”</w:t>
      </w:r>
      <w:r w:rsidRPr="00E019BB">
        <w:t xml:space="preserve"> </w:t>
      </w:r>
      <w:r>
        <w:t>The major</w:t>
      </w:r>
      <w:r w:rsidR="009F6B61">
        <w:t>ity</w:t>
      </w:r>
      <w:r>
        <w:t xml:space="preserve"> of respondents</w:t>
      </w:r>
      <w:r w:rsidR="00C0383C">
        <w:t>,</w:t>
      </w:r>
      <w:r>
        <w:t xml:space="preserve"> at 28 per cent (n=15)</w:t>
      </w:r>
      <w:r w:rsidR="00C0383C">
        <w:t>,</w:t>
      </w:r>
      <w:r>
        <w:t xml:space="preserve"> reported that the</w:t>
      </w:r>
      <w:r w:rsidR="00C0383C">
        <w:t xml:space="preserve">ir organisation </w:t>
      </w:r>
      <w:r w:rsidR="00223EBF" w:rsidRPr="006B75D8">
        <w:t>had not commenced</w:t>
      </w:r>
      <w:r w:rsidR="00966092" w:rsidRPr="00E019BB">
        <w:t xml:space="preserve"> </w:t>
      </w:r>
      <w:r>
        <w:t xml:space="preserve">GIA </w:t>
      </w:r>
      <w:r w:rsidR="00223EBF" w:rsidRPr="00E019BB">
        <w:t>due to</w:t>
      </w:r>
      <w:r w:rsidR="00966092" w:rsidRPr="00E019BB">
        <w:t xml:space="preserve"> </w:t>
      </w:r>
      <w:r w:rsidR="00C0383C">
        <w:t>a</w:t>
      </w:r>
      <w:r w:rsidR="00966092" w:rsidRPr="00E019BB">
        <w:t xml:space="preserve"> focus on completing </w:t>
      </w:r>
      <w:r w:rsidR="00223EBF" w:rsidRPr="00E019BB">
        <w:t xml:space="preserve">the </w:t>
      </w:r>
      <w:r w:rsidR="00BB367C">
        <w:t>GEAP</w:t>
      </w:r>
      <w:r w:rsidR="00966092" w:rsidRPr="00E019BB">
        <w:t>.</w:t>
      </w:r>
      <w:r w:rsidR="00B431F0" w:rsidRPr="00E019BB">
        <w:t xml:space="preserve"> Th</w:t>
      </w:r>
      <w:r>
        <w:t xml:space="preserve">e </w:t>
      </w:r>
      <w:r w:rsidR="00B431F0" w:rsidRPr="00E019BB">
        <w:t>decision</w:t>
      </w:r>
      <w:r w:rsidR="00223EBF" w:rsidRPr="00E019BB">
        <w:t xml:space="preserve"> regarding organisational</w:t>
      </w:r>
      <w:r w:rsidR="00B431F0" w:rsidRPr="00E019BB">
        <w:t xml:space="preserve"> priorities</w:t>
      </w:r>
      <w:r w:rsidR="00C0383C">
        <w:t xml:space="preserve"> was also</w:t>
      </w:r>
      <w:r w:rsidR="00223EBF" w:rsidRPr="00E019BB">
        <w:t xml:space="preserve"> driven by </w:t>
      </w:r>
      <w:r w:rsidR="00B431F0" w:rsidRPr="00E019BB">
        <w:t xml:space="preserve">limited </w:t>
      </w:r>
      <w:r w:rsidR="00B431F0" w:rsidRPr="00E019BB">
        <w:lastRenderedPageBreak/>
        <w:t xml:space="preserve">resources and time </w:t>
      </w:r>
      <w:r w:rsidR="001D1997">
        <w:t xml:space="preserve">(n=9) </w:t>
      </w:r>
      <w:r w:rsidR="00F01220">
        <w:t xml:space="preserve">and </w:t>
      </w:r>
      <w:r w:rsidR="00C0383C">
        <w:t xml:space="preserve">the impacts of </w:t>
      </w:r>
      <w:r w:rsidR="00BB367C">
        <w:t xml:space="preserve">the </w:t>
      </w:r>
      <w:r w:rsidR="00F01220">
        <w:t>COVID-19</w:t>
      </w:r>
      <w:r w:rsidR="00BB367C">
        <w:t xml:space="preserve"> pandemic</w:t>
      </w:r>
      <w:r w:rsidR="001D1997">
        <w:t xml:space="preserve"> (n=4). This</w:t>
      </w:r>
      <w:r w:rsidR="00C0383C">
        <w:t xml:space="preserve"> wa</w:t>
      </w:r>
      <w:r w:rsidR="00F01220">
        <w:t xml:space="preserve">s </w:t>
      </w:r>
      <w:r w:rsidR="00B431F0" w:rsidRPr="00E019BB">
        <w:t>a barrier</w:t>
      </w:r>
      <w:r w:rsidR="00C0383C">
        <w:t xml:space="preserve"> also</w:t>
      </w:r>
      <w:r w:rsidR="00B431F0" w:rsidRPr="00E019BB">
        <w:t xml:space="preserve"> raised </w:t>
      </w:r>
      <w:r w:rsidR="00223EBF" w:rsidRPr="00E019BB">
        <w:t>by</w:t>
      </w:r>
      <w:r w:rsidR="00B431F0" w:rsidRPr="00E019BB">
        <w:t xml:space="preserve"> organisations </w:t>
      </w:r>
      <w:r w:rsidR="00223EBF" w:rsidRPr="00E019BB">
        <w:t>completing</w:t>
      </w:r>
      <w:r w:rsidR="00B431F0" w:rsidRPr="00E019BB">
        <w:t xml:space="preserve"> GIA</w:t>
      </w:r>
      <w:r w:rsidR="006A4B1A">
        <w:t>s</w:t>
      </w:r>
      <w:r w:rsidR="00B431F0" w:rsidRPr="00E019BB">
        <w:t>.</w:t>
      </w:r>
    </w:p>
    <w:p w14:paraId="0250AA28" w14:textId="77777777" w:rsidR="001D1997" w:rsidRPr="00A27AD0" w:rsidRDefault="001D1997" w:rsidP="001D1997">
      <w:pPr>
        <w:pStyle w:val="Quote"/>
        <w:rPr>
          <w:shd w:val="clear" w:color="auto" w:fill="FFFFFF"/>
        </w:rPr>
      </w:pPr>
      <w:r w:rsidRPr="00F07550">
        <w:rPr>
          <w:shd w:val="clear" w:color="auto" w:fill="FFFFFF"/>
        </w:rPr>
        <w:t>Focussed on WGA and </w:t>
      </w:r>
      <w:r w:rsidRPr="00A27AD0">
        <w:rPr>
          <w:shd w:val="clear" w:color="auto" w:fill="FFFFFF"/>
        </w:rPr>
        <w:t>GEAP</w:t>
      </w:r>
      <w:r>
        <w:rPr>
          <w:shd w:val="clear" w:color="auto" w:fill="FFFFFF"/>
        </w:rPr>
        <w:t>.</w:t>
      </w:r>
    </w:p>
    <w:p w14:paraId="428BF995" w14:textId="77777777" w:rsidR="007E551D" w:rsidRDefault="00B431F0" w:rsidP="007E551D">
      <w:pPr>
        <w:pStyle w:val="Quote"/>
        <w:rPr>
          <w:shd w:val="clear" w:color="auto" w:fill="FFFFFF"/>
        </w:rPr>
      </w:pPr>
      <w:r w:rsidRPr="00F07550">
        <w:rPr>
          <w:shd w:val="clear" w:color="auto" w:fill="FFFFFF"/>
        </w:rPr>
        <w:t>We have been focusing on the data audit and now comple</w:t>
      </w:r>
      <w:r w:rsidRPr="00AB51CF">
        <w:rPr>
          <w:shd w:val="clear" w:color="auto" w:fill="FFFFFF"/>
        </w:rPr>
        <w:t>ting the </w:t>
      </w:r>
      <w:r w:rsidRPr="00A27AD0">
        <w:rPr>
          <w:shd w:val="clear" w:color="auto" w:fill="FFFFFF"/>
        </w:rPr>
        <w:t>GEAP</w:t>
      </w:r>
      <w:r w:rsidRPr="00F07550">
        <w:rPr>
          <w:shd w:val="clear" w:color="auto" w:fill="FFFFFF"/>
        </w:rPr>
        <w:t> before commencing</w:t>
      </w:r>
      <w:r w:rsidR="00223EBF">
        <w:rPr>
          <w:shd w:val="clear" w:color="auto" w:fill="FFFFFF"/>
        </w:rPr>
        <w:t>.</w:t>
      </w:r>
      <w:r w:rsidR="007E551D" w:rsidRPr="007E551D">
        <w:rPr>
          <w:shd w:val="clear" w:color="auto" w:fill="FFFFFF"/>
        </w:rPr>
        <w:t xml:space="preserve"> </w:t>
      </w:r>
    </w:p>
    <w:p w14:paraId="7D3F2345" w14:textId="588B5C59" w:rsidR="00B431F0" w:rsidRPr="00F07550" w:rsidRDefault="007E551D" w:rsidP="007E551D">
      <w:pPr>
        <w:pStyle w:val="Quote"/>
        <w:rPr>
          <w:shd w:val="clear" w:color="auto" w:fill="FFFFFF"/>
        </w:rPr>
      </w:pPr>
      <w:r w:rsidRPr="00A27AD0">
        <w:rPr>
          <w:shd w:val="clear" w:color="auto" w:fill="FFFFFF"/>
        </w:rPr>
        <w:t>Limited EFT for delivery of the project. Currently working on GEAP.</w:t>
      </w:r>
    </w:p>
    <w:p w14:paraId="7CDADE67" w14:textId="25C35BFB" w:rsidR="0051022E" w:rsidRPr="00F07550" w:rsidRDefault="0051022E" w:rsidP="00F07550">
      <w:pPr>
        <w:pStyle w:val="Quote"/>
        <w:rPr>
          <w:shd w:val="clear" w:color="auto" w:fill="FFFFFF"/>
        </w:rPr>
      </w:pPr>
      <w:r w:rsidRPr="00F07550">
        <w:rPr>
          <w:shd w:val="clear" w:color="auto" w:fill="FFFFFF"/>
        </w:rPr>
        <w:t>Because of the time and effort it has taken to complete the audit and upcoming </w:t>
      </w:r>
      <w:r w:rsidRPr="00A27AD0">
        <w:rPr>
          <w:shd w:val="clear" w:color="auto" w:fill="FFFFFF"/>
        </w:rPr>
        <w:t>GEAP</w:t>
      </w:r>
      <w:r w:rsidRPr="00F07550">
        <w:rPr>
          <w:shd w:val="clear" w:color="auto" w:fill="FFFFFF"/>
        </w:rPr>
        <w:t> submission. We do not have a dedicated team for this and it has to be absorbed into BAU roles which has been incredibly challenging.</w:t>
      </w:r>
    </w:p>
    <w:p w14:paraId="60D10A4E" w14:textId="6C5D5B73" w:rsidR="00F07550" w:rsidRDefault="00F07550" w:rsidP="00E24CE7">
      <w:pPr>
        <w:pStyle w:val="Quote"/>
        <w:rPr>
          <w:shd w:val="clear" w:color="auto" w:fill="FFFFFF"/>
        </w:rPr>
      </w:pPr>
      <w:r w:rsidRPr="00F07550">
        <w:rPr>
          <w:shd w:val="clear" w:color="auto" w:fill="FFFFFF"/>
        </w:rPr>
        <w:t>Main focus is on completing </w:t>
      </w:r>
      <w:r w:rsidRPr="00A27AD0">
        <w:rPr>
          <w:shd w:val="clear" w:color="auto" w:fill="FFFFFF"/>
        </w:rPr>
        <w:t>GEAP</w:t>
      </w:r>
      <w:r w:rsidRPr="00F07550">
        <w:rPr>
          <w:shd w:val="clear" w:color="auto" w:fill="FFFFFF"/>
        </w:rPr>
        <w:t> for the upcoming deadline and providing training and resources to employees and organisational champions to prepare them to carry out a GIA. We are also not at the stage where we have not yet prioritised which policies programs and services should have a GIA.</w:t>
      </w:r>
    </w:p>
    <w:p w14:paraId="4E736E87" w14:textId="1049E6F4" w:rsidR="00E24CE7" w:rsidRPr="00A27AD0" w:rsidRDefault="00E24CE7" w:rsidP="00E24CE7">
      <w:pPr>
        <w:pStyle w:val="Quote"/>
        <w:rPr>
          <w:shd w:val="clear" w:color="auto" w:fill="FFFFFF"/>
        </w:rPr>
      </w:pPr>
      <w:r w:rsidRPr="00A27AD0">
        <w:rPr>
          <w:shd w:val="clear" w:color="auto" w:fill="FFFFFF"/>
        </w:rPr>
        <w:t> Small organisation with limited resources/capacity to absorb an additional requirement in an operating environment heavily impacted by COVID. Focus on GEAP then GIA training to commence</w:t>
      </w:r>
      <w:r w:rsidR="00223EBF">
        <w:rPr>
          <w:shd w:val="clear" w:color="auto" w:fill="FFFFFF"/>
        </w:rPr>
        <w:t>.</w:t>
      </w:r>
    </w:p>
    <w:p w14:paraId="6EEDD978" w14:textId="41790E4C" w:rsidR="00EC489A" w:rsidRDefault="00E24CE7" w:rsidP="006B75D8">
      <w:pPr>
        <w:pStyle w:val="Quote"/>
      </w:pPr>
      <w:r w:rsidRPr="00A27AD0">
        <w:rPr>
          <w:shd w:val="clear" w:color="auto" w:fill="FFFFFF"/>
        </w:rPr>
        <w:t>All available resources have been directed to meeting our obligations relating to the development of our GEAP. We intend to commence a GIA once these activities have been completed.</w:t>
      </w:r>
    </w:p>
    <w:p w14:paraId="458C6BBB" w14:textId="632DD610" w:rsidR="00771209" w:rsidRDefault="007E551D" w:rsidP="007E551D">
      <w:r>
        <w:t xml:space="preserve">Practitioners were </w:t>
      </w:r>
      <w:r w:rsidR="00F65831">
        <w:t>asked</w:t>
      </w:r>
      <w:r w:rsidR="006A4B1A">
        <w:t>,</w:t>
      </w:r>
      <w:r w:rsidR="00F65831">
        <w:t xml:space="preserve"> </w:t>
      </w:r>
      <w:r>
        <w:t>“</w:t>
      </w:r>
      <w:r w:rsidR="006A4B1A">
        <w:t>W</w:t>
      </w:r>
      <w:r w:rsidR="00F65831">
        <w:t>hat support</w:t>
      </w:r>
      <w:r>
        <w:t xml:space="preserve"> do you need to commence a GIA in your organisation</w:t>
      </w:r>
      <w:r w:rsidR="006A4B1A">
        <w:t>?</w:t>
      </w:r>
      <w:r>
        <w:t>” The top three</w:t>
      </w:r>
      <w:r w:rsidR="006261DE">
        <w:t xml:space="preserve"> support needs identified by practitioners who</w:t>
      </w:r>
      <w:r w:rsidR="001D7FF1">
        <w:t>se</w:t>
      </w:r>
      <w:r w:rsidR="006261DE">
        <w:t xml:space="preserve"> organisations were yet to commence GIA</w:t>
      </w:r>
      <w:r w:rsidR="006A4B1A">
        <w:t>s</w:t>
      </w:r>
      <w:r w:rsidR="006261DE">
        <w:t xml:space="preserve"> </w:t>
      </w:r>
      <w:r>
        <w:t>were:</w:t>
      </w:r>
    </w:p>
    <w:p w14:paraId="16982A34" w14:textId="228FEC58" w:rsidR="007E551D" w:rsidRDefault="007E551D" w:rsidP="007E551D">
      <w:pPr>
        <w:pStyle w:val="ListParagraph"/>
        <w:numPr>
          <w:ilvl w:val="0"/>
          <w:numId w:val="38"/>
        </w:numPr>
      </w:pPr>
      <w:r>
        <w:t>73 per cent reported “more time – I just don’t have enough of it”</w:t>
      </w:r>
    </w:p>
    <w:p w14:paraId="38D3C216" w14:textId="066AB8ED" w:rsidR="00EC489A" w:rsidRDefault="006261DE" w:rsidP="007E551D">
      <w:pPr>
        <w:pStyle w:val="ListParagraph"/>
        <w:numPr>
          <w:ilvl w:val="0"/>
          <w:numId w:val="38"/>
        </w:numPr>
      </w:pPr>
      <w:r>
        <w:t>73 per cent reported “training – 1 to 2 hours short sessions on the process focussing on each stage”</w:t>
      </w:r>
    </w:p>
    <w:p w14:paraId="1E8BA9C8" w14:textId="707A0CA2" w:rsidR="006261DE" w:rsidRDefault="006261DE" w:rsidP="007E551D">
      <w:pPr>
        <w:pStyle w:val="ListParagraph"/>
        <w:numPr>
          <w:ilvl w:val="0"/>
          <w:numId w:val="38"/>
        </w:numPr>
      </w:pPr>
      <w:r>
        <w:t xml:space="preserve">69 per cent </w:t>
      </w:r>
      <w:r w:rsidR="001D7FF1">
        <w:t>reported “case studies on how a GIA is done”</w:t>
      </w:r>
      <w:r w:rsidR="006A4B1A">
        <w:t>.</w:t>
      </w:r>
    </w:p>
    <w:p w14:paraId="44FBBFE3" w14:textId="30A01CF4" w:rsidR="005E6805" w:rsidRDefault="005E6805"/>
    <w:p w14:paraId="4509EDCB" w14:textId="4E484F52" w:rsidR="004E4BEB" w:rsidRDefault="005E6805">
      <w:r>
        <w:rPr>
          <w:noProof/>
        </w:rPr>
        <w:lastRenderedPageBreak/>
        <w:drawing>
          <wp:inline distT="0" distB="0" distL="0" distR="0" wp14:anchorId="4717D67A" wp14:editId="7BE72F3D">
            <wp:extent cx="5731510" cy="5276850"/>
            <wp:effectExtent l="0" t="0" r="2540" b="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771072" w14:textId="5A14E5BF" w:rsidR="00821518" w:rsidRDefault="00821518" w:rsidP="00821518">
      <w:pPr>
        <w:pStyle w:val="Caption"/>
      </w:pPr>
      <w:r w:rsidRPr="00CF03E8">
        <w:t xml:space="preserve">Figure </w:t>
      </w:r>
      <w:r w:rsidR="00CF03E8" w:rsidRPr="00CF03E8">
        <w:t>7</w:t>
      </w:r>
      <w:r w:rsidRPr="00CF03E8">
        <w:t xml:space="preserve"> What support do you need to commence your GIA?</w:t>
      </w:r>
    </w:p>
    <w:p w14:paraId="2D008058" w14:textId="1BBAEE56" w:rsidR="005D4911" w:rsidRDefault="00555D15" w:rsidP="005D4911">
      <w:r>
        <w:t>Fifteen practitioners provided a qualitative response to the question regarding what support their organisations needed to commence GIA</w:t>
      </w:r>
      <w:r w:rsidR="006A4B1A">
        <w:t xml:space="preserve"> work</w:t>
      </w:r>
      <w:r>
        <w:t xml:space="preserve">. </w:t>
      </w:r>
      <w:r w:rsidR="00C0383C">
        <w:t>Similar</w:t>
      </w:r>
      <w:r w:rsidR="00B327C9">
        <w:t xml:space="preserve"> to organisations </w:t>
      </w:r>
      <w:r w:rsidR="006A6A96">
        <w:t xml:space="preserve">who are </w:t>
      </w:r>
      <w:r w:rsidR="00B327C9">
        <w:t>completing GIA</w:t>
      </w:r>
      <w:r w:rsidR="006A4B1A">
        <w:t>s</w:t>
      </w:r>
      <w:r w:rsidR="00B327C9">
        <w:t xml:space="preserve">, </w:t>
      </w:r>
      <w:r w:rsidR="006A6A96">
        <w:t xml:space="preserve">organisations yet to commence </w:t>
      </w:r>
      <w:r w:rsidR="00C0383C">
        <w:t>reported</w:t>
      </w:r>
      <w:r w:rsidR="00063E89">
        <w:t xml:space="preserve"> </w:t>
      </w:r>
      <w:r w:rsidR="00C0383C">
        <w:t xml:space="preserve">that they </w:t>
      </w:r>
      <w:r w:rsidR="00063E89">
        <w:t xml:space="preserve">need </w:t>
      </w:r>
      <w:r w:rsidR="00B327C9">
        <w:t>access</w:t>
      </w:r>
      <w:r w:rsidR="00C0383C">
        <w:t xml:space="preserve"> to</w:t>
      </w:r>
      <w:r w:rsidR="006A6A96">
        <w:t xml:space="preserve"> </w:t>
      </w:r>
      <w:bookmarkStart w:id="12" w:name="_Hlk95655499"/>
      <w:r w:rsidR="00B327C9">
        <w:t>gender equality expert</w:t>
      </w:r>
      <w:r w:rsidR="006A6A96">
        <w:t xml:space="preserve">s </w:t>
      </w:r>
      <w:bookmarkEnd w:id="12"/>
      <w:r w:rsidR="006A6A96">
        <w:t>who c</w:t>
      </w:r>
      <w:r w:rsidR="00063E89">
        <w:t>an provide</w:t>
      </w:r>
      <w:r w:rsidR="006A6A96">
        <w:t xml:space="preserve"> </w:t>
      </w:r>
      <w:r w:rsidR="00063E89">
        <w:t>guidance on GIA</w:t>
      </w:r>
      <w:r w:rsidR="006A6A96">
        <w:t xml:space="preserve"> implementation</w:t>
      </w:r>
      <w:r>
        <w:t xml:space="preserve"> (n=5)</w:t>
      </w:r>
      <w:r w:rsidR="006A6A96">
        <w:t xml:space="preserve">.  </w:t>
      </w:r>
    </w:p>
    <w:p w14:paraId="4C9F3ECA" w14:textId="77777777" w:rsidR="005D4911" w:rsidRDefault="005D4911" w:rsidP="005D4911">
      <w:pPr>
        <w:pStyle w:val="Quote"/>
      </w:pPr>
      <w:r>
        <w:rPr>
          <w:shd w:val="clear" w:color="auto" w:fill="FFFFFF"/>
        </w:rPr>
        <w:t>A gender equality expert that can guide and lead GIAs when triggered is sorely missing.</w:t>
      </w:r>
    </w:p>
    <w:p w14:paraId="14389A5C" w14:textId="77777777" w:rsidR="005D4911" w:rsidRDefault="005D4911" w:rsidP="005D4911">
      <w:pPr>
        <w:pStyle w:val="Quote"/>
        <w:rPr>
          <w:shd w:val="clear" w:color="auto" w:fill="FFFFFF"/>
        </w:rPr>
      </w:pPr>
      <w:r>
        <w:rPr>
          <w:shd w:val="clear" w:color="auto" w:fill="FFFFFF"/>
        </w:rPr>
        <w:t>Not sure we need to do one. Would be good to be able to talk someone about that. We are to merge with three other defined entities within the year, which may mean we would have to review and change anything done.</w:t>
      </w:r>
    </w:p>
    <w:p w14:paraId="404E65CF" w14:textId="3ECC7FAA" w:rsidR="005D4911" w:rsidRPr="005D4911" w:rsidRDefault="005D4911" w:rsidP="006A6A96">
      <w:pPr>
        <w:pStyle w:val="Quote"/>
        <w:rPr>
          <w:sz w:val="16"/>
          <w:szCs w:val="16"/>
        </w:rPr>
      </w:pPr>
      <w:r>
        <w:rPr>
          <w:shd w:val="clear" w:color="auto" w:fill="FFFFFF"/>
        </w:rPr>
        <w:t xml:space="preserve">Someone that can answer basic questions that pop up during the course of a GIA </w:t>
      </w:r>
    </w:p>
    <w:p w14:paraId="647E222C" w14:textId="6D560C7E" w:rsidR="00555D15" w:rsidRPr="00555D15" w:rsidRDefault="00555D15">
      <w:r>
        <w:t>Sustainable t</w:t>
      </w:r>
      <w:r w:rsidRPr="00555D15">
        <w:t>raining was also noted as an important educational support and capacity need (n=5) to increase understanding</w:t>
      </w:r>
      <w:r w:rsidR="00C0383C">
        <w:t>s of how to</w:t>
      </w:r>
      <w:r>
        <w:t xml:space="preserve"> implement</w:t>
      </w:r>
      <w:r w:rsidRPr="00555D15">
        <w:t xml:space="preserve"> GIA</w:t>
      </w:r>
      <w:r w:rsidR="006A4B1A">
        <w:t>s</w:t>
      </w:r>
      <w:r w:rsidRPr="00555D15">
        <w:t xml:space="preserve">.  </w:t>
      </w:r>
    </w:p>
    <w:p w14:paraId="105AB63E" w14:textId="1A1F29FA" w:rsidR="00A42216" w:rsidRPr="009B62ED" w:rsidRDefault="00560FF1" w:rsidP="00560FF1">
      <w:pPr>
        <w:pStyle w:val="Quote"/>
      </w:pPr>
      <w:r w:rsidRPr="009B62ED">
        <w:rPr>
          <w:shd w:val="clear" w:color="auto" w:fill="FFFFFF"/>
        </w:rPr>
        <w:lastRenderedPageBreak/>
        <w:t>Having a model of training using external consultants and providers is a barrier, because that requires me to have budget to access. It would be better to take a train</w:t>
      </w:r>
      <w:r w:rsidR="009B62ED">
        <w:rPr>
          <w:shd w:val="clear" w:color="auto" w:fill="FFFFFF"/>
        </w:rPr>
        <w:t>-</w:t>
      </w:r>
      <w:r w:rsidRPr="009B62ED">
        <w:rPr>
          <w:shd w:val="clear" w:color="auto" w:fill="FFFFFF"/>
        </w:rPr>
        <w:t>the</w:t>
      </w:r>
      <w:r w:rsidR="009B62ED">
        <w:rPr>
          <w:shd w:val="clear" w:color="auto" w:fill="FFFFFF"/>
        </w:rPr>
        <w:t>-</w:t>
      </w:r>
      <w:r w:rsidRPr="009B62ED">
        <w:rPr>
          <w:shd w:val="clear" w:color="auto" w:fill="FFFFFF"/>
        </w:rPr>
        <w:t>trainer model where entities can develop in house expertise in training and supporting work on GIAs</w:t>
      </w:r>
      <w:r w:rsidR="0020682C" w:rsidRPr="009B62ED">
        <w:rPr>
          <w:shd w:val="clear" w:color="auto" w:fill="FFFFFF"/>
        </w:rPr>
        <w:t>…</w:t>
      </w:r>
      <w:r w:rsidRPr="009B62ED">
        <w:rPr>
          <w:shd w:val="clear" w:color="auto" w:fill="FFFFFF"/>
        </w:rPr>
        <w:t xml:space="preserve"> </w:t>
      </w:r>
      <w:r w:rsidR="00857538" w:rsidRPr="009B62ED">
        <w:rPr>
          <w:shd w:val="clear" w:color="auto" w:fill="FFFFFF"/>
        </w:rPr>
        <w:t>T</w:t>
      </w:r>
      <w:r w:rsidRPr="009B62ED">
        <w:rPr>
          <w:shd w:val="clear" w:color="auto" w:fill="FFFFFF"/>
        </w:rPr>
        <w:t>here is a government commitment to reduce spending on consultants</w:t>
      </w:r>
      <w:r w:rsidR="0059260A" w:rsidRPr="009B62ED">
        <w:rPr>
          <w:shd w:val="clear" w:color="auto" w:fill="FFFFFF"/>
        </w:rPr>
        <w:t>… P</w:t>
      </w:r>
      <w:r w:rsidRPr="009B62ED">
        <w:rPr>
          <w:shd w:val="clear" w:color="auto" w:fill="FFFFFF"/>
        </w:rPr>
        <w:t>eople learn policy development from in house resources, peers and on the job learning. So while using external providers to deliver training in GIAs is helpful in the introductory phase</w:t>
      </w:r>
      <w:r w:rsidR="009B62ED">
        <w:rPr>
          <w:shd w:val="clear" w:color="auto" w:fill="FFFFFF"/>
        </w:rPr>
        <w:t>…</w:t>
      </w:r>
      <w:r w:rsidRPr="009B62ED">
        <w:rPr>
          <w:shd w:val="clear" w:color="auto" w:fill="FFFFFF"/>
        </w:rPr>
        <w:t>I would like to see a transition plan to a non-consultant model of training that will be sustainable in the long run to ensure success of these reforms.</w:t>
      </w:r>
    </w:p>
    <w:p w14:paraId="514AE23A" w14:textId="77777777" w:rsidR="0056202E" w:rsidRDefault="0056202E" w:rsidP="0056202E"/>
    <w:p w14:paraId="2D10AAE8" w14:textId="77777777" w:rsidR="004A25F6" w:rsidRDefault="004A25F6"/>
    <w:p w14:paraId="6932E779" w14:textId="77777777" w:rsidR="00231A09" w:rsidRDefault="00231A09" w:rsidP="00C80E24">
      <w:pPr>
        <w:pStyle w:val="Title"/>
        <w:rPr>
          <w:rFonts w:eastAsia="Times New Roman"/>
        </w:rPr>
      </w:pPr>
    </w:p>
    <w:p w14:paraId="32FA7DD1" w14:textId="77777777" w:rsidR="00231A09" w:rsidRDefault="00231A09" w:rsidP="00C80E24">
      <w:pPr>
        <w:pStyle w:val="Title"/>
        <w:rPr>
          <w:rFonts w:eastAsia="Times New Roman"/>
        </w:rPr>
      </w:pPr>
    </w:p>
    <w:p w14:paraId="12832A0A" w14:textId="31F166D6" w:rsidR="00231A09" w:rsidRDefault="00231A09" w:rsidP="00C80E24">
      <w:pPr>
        <w:pStyle w:val="Title"/>
        <w:rPr>
          <w:rFonts w:eastAsia="Times New Roman"/>
        </w:rPr>
      </w:pPr>
    </w:p>
    <w:p w14:paraId="1502E79A" w14:textId="1EBE348F" w:rsidR="007F511B" w:rsidRDefault="007F511B" w:rsidP="007F511B"/>
    <w:p w14:paraId="629EA5A8" w14:textId="36F14790" w:rsidR="00174E30" w:rsidRDefault="00174E30" w:rsidP="007F511B"/>
    <w:p w14:paraId="61532EF6" w14:textId="64AADA37" w:rsidR="00174E30" w:rsidRDefault="00174E30" w:rsidP="007F511B"/>
    <w:p w14:paraId="09825836" w14:textId="687EB621" w:rsidR="001038A7" w:rsidRDefault="001038A7" w:rsidP="007F511B"/>
    <w:p w14:paraId="601DF7C3" w14:textId="78B6E3A1" w:rsidR="001038A7" w:rsidRDefault="001038A7" w:rsidP="007F511B"/>
    <w:p w14:paraId="1B4797FE" w14:textId="249EB288" w:rsidR="001038A7" w:rsidRDefault="001038A7" w:rsidP="007F511B"/>
    <w:p w14:paraId="7733DB47" w14:textId="1B7024C3" w:rsidR="001038A7" w:rsidRDefault="001038A7" w:rsidP="007F511B"/>
    <w:p w14:paraId="383F0AF5" w14:textId="659422BB" w:rsidR="001038A7" w:rsidRDefault="001038A7" w:rsidP="007F511B"/>
    <w:p w14:paraId="7F0555F1" w14:textId="0ABF01FB" w:rsidR="001038A7" w:rsidRDefault="001038A7" w:rsidP="007F511B"/>
    <w:p w14:paraId="5CBB9E5F" w14:textId="24B79873" w:rsidR="001038A7" w:rsidRDefault="001038A7" w:rsidP="007F511B"/>
    <w:p w14:paraId="326049DF" w14:textId="32FEBE8A" w:rsidR="001038A7" w:rsidRDefault="001038A7" w:rsidP="007F511B"/>
    <w:p w14:paraId="71E07565" w14:textId="4B04858C" w:rsidR="001038A7" w:rsidRDefault="001038A7" w:rsidP="007F511B"/>
    <w:p w14:paraId="07842E65" w14:textId="74F486B2" w:rsidR="001038A7" w:rsidRDefault="001038A7" w:rsidP="007F511B"/>
    <w:p w14:paraId="63E048BB" w14:textId="2E5327B2" w:rsidR="001038A7" w:rsidRDefault="001038A7" w:rsidP="007F511B"/>
    <w:p w14:paraId="47269182" w14:textId="2DA90AC2" w:rsidR="001038A7" w:rsidRDefault="001038A7" w:rsidP="007F511B"/>
    <w:p w14:paraId="490E88D8" w14:textId="00718D99" w:rsidR="001038A7" w:rsidRDefault="001038A7" w:rsidP="007F511B"/>
    <w:p w14:paraId="1F51CC6D" w14:textId="201C2629" w:rsidR="00C0383C" w:rsidRDefault="00C0383C" w:rsidP="007F511B"/>
    <w:p w14:paraId="72F0B2B1" w14:textId="77777777" w:rsidR="00C0383C" w:rsidRDefault="00C0383C" w:rsidP="007F511B"/>
    <w:p w14:paraId="4E2714B3" w14:textId="343FE6BA" w:rsidR="00C80E24" w:rsidRPr="004A25F6" w:rsidRDefault="00C80E24" w:rsidP="00C80E24">
      <w:pPr>
        <w:pStyle w:val="Title"/>
        <w:rPr>
          <w:rFonts w:eastAsia="Times New Roman"/>
        </w:rPr>
      </w:pPr>
      <w:bookmarkStart w:id="13" w:name="_Toc96348279"/>
      <w:r w:rsidRPr="004A25F6">
        <w:rPr>
          <w:rFonts w:eastAsia="Times New Roman"/>
        </w:rPr>
        <w:lastRenderedPageBreak/>
        <w:t>Focus group and interview results</w:t>
      </w:r>
      <w:bookmarkEnd w:id="13"/>
    </w:p>
    <w:p w14:paraId="4C51EF11" w14:textId="77777777" w:rsidR="00C80E24" w:rsidRDefault="00C80E24" w:rsidP="00C80E24"/>
    <w:p w14:paraId="7E4D496C" w14:textId="192A20E8" w:rsidR="00C80E24" w:rsidRDefault="00174E30" w:rsidP="00C80E24">
      <w:r>
        <w:t xml:space="preserve">The </w:t>
      </w:r>
      <w:r w:rsidR="00C80E24">
        <w:t>interviews and focus groups sought to</w:t>
      </w:r>
      <w:r>
        <w:t xml:space="preserve"> understand</w:t>
      </w:r>
      <w:r w:rsidR="00B514E0">
        <w:t xml:space="preserve"> the barriers and enablers that </w:t>
      </w:r>
      <w:r w:rsidR="00C80E24">
        <w:t xml:space="preserve">defined entities experience </w:t>
      </w:r>
      <w:r w:rsidR="00D626B6">
        <w:t>when</w:t>
      </w:r>
      <w:r w:rsidR="00C80E24">
        <w:t xml:space="preserve"> implementing GIA</w:t>
      </w:r>
      <w:r w:rsidR="006A4B1A">
        <w:t>s</w:t>
      </w:r>
      <w:r w:rsidR="00C80E24">
        <w:t xml:space="preserve"> by exploring</w:t>
      </w:r>
      <w:r>
        <w:t xml:space="preserve"> the </w:t>
      </w:r>
      <w:r w:rsidR="00A825D3" w:rsidRPr="00B514E0">
        <w:t>questions detailed on page 10 of this report.</w:t>
      </w:r>
      <w:r w:rsidR="00B514E0">
        <w:t xml:space="preserve"> </w:t>
      </w:r>
    </w:p>
    <w:p w14:paraId="2681842F" w14:textId="63DEBBF3" w:rsidR="00C80E24" w:rsidRDefault="00C80E24" w:rsidP="00C80E24">
      <w:pPr>
        <w:pStyle w:val="Heading2"/>
      </w:pPr>
      <w:bookmarkStart w:id="14" w:name="_Toc96348280"/>
      <w:r>
        <w:t xml:space="preserve">Time and </w:t>
      </w:r>
      <w:r w:rsidR="00A825D3">
        <w:t>f</w:t>
      </w:r>
      <w:r>
        <w:t>unding</w:t>
      </w:r>
      <w:bookmarkEnd w:id="14"/>
    </w:p>
    <w:p w14:paraId="51B8CCED" w14:textId="1543A77A" w:rsidR="00C80E24" w:rsidRDefault="00DB746C" w:rsidP="00C80E24">
      <w:pPr>
        <w:pStyle w:val="Heading3"/>
      </w:pPr>
      <w:r>
        <w:t xml:space="preserve">The </w:t>
      </w:r>
      <w:r w:rsidR="00C80E24">
        <w:t>COVID</w:t>
      </w:r>
      <w:r>
        <w:t xml:space="preserve">-19 </w:t>
      </w:r>
      <w:r w:rsidR="006A4B1A">
        <w:t>p</w:t>
      </w:r>
      <w:r>
        <w:t>andemic</w:t>
      </w:r>
      <w:r w:rsidR="00C80E24">
        <w:t xml:space="preserve"> – Key </w:t>
      </w:r>
      <w:r w:rsidR="00810C15">
        <w:t>e</w:t>
      </w:r>
      <w:r w:rsidR="00C80E24">
        <w:t xml:space="preserve">xternal </w:t>
      </w:r>
      <w:r w:rsidR="00810C15">
        <w:t>t</w:t>
      </w:r>
      <w:r w:rsidR="00C80E24">
        <w:t xml:space="preserve">hreat to GIA implementation </w:t>
      </w:r>
    </w:p>
    <w:p w14:paraId="399A6F5F" w14:textId="084881A1" w:rsidR="00C80E24" w:rsidRDefault="00D10EBF" w:rsidP="00C80E24">
      <w:r>
        <w:t>Across interviews and focus groups, one of the most significant barriers to implementing GIA</w:t>
      </w:r>
      <w:r w:rsidR="006A4B1A">
        <w:t>s</w:t>
      </w:r>
      <w:r>
        <w:t xml:space="preserve"> </w:t>
      </w:r>
      <w:r w:rsidR="00A0526C">
        <w:t>i</w:t>
      </w:r>
      <w:r>
        <w:t xml:space="preserve">s the significant </w:t>
      </w:r>
      <w:r w:rsidR="00C80E24">
        <w:t>time and resource</w:t>
      </w:r>
      <w:r>
        <w:t>s required to respond to</w:t>
      </w:r>
      <w:r w:rsidR="00DB746C">
        <w:t xml:space="preserve"> the</w:t>
      </w:r>
      <w:r>
        <w:t xml:space="preserve"> COVID-19</w:t>
      </w:r>
      <w:r w:rsidR="00DB746C">
        <w:t xml:space="preserve"> pandemic</w:t>
      </w:r>
      <w:r>
        <w:t>. This is acutely experienced by the</w:t>
      </w:r>
      <w:r w:rsidR="00C80E24">
        <w:t xml:space="preserve"> health</w:t>
      </w:r>
      <w:r>
        <w:t xml:space="preserve"> sector</w:t>
      </w:r>
      <w:r w:rsidR="00C80E24">
        <w:t xml:space="preserve"> and other frontline services </w:t>
      </w:r>
      <w:r w:rsidR="00AC46BF">
        <w:t xml:space="preserve">such as local government </w:t>
      </w:r>
      <w:r w:rsidR="00C80E24">
        <w:t>who</w:t>
      </w:r>
      <w:r>
        <w:t xml:space="preserve"> </w:t>
      </w:r>
      <w:r w:rsidR="00DB746C">
        <w:t>i</w:t>
      </w:r>
      <w:r>
        <w:t xml:space="preserve">dentified that their </w:t>
      </w:r>
      <w:r w:rsidR="00C80E24">
        <w:t>GIA</w:t>
      </w:r>
      <w:r>
        <w:t xml:space="preserve"> </w:t>
      </w:r>
      <w:r w:rsidR="00AC46BF">
        <w:t>implementation</w:t>
      </w:r>
      <w:r>
        <w:t xml:space="preserve"> had been hampered</w:t>
      </w:r>
      <w:r w:rsidR="00C80E24">
        <w:t xml:space="preserve"> by the </w:t>
      </w:r>
      <w:r w:rsidR="00AC46BF">
        <w:t>Victorian COVID-19</w:t>
      </w:r>
      <w:r>
        <w:t xml:space="preserve"> </w:t>
      </w:r>
      <w:r w:rsidR="00C80E24">
        <w:t>public health directions, furloughing of staff</w:t>
      </w:r>
      <w:r w:rsidR="006A4B1A">
        <w:t>,</w:t>
      </w:r>
      <w:r w:rsidR="00C80E24">
        <w:t xml:space="preserve"> and other public health policies such as </w:t>
      </w:r>
      <w:r w:rsidR="00AC46BF">
        <w:t xml:space="preserve">the </w:t>
      </w:r>
      <w:r w:rsidR="006A4B1A">
        <w:t>‘</w:t>
      </w:r>
      <w:r w:rsidR="00C80E24">
        <w:t>code brown</w:t>
      </w:r>
      <w:r w:rsidR="006A4B1A">
        <w:t>’</w:t>
      </w:r>
      <w:r w:rsidR="00AC46BF">
        <w:t>.</w:t>
      </w:r>
    </w:p>
    <w:p w14:paraId="74AF7017" w14:textId="0E8A7957" w:rsidR="00C80E24" w:rsidRDefault="00C80E24" w:rsidP="00C80E24">
      <w:pPr>
        <w:pStyle w:val="Quote"/>
      </w:pPr>
      <w:r w:rsidRPr="00872B6F">
        <w:t xml:space="preserve">I just think asking staff to do anything at the moment in the current environment is very, very difficult. There's so much pressure on so many staff with the code Brown and, you know, COVID, furloughs and whatever. </w:t>
      </w:r>
      <w:r>
        <w:t>(Health Focus Group)</w:t>
      </w:r>
    </w:p>
    <w:p w14:paraId="096C27BB" w14:textId="05E7BE49" w:rsidR="00C80E24" w:rsidRDefault="00C80E24" w:rsidP="00C80E24">
      <w:pPr>
        <w:pStyle w:val="Quote"/>
      </w:pPr>
      <w:r w:rsidRPr="00872B6F">
        <w:t xml:space="preserve">I spent a lot of time explaining why gender equality was important and what a gender impact assessment was. And then the staff was so busy, and so under the pump, with or without COVID, that just finding a time to meet was impossible. </w:t>
      </w:r>
      <w:r>
        <w:t>(Health Focus Group)</w:t>
      </w:r>
    </w:p>
    <w:p w14:paraId="5DEACC9B" w14:textId="267BAB32" w:rsidR="00C80E24" w:rsidRDefault="00C80E24" w:rsidP="00C80E24">
      <w:pPr>
        <w:pStyle w:val="Quote"/>
      </w:pPr>
      <w:r>
        <w:t xml:space="preserve">I don't think other public entities have had the same burden that councils have through COVID. Whether it's working out how MCH </w:t>
      </w:r>
      <w:r w:rsidR="00AB2DA5">
        <w:t>[Maternal and Child Health]</w:t>
      </w:r>
      <w:r>
        <w:t xml:space="preserve"> and Disability Services and libraries and everything's </w:t>
      </w:r>
      <w:r w:rsidR="00AB2DA5">
        <w:t xml:space="preserve">going to </w:t>
      </w:r>
      <w:r>
        <w:t>operate has been enormous and it's really</w:t>
      </w:r>
      <w:r w:rsidR="009B53A7">
        <w:t>,</w:t>
      </w:r>
      <w:r>
        <w:t xml:space="preserve"> really, really hard for office</w:t>
      </w:r>
      <w:r w:rsidR="00A56AE2">
        <w:t>r</w:t>
      </w:r>
      <w:r>
        <w:t>s. And that</w:t>
      </w:r>
      <w:r w:rsidR="009B53A7">
        <w:t>’</w:t>
      </w:r>
      <w:r>
        <w:t>s what we</w:t>
      </w:r>
      <w:r w:rsidR="009B53A7">
        <w:t>’</w:t>
      </w:r>
      <w:r>
        <w:t>re talking about here is office</w:t>
      </w:r>
      <w:r w:rsidR="00A56AE2">
        <w:t>r</w:t>
      </w:r>
      <w:r>
        <w:t>s trying to get this, like front and centre of a leadership team</w:t>
      </w:r>
      <w:r w:rsidR="009B53A7">
        <w:t>…</w:t>
      </w:r>
      <w:r>
        <w:t xml:space="preserve"> dealing every day with every change</w:t>
      </w:r>
      <w:r w:rsidR="009B53A7">
        <w:t>…</w:t>
      </w:r>
      <w:r>
        <w:t xml:space="preserve"> impacts on councils and their public health</w:t>
      </w:r>
      <w:r w:rsidR="009B53A7">
        <w:t>…</w:t>
      </w:r>
      <w:r>
        <w:t xml:space="preserve"> it's just huge</w:t>
      </w:r>
      <w:r w:rsidR="00AC46BF">
        <w:t>.</w:t>
      </w:r>
      <w:r>
        <w:t xml:space="preserve"> (L</w:t>
      </w:r>
      <w:r w:rsidR="00AC46BF">
        <w:t xml:space="preserve">ocal Government </w:t>
      </w:r>
      <w:r>
        <w:t>Focus Group)</w:t>
      </w:r>
    </w:p>
    <w:p w14:paraId="13B83E63" w14:textId="5B247B61" w:rsidR="00C80E24" w:rsidRPr="00475E25" w:rsidRDefault="00475E25" w:rsidP="00C80E24">
      <w:pPr>
        <w:pStyle w:val="Heading3"/>
      </w:pPr>
      <w:r w:rsidRPr="006B75D8">
        <w:t>Financial resources</w:t>
      </w:r>
      <w:r w:rsidR="00C80E24" w:rsidRPr="00475E25">
        <w:t xml:space="preserve"> and </w:t>
      </w:r>
      <w:r w:rsidR="00442CCE" w:rsidRPr="00475E25">
        <w:t>t</w:t>
      </w:r>
      <w:r w:rsidR="00C80E24" w:rsidRPr="00475E25">
        <w:t>ime</w:t>
      </w:r>
    </w:p>
    <w:p w14:paraId="1E3E1AE8" w14:textId="69143013" w:rsidR="00C80E24" w:rsidRPr="004B611D" w:rsidRDefault="009B53A7" w:rsidP="00C80E24">
      <w:r w:rsidRPr="00475E25">
        <w:t>Interview and focus group participants spoke</w:t>
      </w:r>
      <w:r>
        <w:t xml:space="preserve"> of </w:t>
      </w:r>
      <w:r w:rsidR="00C80E24">
        <w:t>scarce</w:t>
      </w:r>
      <w:r>
        <w:t xml:space="preserve"> </w:t>
      </w:r>
      <w:r w:rsidR="00C80E24">
        <w:t xml:space="preserve">resourcing </w:t>
      </w:r>
      <w:r>
        <w:t>– both financial and staff time – which impact</w:t>
      </w:r>
      <w:r w:rsidR="00D71F7D">
        <w:t>s</w:t>
      </w:r>
      <w:r>
        <w:t xml:space="preserve"> their ability </w:t>
      </w:r>
      <w:r w:rsidR="00C80E24">
        <w:t xml:space="preserve">to </w:t>
      </w:r>
      <w:r w:rsidR="00633AEB">
        <w:t xml:space="preserve">thoroughly </w:t>
      </w:r>
      <w:r w:rsidR="00C80E24">
        <w:t>conduct GIA</w:t>
      </w:r>
      <w:r w:rsidR="006A4B1A">
        <w:t>s</w:t>
      </w:r>
      <w:r w:rsidR="00C80E24">
        <w:t xml:space="preserve">. </w:t>
      </w:r>
      <w:r w:rsidR="00CF56C2">
        <w:t>S</w:t>
      </w:r>
      <w:r w:rsidR="00C80E24">
        <w:t>ome organisations</w:t>
      </w:r>
      <w:r w:rsidR="00CF56C2">
        <w:t xml:space="preserve"> reported having an operational budget to </w:t>
      </w:r>
      <w:r w:rsidR="00C80E24">
        <w:t>embed</w:t>
      </w:r>
      <w:r w:rsidR="00CF56C2">
        <w:t xml:space="preserve"> GIA</w:t>
      </w:r>
      <w:r w:rsidR="006A4B1A">
        <w:t xml:space="preserve"> work</w:t>
      </w:r>
      <w:r w:rsidR="00CF56C2">
        <w:t xml:space="preserve">, which appears </w:t>
      </w:r>
      <w:r w:rsidR="00C80E24">
        <w:t xml:space="preserve">to be </w:t>
      </w:r>
      <w:r w:rsidR="00CF56C2">
        <w:t>related</w:t>
      </w:r>
      <w:r w:rsidR="00CF56C2" w:rsidDel="00CF56C2">
        <w:t xml:space="preserve"> </w:t>
      </w:r>
      <w:r w:rsidR="00C80E24">
        <w:t xml:space="preserve">to the maturity of the organisation and their existing </w:t>
      </w:r>
      <w:r w:rsidR="00C80E24" w:rsidRPr="004B611D">
        <w:t xml:space="preserve">structures to undertake </w:t>
      </w:r>
      <w:r w:rsidR="00CF56C2" w:rsidRPr="004B611D">
        <w:t>d</w:t>
      </w:r>
      <w:r w:rsidR="00C80E24" w:rsidRPr="004B611D">
        <w:t xml:space="preserve">iversity, </w:t>
      </w:r>
      <w:r w:rsidR="00280B47" w:rsidRPr="004B611D">
        <w:t>inclusion,</w:t>
      </w:r>
      <w:r w:rsidR="00C80E24" w:rsidRPr="004B611D">
        <w:t xml:space="preserve"> and </w:t>
      </w:r>
      <w:r w:rsidR="00CF56C2" w:rsidRPr="004B611D">
        <w:t>g</w:t>
      </w:r>
      <w:r w:rsidR="00C80E24" w:rsidRPr="004B611D">
        <w:t xml:space="preserve">ender </w:t>
      </w:r>
      <w:r w:rsidR="00CF56C2" w:rsidRPr="004B611D">
        <w:t>e</w:t>
      </w:r>
      <w:r w:rsidR="00C80E24" w:rsidRPr="004B611D">
        <w:t xml:space="preserve">quity </w:t>
      </w:r>
      <w:r w:rsidR="00CF56C2" w:rsidRPr="004B611D">
        <w:t>w</w:t>
      </w:r>
      <w:r w:rsidR="00C80E24" w:rsidRPr="004B611D">
        <w:t>ork.</w:t>
      </w:r>
    </w:p>
    <w:p w14:paraId="4F9AFFEF" w14:textId="6259AF7A" w:rsidR="00C80E24" w:rsidRPr="00CF2D55" w:rsidRDefault="00AD3667" w:rsidP="00C80E24">
      <w:pPr>
        <w:pStyle w:val="Quote"/>
      </w:pPr>
      <w:r w:rsidRPr="004B611D">
        <w:t>W</w:t>
      </w:r>
      <w:r w:rsidR="00C80E24" w:rsidRPr="004B611D">
        <w:t>e are a reasonably mature organi</w:t>
      </w:r>
      <w:r w:rsidR="00442CCE" w:rsidRPr="004B611D">
        <w:t>s</w:t>
      </w:r>
      <w:r w:rsidR="00C80E24" w:rsidRPr="004B611D">
        <w:t>ation, in terms of diversity and inclusion</w:t>
      </w:r>
      <w:r w:rsidR="00442CCE" w:rsidRPr="004B611D">
        <w:t>…</w:t>
      </w:r>
      <w:r w:rsidR="00C80E24" w:rsidRPr="004B611D">
        <w:t xml:space="preserve"> we have made quite a lot of progress in a relatively short period of time over about six years</w:t>
      </w:r>
      <w:r w:rsidRPr="004B611D">
        <w:t xml:space="preserve">… </w:t>
      </w:r>
      <w:r w:rsidR="00C80E24" w:rsidRPr="004B611D">
        <w:t>I've developed the second generation diversity inclusion strategy (our funding</w:t>
      </w:r>
      <w:r w:rsidRPr="004B611D">
        <w:t xml:space="preserve"> which</w:t>
      </w:r>
      <w:r w:rsidR="00C80E24" w:rsidRPr="004B611D">
        <w:t>) … came from the diversity inclusion budget</w:t>
      </w:r>
      <w:r w:rsidRPr="004B611D">
        <w:t>…</w:t>
      </w:r>
      <w:r w:rsidR="00C80E24" w:rsidRPr="004B611D">
        <w:t xml:space="preserve"> it was earmarked for other activities, but we repurposed it</w:t>
      </w:r>
      <w:r w:rsidRPr="004B611D">
        <w:t>.</w:t>
      </w:r>
      <w:r w:rsidR="00C80E24" w:rsidRPr="004B611D">
        <w:t xml:space="preserve"> (Interview</w:t>
      </w:r>
      <w:r w:rsidRPr="004B611D">
        <w:t xml:space="preserve"> participant</w:t>
      </w:r>
      <w:r w:rsidR="00C80E24" w:rsidRPr="004B611D">
        <w:t>)</w:t>
      </w:r>
    </w:p>
    <w:p w14:paraId="085962DF" w14:textId="5E2006A8" w:rsidR="00C80E24" w:rsidRDefault="00280B47" w:rsidP="00C80E24">
      <w:r>
        <w:t>Practitioners who attended t</w:t>
      </w:r>
      <w:r w:rsidR="00C80E24">
        <w:t xml:space="preserve">he </w:t>
      </w:r>
      <w:r w:rsidR="00425D74">
        <w:t>Rural Victoria, Sports</w:t>
      </w:r>
      <w:r w:rsidR="006169FA">
        <w:t xml:space="preserve"> </w:t>
      </w:r>
      <w:r w:rsidR="00425D74">
        <w:t>and Recreation</w:t>
      </w:r>
      <w:r>
        <w:t xml:space="preserve"> Focus Group</w:t>
      </w:r>
      <w:r w:rsidR="00C80E24">
        <w:t xml:space="preserve"> </w:t>
      </w:r>
      <w:r w:rsidR="00C80E24" w:rsidRPr="00A11398">
        <w:t xml:space="preserve">noted that their biggest barrier to GIA is scarce resources. </w:t>
      </w:r>
      <w:r w:rsidR="00632210">
        <w:t>M</w:t>
      </w:r>
      <w:r w:rsidR="00C80E24" w:rsidRPr="00A11398">
        <w:t>any entities’ resources ar</w:t>
      </w:r>
      <w:r w:rsidR="00632210">
        <w:t>e scarce</w:t>
      </w:r>
      <w:r w:rsidR="00C80E24" w:rsidRPr="00A11398">
        <w:t xml:space="preserve"> </w:t>
      </w:r>
      <w:r w:rsidR="00632210">
        <w:t xml:space="preserve">due to </w:t>
      </w:r>
      <w:r w:rsidR="00DB746C">
        <w:t xml:space="preserve">the </w:t>
      </w:r>
      <w:r w:rsidR="00632210">
        <w:t>COVID-19</w:t>
      </w:r>
      <w:r w:rsidR="00DB746C">
        <w:t xml:space="preserve"> pandemic</w:t>
      </w:r>
      <w:r w:rsidR="00632210">
        <w:t xml:space="preserve"> response and therefore</w:t>
      </w:r>
      <w:r w:rsidR="00C80E24" w:rsidRPr="00A11398">
        <w:t xml:space="preserve"> dedicating time, staff</w:t>
      </w:r>
      <w:r w:rsidR="006A4B1A">
        <w:t>,</w:t>
      </w:r>
      <w:r w:rsidR="00C80E24" w:rsidRPr="00A11398">
        <w:t xml:space="preserve"> or</w:t>
      </w:r>
      <w:r w:rsidR="00632210">
        <w:t xml:space="preserve"> financial resources </w:t>
      </w:r>
      <w:r w:rsidR="00C80E24" w:rsidRPr="00A11398">
        <w:t>to GIA</w:t>
      </w:r>
      <w:r w:rsidR="006A4B1A">
        <w:t>s</w:t>
      </w:r>
      <w:r w:rsidR="00C80E24" w:rsidRPr="00A11398">
        <w:t xml:space="preserve"> is not possible.</w:t>
      </w:r>
    </w:p>
    <w:p w14:paraId="7DF61868" w14:textId="39A67677" w:rsidR="00C80E24" w:rsidRDefault="00C80E24" w:rsidP="006B75D8">
      <w:pPr>
        <w:pStyle w:val="Quote"/>
      </w:pPr>
      <w:r>
        <w:lastRenderedPageBreak/>
        <w:t>So, all I can just say is, from our perspective, resources, you know, budget, funding, it just… none of this is going to be done properly with the intent that it's meant to have because you've got a team of very tired people trying, who don't really understand it, trying to train other people who don't have the capacity. (</w:t>
      </w:r>
      <w:r w:rsidR="006169FA">
        <w:t xml:space="preserve">Rural Victoria, Sports and Recreation </w:t>
      </w:r>
      <w:r w:rsidR="009B53A7">
        <w:t>Focus</w:t>
      </w:r>
      <w:r>
        <w:t xml:space="preserve"> Group)</w:t>
      </w:r>
    </w:p>
    <w:p w14:paraId="6513394D" w14:textId="083ED1CB" w:rsidR="00C80E24" w:rsidRDefault="00632210" w:rsidP="00C80E24">
      <w:r>
        <w:t>Smaller organisations in rural and regional Victoria reported a</w:t>
      </w:r>
      <w:r w:rsidR="00C80E24">
        <w:t xml:space="preserve"> lack of </w:t>
      </w:r>
      <w:r>
        <w:t xml:space="preserve">financial and staffing </w:t>
      </w:r>
      <w:r w:rsidR="00C80E24">
        <w:t>resources</w:t>
      </w:r>
      <w:r>
        <w:t xml:space="preserve"> significantly </w:t>
      </w:r>
      <w:r w:rsidR="00C80E24">
        <w:t>impact</w:t>
      </w:r>
      <w:r>
        <w:t>ed their capacity to undertake GIA</w:t>
      </w:r>
      <w:r w:rsidR="006A4B1A">
        <w:t>s</w:t>
      </w:r>
      <w:r>
        <w:t xml:space="preserve">. </w:t>
      </w:r>
    </w:p>
    <w:p w14:paraId="2D8A31FD" w14:textId="6BEF65D3" w:rsidR="00C80E24" w:rsidRDefault="00632210" w:rsidP="00632210">
      <w:pPr>
        <w:pStyle w:val="Quote"/>
      </w:pPr>
      <w:r>
        <w:t>I</w:t>
      </w:r>
      <w:r w:rsidR="00C80E24">
        <w:t xml:space="preserve">t really is significant that </w:t>
      </w:r>
      <w:r>
        <w:t>c</w:t>
      </w:r>
      <w:r w:rsidR="00C80E24">
        <w:t>ouncils have not been resourced to implement the obligations under the Act. There's an expectation that they have this expertise in house. And it's only the better resourced councils, that a</w:t>
      </w:r>
      <w:r>
        <w:t>re</w:t>
      </w:r>
      <w:r w:rsidR="00C80E24">
        <w:t xml:space="preserve"> larger councils with a larger staff pool that have been building this capacity over a number of years</w:t>
      </w:r>
      <w:r>
        <w:t>.</w:t>
      </w:r>
      <w:r w:rsidR="00C80E24">
        <w:t xml:space="preserve"> </w:t>
      </w:r>
      <w:r>
        <w:t xml:space="preserve"> </w:t>
      </w:r>
      <w:r w:rsidR="00C80E24">
        <w:t>(L</w:t>
      </w:r>
      <w:r w:rsidR="00AD3667">
        <w:t xml:space="preserve">ocal Government </w:t>
      </w:r>
      <w:r w:rsidR="00C80E24">
        <w:t>Focus Group)</w:t>
      </w:r>
    </w:p>
    <w:p w14:paraId="32FADBE9" w14:textId="5A345675" w:rsidR="009F761D" w:rsidRPr="006B75D8" w:rsidRDefault="009F761D" w:rsidP="00C80E24">
      <w:pPr>
        <w:spacing w:after="0" w:line="276" w:lineRule="auto"/>
      </w:pPr>
      <w:r w:rsidRPr="006B75D8">
        <w:t>Interview and focus group participants report that t</w:t>
      </w:r>
      <w:r w:rsidR="00C80E24" w:rsidRPr="00D779E5">
        <w:t xml:space="preserve">he availability </w:t>
      </w:r>
      <w:r w:rsidR="009F6B61">
        <w:t>of</w:t>
      </w:r>
      <w:r w:rsidR="009F6B61" w:rsidRPr="00D779E5">
        <w:t xml:space="preserve"> </w:t>
      </w:r>
      <w:r w:rsidR="00C80E24" w:rsidRPr="00D779E5">
        <w:t xml:space="preserve">resources </w:t>
      </w:r>
      <w:r w:rsidRPr="006B75D8">
        <w:t>i</w:t>
      </w:r>
      <w:r w:rsidR="00C80E24" w:rsidRPr="009F761D">
        <w:t>s a</w:t>
      </w:r>
      <w:r w:rsidRPr="006B75D8">
        <w:t xml:space="preserve"> critical</w:t>
      </w:r>
      <w:r w:rsidR="00C80E24" w:rsidRPr="00D779E5">
        <w:t xml:space="preserve"> enabler for </w:t>
      </w:r>
      <w:r w:rsidR="00280B47">
        <w:t xml:space="preserve">the </w:t>
      </w:r>
      <w:r w:rsidR="00C80E24" w:rsidRPr="009F761D">
        <w:t>GIA</w:t>
      </w:r>
      <w:r w:rsidR="00280B47">
        <w:t xml:space="preserve"> process and ensuring </w:t>
      </w:r>
      <w:r w:rsidR="00C80E24" w:rsidRPr="00D779E5">
        <w:t>buy</w:t>
      </w:r>
      <w:r w:rsidR="00280B47">
        <w:t>-</w:t>
      </w:r>
      <w:r w:rsidR="00C80E24" w:rsidRPr="00D779E5">
        <w:t xml:space="preserve">in across </w:t>
      </w:r>
      <w:r w:rsidR="00280B47">
        <w:t xml:space="preserve">the </w:t>
      </w:r>
      <w:r w:rsidR="00C80E24" w:rsidRPr="00D779E5">
        <w:t>organisation</w:t>
      </w:r>
      <w:r w:rsidR="00280B47">
        <w:t xml:space="preserve"> for its</w:t>
      </w:r>
      <w:r w:rsidR="00C80E24" w:rsidRPr="00D779E5">
        <w:t xml:space="preserve"> outcomes and goals</w:t>
      </w:r>
      <w:r w:rsidRPr="006B75D8">
        <w:t>.</w:t>
      </w:r>
      <w:r w:rsidR="00C80E24" w:rsidRPr="009F761D">
        <w:t xml:space="preserve"> </w:t>
      </w:r>
    </w:p>
    <w:p w14:paraId="3344C190" w14:textId="77777777" w:rsidR="009F761D" w:rsidRPr="006B75D8" w:rsidRDefault="009F761D" w:rsidP="00C80E24">
      <w:pPr>
        <w:spacing w:after="0" w:line="276" w:lineRule="auto"/>
      </w:pPr>
    </w:p>
    <w:p w14:paraId="24DB7BCB" w14:textId="646F34A7" w:rsidR="00C80E24" w:rsidRPr="006B75D8" w:rsidRDefault="009F761D" w:rsidP="006B75D8">
      <w:pPr>
        <w:spacing w:after="0" w:line="276" w:lineRule="auto"/>
        <w:jc w:val="center"/>
        <w:rPr>
          <w:i/>
          <w:iCs/>
          <w:color w:val="404040" w:themeColor="text1" w:themeTint="BF"/>
        </w:rPr>
      </w:pPr>
      <w:r w:rsidRPr="00D779E5">
        <w:rPr>
          <w:i/>
          <w:iCs/>
          <w:color w:val="404040" w:themeColor="text1" w:themeTint="BF"/>
        </w:rPr>
        <w:t>I</w:t>
      </w:r>
      <w:r w:rsidR="00C80E24" w:rsidRPr="006B75D8">
        <w:rPr>
          <w:i/>
          <w:iCs/>
          <w:color w:val="404040" w:themeColor="text1" w:themeTint="BF"/>
        </w:rPr>
        <w:t>f the branch knew that there was a dedicated resource that they could call upon for support, they probably wouldn't see it as such a big investment of time as well.</w:t>
      </w:r>
      <w:r w:rsidRPr="00D779E5">
        <w:rPr>
          <w:i/>
          <w:iCs/>
          <w:color w:val="404040" w:themeColor="text1" w:themeTint="BF"/>
        </w:rPr>
        <w:t xml:space="preserve"> </w:t>
      </w:r>
      <w:r w:rsidR="00C80E24" w:rsidRPr="006B75D8">
        <w:rPr>
          <w:i/>
          <w:iCs/>
          <w:color w:val="404040" w:themeColor="text1" w:themeTint="BF"/>
        </w:rPr>
        <w:t>(</w:t>
      </w:r>
      <w:r w:rsidR="007D3BC0">
        <w:rPr>
          <w:i/>
          <w:iCs/>
          <w:color w:val="404040" w:themeColor="text1" w:themeTint="BF"/>
        </w:rPr>
        <w:t>State Government Agency</w:t>
      </w:r>
      <w:r w:rsidR="009B66BE">
        <w:rPr>
          <w:i/>
          <w:iCs/>
          <w:color w:val="404040" w:themeColor="text1" w:themeTint="BF"/>
        </w:rPr>
        <w:t xml:space="preserve"> Stakeholder</w:t>
      </w:r>
      <w:r w:rsidR="00C80E24" w:rsidRPr="006B75D8">
        <w:rPr>
          <w:i/>
          <w:iCs/>
          <w:color w:val="404040" w:themeColor="text1" w:themeTint="BF"/>
        </w:rPr>
        <w:t xml:space="preserve"> Interview)</w:t>
      </w:r>
    </w:p>
    <w:p w14:paraId="1328EC7F" w14:textId="77777777" w:rsidR="00C80E24" w:rsidRDefault="00C80E24" w:rsidP="00C80E24">
      <w:pPr>
        <w:pStyle w:val="Heading3"/>
      </w:pPr>
    </w:p>
    <w:p w14:paraId="24057E22" w14:textId="525A5982" w:rsidR="00C80E24" w:rsidRDefault="00C80E24" w:rsidP="00C80E24">
      <w:pPr>
        <w:pStyle w:val="Heading3"/>
      </w:pPr>
      <w:r>
        <w:t xml:space="preserve">Capacity and </w:t>
      </w:r>
      <w:r w:rsidR="00534ACE">
        <w:t>c</w:t>
      </w:r>
      <w:r>
        <w:t>apability</w:t>
      </w:r>
    </w:p>
    <w:p w14:paraId="1BFCBAA6" w14:textId="6D031A3C" w:rsidR="00975BF4" w:rsidRPr="006B75D8" w:rsidRDefault="00975BF4" w:rsidP="00C80E24">
      <w:r w:rsidRPr="006B75D8">
        <w:t xml:space="preserve">Interview and focus group participants </w:t>
      </w:r>
      <w:r>
        <w:t>reported</w:t>
      </w:r>
      <w:r w:rsidRPr="006B75D8">
        <w:t xml:space="preserve"> that w</w:t>
      </w:r>
      <w:r w:rsidR="00C80E24" w:rsidRPr="00975BF4">
        <w:t>hile there are organisations that have built capacity to understand GIA</w:t>
      </w:r>
      <w:r w:rsidR="006A4B1A">
        <w:t>s</w:t>
      </w:r>
      <w:r w:rsidRPr="006B75D8">
        <w:t>, many organisation</w:t>
      </w:r>
      <w:r>
        <w:t>s</w:t>
      </w:r>
      <w:r w:rsidRPr="006B75D8">
        <w:t xml:space="preserve"> are yet to</w:t>
      </w:r>
      <w:r w:rsidR="006E72AE">
        <w:t xml:space="preserve"> do so.</w:t>
      </w:r>
      <w:r w:rsidRPr="006B75D8">
        <w:t xml:space="preserve">  </w:t>
      </w:r>
    </w:p>
    <w:p w14:paraId="01C4A876" w14:textId="4BE6E970" w:rsidR="00C80E24" w:rsidRPr="006B75D8" w:rsidRDefault="00C80E24" w:rsidP="006B75D8">
      <w:pPr>
        <w:jc w:val="center"/>
        <w:rPr>
          <w:i/>
          <w:iCs/>
          <w:color w:val="404040" w:themeColor="text1" w:themeTint="BF"/>
        </w:rPr>
      </w:pPr>
      <w:r w:rsidRPr="006B75D8">
        <w:rPr>
          <w:i/>
          <w:iCs/>
          <w:color w:val="404040" w:themeColor="text1" w:themeTint="BF"/>
        </w:rPr>
        <w:t>I think that all organi</w:t>
      </w:r>
      <w:r w:rsidR="00975BF4">
        <w:rPr>
          <w:i/>
          <w:iCs/>
          <w:color w:val="404040" w:themeColor="text1" w:themeTint="BF"/>
        </w:rPr>
        <w:t>s</w:t>
      </w:r>
      <w:r w:rsidRPr="006B75D8">
        <w:rPr>
          <w:i/>
          <w:iCs/>
          <w:color w:val="404040" w:themeColor="text1" w:themeTint="BF"/>
        </w:rPr>
        <w:t>ations would benefit from an opportunity to do what we were trying to do, to start to educate the workforc</w:t>
      </w:r>
      <w:r w:rsidR="00DD1F8C">
        <w:rPr>
          <w:i/>
          <w:iCs/>
          <w:color w:val="404040" w:themeColor="text1" w:themeTint="BF"/>
        </w:rPr>
        <w:t>e</w:t>
      </w:r>
      <w:r w:rsidRPr="006B75D8">
        <w:rPr>
          <w:i/>
          <w:iCs/>
          <w:color w:val="404040" w:themeColor="text1" w:themeTint="BF"/>
        </w:rPr>
        <w:t xml:space="preserve"> about what a</w:t>
      </w:r>
      <w:r w:rsidR="003B5296">
        <w:rPr>
          <w:i/>
          <w:iCs/>
          <w:color w:val="404040" w:themeColor="text1" w:themeTint="BF"/>
        </w:rPr>
        <w:t xml:space="preserve"> </w:t>
      </w:r>
      <w:r w:rsidRPr="006B75D8">
        <w:rPr>
          <w:i/>
          <w:iCs/>
          <w:color w:val="404040" w:themeColor="text1" w:themeTint="BF"/>
        </w:rPr>
        <w:t>gend</w:t>
      </w:r>
      <w:r w:rsidR="003B5296">
        <w:rPr>
          <w:i/>
          <w:iCs/>
          <w:color w:val="404040" w:themeColor="text1" w:themeTint="BF"/>
        </w:rPr>
        <w:t>er</w:t>
      </w:r>
      <w:r w:rsidRPr="006B75D8">
        <w:rPr>
          <w:i/>
          <w:iCs/>
          <w:color w:val="404040" w:themeColor="text1" w:themeTint="BF"/>
        </w:rPr>
        <w:t xml:space="preserve"> impact assessment or applying a diversity inclusion lens looks like.</w:t>
      </w:r>
      <w:r w:rsidR="006A1D71">
        <w:rPr>
          <w:i/>
          <w:iCs/>
          <w:color w:val="404040" w:themeColor="text1" w:themeTint="BF"/>
        </w:rPr>
        <w:t xml:space="preserve"> </w:t>
      </w:r>
      <w:r w:rsidR="00975BF4">
        <w:rPr>
          <w:i/>
          <w:iCs/>
          <w:color w:val="404040" w:themeColor="text1" w:themeTint="BF"/>
        </w:rPr>
        <w:t>(</w:t>
      </w:r>
      <w:r w:rsidRPr="006B75D8">
        <w:rPr>
          <w:i/>
          <w:iCs/>
          <w:color w:val="404040" w:themeColor="text1" w:themeTint="BF"/>
        </w:rPr>
        <w:t xml:space="preserve">Water Utility Interview) </w:t>
      </w:r>
    </w:p>
    <w:p w14:paraId="707F5CA1" w14:textId="775D7B0A" w:rsidR="00C80E24" w:rsidRDefault="00C80E24" w:rsidP="00C80E24">
      <w:r>
        <w:t xml:space="preserve">The </w:t>
      </w:r>
      <w:r w:rsidR="009B66BE">
        <w:t xml:space="preserve">Local Government </w:t>
      </w:r>
      <w:r w:rsidR="001807BA">
        <w:t>interview</w:t>
      </w:r>
      <w:r w:rsidR="00975BF4">
        <w:t>ee</w:t>
      </w:r>
      <w:r w:rsidR="001807BA">
        <w:t xml:space="preserve"> </w:t>
      </w:r>
      <w:r>
        <w:t xml:space="preserve">highlighted that some </w:t>
      </w:r>
      <w:r w:rsidR="00DB746C">
        <w:t xml:space="preserve">local </w:t>
      </w:r>
      <w:r>
        <w:t>councils have sufficient internal capacity to conduct GIA</w:t>
      </w:r>
      <w:r w:rsidR="006A4B1A">
        <w:t>s</w:t>
      </w:r>
      <w:r>
        <w:t xml:space="preserve"> due to gender specialisation already embedded in their </w:t>
      </w:r>
      <w:r w:rsidR="00975BF4">
        <w:t>organisation</w:t>
      </w:r>
      <w:r>
        <w:t xml:space="preserve">. However, </w:t>
      </w:r>
      <w:r w:rsidR="00975BF4">
        <w:t>this expertise is not consistent across the sector and</w:t>
      </w:r>
      <w:r>
        <w:t xml:space="preserve"> there is no oversight for varying capacity levels and limited support for councils</w:t>
      </w:r>
      <w:r w:rsidR="00975BF4">
        <w:t xml:space="preserve"> yet to build this </w:t>
      </w:r>
      <w:r>
        <w:t xml:space="preserve">knowledge. </w:t>
      </w:r>
      <w:r w:rsidR="009B66BE">
        <w:t>This interviewee</w:t>
      </w:r>
      <w:r>
        <w:t xml:space="preserve"> noted </w:t>
      </w:r>
      <w:r w:rsidR="008A0E20">
        <w:t xml:space="preserve">further work is required </w:t>
      </w:r>
      <w:r>
        <w:t xml:space="preserve">to build capability among councils, including introductory gender </w:t>
      </w:r>
      <w:r w:rsidR="00975BF4">
        <w:t xml:space="preserve">equality </w:t>
      </w:r>
      <w:r>
        <w:t xml:space="preserve">training. This </w:t>
      </w:r>
      <w:r w:rsidR="00975BF4">
        <w:t xml:space="preserve">position </w:t>
      </w:r>
      <w:r>
        <w:t xml:space="preserve">was </w:t>
      </w:r>
      <w:r w:rsidR="00975BF4">
        <w:t xml:space="preserve">supported by participants who attended </w:t>
      </w:r>
      <w:r>
        <w:t>the L</w:t>
      </w:r>
      <w:r w:rsidR="00975BF4">
        <w:t>ocal Government</w:t>
      </w:r>
      <w:r>
        <w:t xml:space="preserve"> Focus Group</w:t>
      </w:r>
      <w:r w:rsidR="00975BF4">
        <w:t xml:space="preserve">. </w:t>
      </w:r>
    </w:p>
    <w:p w14:paraId="627FE7DD" w14:textId="58462EAF" w:rsidR="00975BF4" w:rsidRDefault="00975BF4" w:rsidP="00975BF4">
      <w:pPr>
        <w:pStyle w:val="Quote"/>
      </w:pPr>
      <w:r>
        <w:t>W</w:t>
      </w:r>
      <w:r w:rsidRPr="00D95250">
        <w:t>hose responsibility is it to get sport and rec to pick up this, let's say 40-page document, and work out how to do a GIA</w:t>
      </w:r>
      <w:r>
        <w:t>?</w:t>
      </w:r>
      <w:r w:rsidRPr="00D95250">
        <w:t xml:space="preserve"> Like, they've not been trained in </w:t>
      </w:r>
      <w:r>
        <w:t>g</w:t>
      </w:r>
      <w:r w:rsidRPr="00D95250">
        <w:t xml:space="preserve">ender </w:t>
      </w:r>
      <w:r>
        <w:t>a</w:t>
      </w:r>
      <w:r w:rsidRPr="00D95250">
        <w:t>nalysis. And it</w:t>
      </w:r>
      <w:r w:rsidR="00DB746C">
        <w:t>’</w:t>
      </w:r>
      <w:r w:rsidRPr="00D95250">
        <w:t>s not specific to local government.</w:t>
      </w:r>
      <w:r>
        <w:t xml:space="preserve"> (</w:t>
      </w:r>
      <w:r w:rsidR="009B66BE">
        <w:t>Local Government Stakeholder</w:t>
      </w:r>
      <w:r w:rsidR="006A1D71">
        <w:t xml:space="preserve"> </w:t>
      </w:r>
      <w:r>
        <w:t>Interview)</w:t>
      </w:r>
    </w:p>
    <w:p w14:paraId="61117B4F" w14:textId="6F804A76" w:rsidR="00C80E24" w:rsidRDefault="00975BF4" w:rsidP="00C80E24">
      <w:pPr>
        <w:pStyle w:val="Quote"/>
      </w:pPr>
      <w:r>
        <w:t>O</w:t>
      </w:r>
      <w:r w:rsidR="00C80E24">
        <w:t>ne piece of feedback that kept recurring through the process was the fact that staff didn</w:t>
      </w:r>
      <w:r w:rsidR="00DB746C">
        <w:t>’</w:t>
      </w:r>
      <w:r w:rsidR="00C80E24">
        <w:t>t feel like gender experts and felt quite apprehensive throughout the whole process. So a lot of time was spent upskilling people building confidence that they can complete the gender impact assessment. But that was a barrier that did keep coming up was people felt like they didn</w:t>
      </w:r>
      <w:r w:rsidR="00DB746C">
        <w:t>’</w:t>
      </w:r>
      <w:r w:rsidR="00C80E24">
        <w:t>t have that cultural capital to be able to complete the assessment. (L</w:t>
      </w:r>
      <w:r w:rsidR="00AD3667">
        <w:t>ocal Government</w:t>
      </w:r>
      <w:r w:rsidR="00C80E24">
        <w:t xml:space="preserve"> Focus Group)</w:t>
      </w:r>
    </w:p>
    <w:p w14:paraId="749A9072" w14:textId="4202CAD4" w:rsidR="00C80E24" w:rsidRDefault="00C80E24" w:rsidP="00C80E24">
      <w:r>
        <w:lastRenderedPageBreak/>
        <w:t xml:space="preserve">Similarly, </w:t>
      </w:r>
      <w:r w:rsidR="001B0494">
        <w:t xml:space="preserve">participants who attended </w:t>
      </w:r>
      <w:r>
        <w:t>the</w:t>
      </w:r>
      <w:r w:rsidR="001B0494">
        <w:t xml:space="preserve"> </w:t>
      </w:r>
      <w:r w:rsidR="009B66BE">
        <w:t>Education</w:t>
      </w:r>
      <w:r w:rsidR="004D4058">
        <w:t>al</w:t>
      </w:r>
      <w:r w:rsidR="009B66BE">
        <w:t xml:space="preserve"> Insti</w:t>
      </w:r>
      <w:r w:rsidR="004D4058">
        <w:t>tutions</w:t>
      </w:r>
      <w:r>
        <w:t xml:space="preserve"> </w:t>
      </w:r>
      <w:r w:rsidR="004D4058">
        <w:t>F</w:t>
      </w:r>
      <w:r>
        <w:t xml:space="preserve">ocus </w:t>
      </w:r>
      <w:r w:rsidR="00F8377B">
        <w:t>G</w:t>
      </w:r>
      <w:r>
        <w:t xml:space="preserve">roup highlighted that while there was great support for the </w:t>
      </w:r>
      <w:r w:rsidR="00DB746C">
        <w:t xml:space="preserve">GE </w:t>
      </w:r>
      <w:r>
        <w:t>Act and GIA</w:t>
      </w:r>
      <w:r w:rsidR="006A4B1A">
        <w:t>s</w:t>
      </w:r>
      <w:r w:rsidR="001B0494">
        <w:t>,</w:t>
      </w:r>
      <w:r>
        <w:t xml:space="preserve"> </w:t>
      </w:r>
      <w:r w:rsidR="001B0494">
        <w:t>a</w:t>
      </w:r>
      <w:r>
        <w:t xml:space="preserve"> lack of resources has meant that GIA</w:t>
      </w:r>
      <w:r w:rsidR="006A4B1A">
        <w:t>s</w:t>
      </w:r>
      <w:r>
        <w:t xml:space="preserve"> have had minimal impact </w:t>
      </w:r>
      <w:r w:rsidR="00C65BB8">
        <w:t>i</w:t>
      </w:r>
      <w:r>
        <w:t>n the</w:t>
      </w:r>
      <w:r w:rsidR="00C65BB8">
        <w:t>ir</w:t>
      </w:r>
      <w:r w:rsidR="001B0494">
        <w:t xml:space="preserve"> sector. One</w:t>
      </w:r>
      <w:r w:rsidR="005C440C">
        <w:t xml:space="preserve"> </w:t>
      </w:r>
      <w:r w:rsidR="001B0494">
        <w:t>participant</w:t>
      </w:r>
      <w:r w:rsidR="004D4058">
        <w:t xml:space="preserve"> in this Focus Group</w:t>
      </w:r>
      <w:r w:rsidR="001B0494">
        <w:t xml:space="preserve"> noted the impact </w:t>
      </w:r>
      <w:r w:rsidR="005C440C">
        <w:t>as</w:t>
      </w:r>
      <w:r w:rsidR="001B0494">
        <w:t xml:space="preserve"> </w:t>
      </w:r>
      <w:r>
        <w:t>“less than inspiring”</w:t>
      </w:r>
      <w:r w:rsidR="006A4B1A">
        <w:t>.</w:t>
      </w:r>
    </w:p>
    <w:p w14:paraId="68A462D8" w14:textId="7991524D" w:rsidR="00C80E24" w:rsidRDefault="00C748BA" w:rsidP="00C80E24">
      <w:r>
        <w:t>Many noted that a</w:t>
      </w:r>
      <w:r w:rsidR="00C80E24">
        <w:t xml:space="preserve"> lack of resources</w:t>
      </w:r>
      <w:r w:rsidR="006A4B1A">
        <w:t xml:space="preserve"> – </w:t>
      </w:r>
      <w:r>
        <w:t xml:space="preserve">that </w:t>
      </w:r>
      <w:r w:rsidR="00C80E24">
        <w:t>includ</w:t>
      </w:r>
      <w:r>
        <w:t xml:space="preserve">es gender equality </w:t>
      </w:r>
      <w:r w:rsidR="00C80E24">
        <w:t>expertise</w:t>
      </w:r>
      <w:r>
        <w:t xml:space="preserve"> –</w:t>
      </w:r>
      <w:r w:rsidR="00C80E24">
        <w:t xml:space="preserve"> </w:t>
      </w:r>
      <w:r>
        <w:t>has resulted in GIA</w:t>
      </w:r>
      <w:r w:rsidR="006A4B1A">
        <w:t>s</w:t>
      </w:r>
      <w:r>
        <w:t xml:space="preserve"> becoming a</w:t>
      </w:r>
      <w:r w:rsidR="00C80E24">
        <w:t xml:space="preserve"> compliance exercise.</w:t>
      </w:r>
    </w:p>
    <w:p w14:paraId="0570EBF0" w14:textId="32A8490D" w:rsidR="00C80E24" w:rsidRDefault="00C80E24" w:rsidP="00C80E24">
      <w:pPr>
        <w:pStyle w:val="Quote"/>
      </w:pPr>
      <w:r>
        <w:t>There are huge competing priorities (against doing GIAs)</w:t>
      </w:r>
      <w:r w:rsidR="000448B6">
        <w:t>. We</w:t>
      </w:r>
      <w:r>
        <w:t xml:space="preserve"> don’t want tick and flick but it could end up getting that way</w:t>
      </w:r>
      <w:r w:rsidR="00C748BA">
        <w:t>.</w:t>
      </w:r>
      <w:r>
        <w:t xml:space="preserve"> (</w:t>
      </w:r>
      <w:r w:rsidR="00F8377B">
        <w:t>Educational Institutions</w:t>
      </w:r>
      <w:r>
        <w:t xml:space="preserve"> Focus Group)</w:t>
      </w:r>
    </w:p>
    <w:p w14:paraId="58180624" w14:textId="7D074ABE" w:rsidR="00C80E24" w:rsidRDefault="00C80E24" w:rsidP="00C80E24">
      <w:pPr>
        <w:pStyle w:val="Quote"/>
      </w:pPr>
      <w:r>
        <w:t>So we started off really well with a working group with leadership on board with training and programs, and then do due to changes of staff and portfolios</w:t>
      </w:r>
      <w:r w:rsidR="000448B6">
        <w:t>,</w:t>
      </w:r>
      <w:r>
        <w:t xml:space="preserve"> I'm kind of now trying to pick it up</w:t>
      </w:r>
      <w:r w:rsidR="004F093B">
        <w:t>.</w:t>
      </w:r>
      <w:r>
        <w:t xml:space="preserve">.. </w:t>
      </w:r>
      <w:r w:rsidR="004F093B">
        <w:t>W</w:t>
      </w:r>
      <w:r>
        <w:t>e had a diversity person for</w:t>
      </w:r>
      <w:r w:rsidR="004F093B">
        <w:t>.</w:t>
      </w:r>
      <w:r>
        <w:t>..  three or four months it was sensational. And she then for her own reasons, has left</w:t>
      </w:r>
      <w:r w:rsidR="004F093B">
        <w:t>…[I’m in]</w:t>
      </w:r>
      <w:r>
        <w:t xml:space="preserve"> panic mode, I've got all these competing priorities. I don't want this to be a tick and flick. It's really important to me, but I believe we're running the risk of potentially getting it that way</w:t>
      </w:r>
      <w:r w:rsidR="000448B6">
        <w:t xml:space="preserve">. </w:t>
      </w:r>
      <w:r>
        <w:t>(</w:t>
      </w:r>
      <w:r w:rsidR="00F8377B">
        <w:t>Educational Institutions</w:t>
      </w:r>
      <w:r>
        <w:t xml:space="preserve"> Focus Group)</w:t>
      </w:r>
    </w:p>
    <w:p w14:paraId="2CB07682" w14:textId="2AD3969A" w:rsidR="00C80E24" w:rsidRDefault="004323EC" w:rsidP="00C80E24">
      <w:r>
        <w:t>Participants reported that r</w:t>
      </w:r>
      <w:r w:rsidR="00C80E24">
        <w:t xml:space="preserve">esources </w:t>
      </w:r>
      <w:r>
        <w:t xml:space="preserve">are a critical enabler to the success of GIA. This includes resourcing </w:t>
      </w:r>
      <w:r w:rsidR="00C80E24">
        <w:t xml:space="preserve">all stages of </w:t>
      </w:r>
      <w:r>
        <w:t>GIA</w:t>
      </w:r>
      <w:r w:rsidR="006A4B1A">
        <w:t>s,</w:t>
      </w:r>
      <w:r>
        <w:t xml:space="preserve"> including</w:t>
      </w:r>
      <w:r w:rsidR="00C80E24">
        <w:t xml:space="preserve"> communication and support, adapting and applying the process to different areas and departments </w:t>
      </w:r>
      <w:r>
        <w:t xml:space="preserve">of </w:t>
      </w:r>
      <w:r w:rsidR="00C80E24">
        <w:t>a defined entity, training</w:t>
      </w:r>
      <w:r w:rsidR="00626F09">
        <w:t>,</w:t>
      </w:r>
      <w:r>
        <w:t xml:space="preserve"> and </w:t>
      </w:r>
      <w:r w:rsidR="00626F09">
        <w:t xml:space="preserve">leadership and </w:t>
      </w:r>
      <w:r>
        <w:t>staff development</w:t>
      </w:r>
      <w:r w:rsidR="00C80E24">
        <w:t xml:space="preserve">.  </w:t>
      </w:r>
    </w:p>
    <w:p w14:paraId="08BF347E" w14:textId="5F0945AA" w:rsidR="00C80E24" w:rsidRDefault="00C80E24" w:rsidP="00C80E24">
      <w:pPr>
        <w:pStyle w:val="Heading3"/>
      </w:pPr>
      <w:r>
        <w:t xml:space="preserve">Value of </w:t>
      </w:r>
      <w:r w:rsidR="00A95D1B">
        <w:t>b</w:t>
      </w:r>
      <w:r>
        <w:t xml:space="preserve">uilding </w:t>
      </w:r>
      <w:r w:rsidR="00A95D1B">
        <w:t>c</w:t>
      </w:r>
      <w:r>
        <w:t xml:space="preserve">apacity before GIA </w:t>
      </w:r>
      <w:r w:rsidR="003A348D">
        <w:t>i</w:t>
      </w:r>
      <w:r>
        <w:t>mplementation</w:t>
      </w:r>
    </w:p>
    <w:p w14:paraId="37F52CF2" w14:textId="1245686A" w:rsidR="003A348D" w:rsidRDefault="00A13D7F" w:rsidP="00C80E24">
      <w:r>
        <w:t>I</w:t>
      </w:r>
      <w:r w:rsidR="00C80E24">
        <w:t>nterview and focus group</w:t>
      </w:r>
      <w:r w:rsidR="003A348D">
        <w:t xml:space="preserve"> participants reported </w:t>
      </w:r>
      <w:r w:rsidR="00C80E24">
        <w:t>that investment in training on GIA</w:t>
      </w:r>
      <w:r w:rsidR="006A4B1A">
        <w:t>s</w:t>
      </w:r>
      <w:r w:rsidR="00C80E24">
        <w:t xml:space="preserve"> and gender equality </w:t>
      </w:r>
      <w:r w:rsidR="003A348D">
        <w:t>prior to</w:t>
      </w:r>
      <w:r w:rsidR="00C80E24">
        <w:t xml:space="preserve"> implementation</w:t>
      </w:r>
      <w:r w:rsidR="003A348D">
        <w:t xml:space="preserve"> </w:t>
      </w:r>
      <w:r>
        <w:t xml:space="preserve">is </w:t>
      </w:r>
      <w:r w:rsidR="003A348D">
        <w:t xml:space="preserve">a critical enabler </w:t>
      </w:r>
      <w:r w:rsidR="00C80E24">
        <w:t>for success</w:t>
      </w:r>
      <w:r w:rsidR="003A348D">
        <w:t xml:space="preserve">. </w:t>
      </w:r>
      <w:r w:rsidR="00C80E24">
        <w:t xml:space="preserve"> </w:t>
      </w:r>
    </w:p>
    <w:p w14:paraId="3FFD3405" w14:textId="1BCB4D24" w:rsidR="003A348D" w:rsidRDefault="003A348D" w:rsidP="003A348D">
      <w:pPr>
        <w:jc w:val="center"/>
        <w:rPr>
          <w:i/>
          <w:iCs/>
          <w:color w:val="404040" w:themeColor="text1" w:themeTint="BF"/>
        </w:rPr>
      </w:pPr>
      <w:r>
        <w:rPr>
          <w:i/>
          <w:iCs/>
          <w:color w:val="404040" w:themeColor="text1" w:themeTint="BF"/>
        </w:rPr>
        <w:t>P</w:t>
      </w:r>
      <w:r w:rsidR="00C80E24" w:rsidRPr="006B75D8">
        <w:rPr>
          <w:i/>
          <w:iCs/>
          <w:color w:val="404040" w:themeColor="text1" w:themeTint="BF"/>
        </w:rPr>
        <w:t>eople do see the value after doing the training</w:t>
      </w:r>
      <w:r>
        <w:rPr>
          <w:i/>
          <w:iCs/>
          <w:color w:val="404040" w:themeColor="text1" w:themeTint="BF"/>
        </w:rPr>
        <w:t>.</w:t>
      </w:r>
      <w:r w:rsidR="00C80E24" w:rsidRPr="006B75D8">
        <w:rPr>
          <w:i/>
          <w:iCs/>
          <w:color w:val="404040" w:themeColor="text1" w:themeTint="BF"/>
        </w:rPr>
        <w:t xml:space="preserve"> (</w:t>
      </w:r>
      <w:r w:rsidR="00F8377B">
        <w:rPr>
          <w:i/>
          <w:iCs/>
          <w:color w:val="404040" w:themeColor="text1" w:themeTint="BF"/>
        </w:rPr>
        <w:t>Educational Institutions</w:t>
      </w:r>
      <w:r w:rsidR="00C80E24" w:rsidRPr="006B75D8">
        <w:rPr>
          <w:i/>
          <w:iCs/>
          <w:color w:val="404040" w:themeColor="text1" w:themeTint="BF"/>
        </w:rPr>
        <w:t xml:space="preserve"> Focus Group) </w:t>
      </w:r>
    </w:p>
    <w:p w14:paraId="2A4D8264" w14:textId="016C1BD8" w:rsidR="00C80E24" w:rsidRPr="006B75D8" w:rsidRDefault="003144B8" w:rsidP="006B75D8">
      <w:pPr>
        <w:jc w:val="center"/>
        <w:rPr>
          <w:i/>
          <w:iCs/>
          <w:color w:val="404040" w:themeColor="text1" w:themeTint="BF"/>
        </w:rPr>
      </w:pPr>
      <w:r>
        <w:rPr>
          <w:i/>
          <w:iCs/>
          <w:color w:val="404040" w:themeColor="text1" w:themeTint="BF"/>
        </w:rPr>
        <w:t>N</w:t>
      </w:r>
      <w:r w:rsidR="00C80E24" w:rsidRPr="006B75D8">
        <w:rPr>
          <w:i/>
          <w:iCs/>
          <w:color w:val="404040" w:themeColor="text1" w:themeTint="BF"/>
        </w:rPr>
        <w:t xml:space="preserve">ot until the </w:t>
      </w:r>
      <w:r w:rsidR="00F8377B">
        <w:rPr>
          <w:i/>
          <w:iCs/>
          <w:color w:val="404040" w:themeColor="text1" w:themeTint="BF"/>
        </w:rPr>
        <w:t>…</w:t>
      </w:r>
      <w:r w:rsidR="00F8377B" w:rsidRPr="006B75D8">
        <w:rPr>
          <w:i/>
          <w:iCs/>
          <w:color w:val="404040" w:themeColor="text1" w:themeTint="BF"/>
        </w:rPr>
        <w:t xml:space="preserve"> </w:t>
      </w:r>
      <w:r w:rsidR="00C80E24" w:rsidRPr="006B75D8">
        <w:rPr>
          <w:i/>
          <w:iCs/>
          <w:color w:val="404040" w:themeColor="text1" w:themeTint="BF"/>
        </w:rPr>
        <w:t>training on GIA that people suddenly go “I get it</w:t>
      </w:r>
      <w:r w:rsidR="003A348D">
        <w:rPr>
          <w:i/>
          <w:iCs/>
          <w:color w:val="404040" w:themeColor="text1" w:themeTint="BF"/>
        </w:rPr>
        <w:t>.</w:t>
      </w:r>
      <w:r w:rsidR="00C80E24" w:rsidRPr="006B75D8">
        <w:rPr>
          <w:i/>
          <w:iCs/>
          <w:color w:val="404040" w:themeColor="text1" w:themeTint="BF"/>
        </w:rPr>
        <w:t>” (</w:t>
      </w:r>
      <w:r w:rsidR="00F8377B">
        <w:rPr>
          <w:i/>
          <w:iCs/>
          <w:color w:val="404040" w:themeColor="text1" w:themeTint="BF"/>
        </w:rPr>
        <w:t>Educational Institutions</w:t>
      </w:r>
      <w:r w:rsidR="00C80E24" w:rsidRPr="006B75D8">
        <w:rPr>
          <w:i/>
          <w:iCs/>
          <w:color w:val="404040" w:themeColor="text1" w:themeTint="BF"/>
        </w:rPr>
        <w:t xml:space="preserve"> Focus Group)</w:t>
      </w:r>
    </w:p>
    <w:p w14:paraId="7A900E24" w14:textId="1D530FDC" w:rsidR="00C80E24" w:rsidRDefault="00C80E24" w:rsidP="00C80E24">
      <w:r>
        <w:t xml:space="preserve">Some organisations </w:t>
      </w:r>
      <w:r w:rsidR="003A348D">
        <w:t xml:space="preserve">reported that they </w:t>
      </w:r>
      <w:r>
        <w:t>ha</w:t>
      </w:r>
      <w:r w:rsidR="003A348D">
        <w:t>d</w:t>
      </w:r>
      <w:r>
        <w:t xml:space="preserve"> invested in building the capacity and capability of their staff prior to </w:t>
      </w:r>
      <w:r w:rsidR="003A348D">
        <w:t>GIA</w:t>
      </w:r>
      <w:r>
        <w:t xml:space="preserve"> implementation</w:t>
      </w:r>
      <w:r w:rsidR="003A348D">
        <w:t xml:space="preserve">. </w:t>
      </w:r>
    </w:p>
    <w:p w14:paraId="3288D2AA" w14:textId="2B74D781" w:rsidR="00C80E24" w:rsidRPr="00D22F0B" w:rsidRDefault="003144B8" w:rsidP="006B75D8">
      <w:pPr>
        <w:pStyle w:val="Quote"/>
      </w:pPr>
      <w:r>
        <w:t>W</w:t>
      </w:r>
      <w:r w:rsidR="00C80E24">
        <w:t>e've needed to find the funding for is to make sure that people really do understand what they're being asked to do, and to build their capacity to actually do it in a reasonably sophisticated sort of way, because our projects are very complex</w:t>
      </w:r>
      <w:r w:rsidR="005C440C">
        <w:t>.</w:t>
      </w:r>
      <w:r w:rsidR="00C80E24">
        <w:t xml:space="preserve"> (Water Utility</w:t>
      </w:r>
      <w:r w:rsidR="006A1D71">
        <w:t xml:space="preserve"> Interview</w:t>
      </w:r>
      <w:r w:rsidR="00C80E24">
        <w:t>)</w:t>
      </w:r>
    </w:p>
    <w:p w14:paraId="46068ED6" w14:textId="0BC37584" w:rsidR="00C80E24" w:rsidRPr="007C700E" w:rsidRDefault="003144B8" w:rsidP="00C80E24">
      <w:r>
        <w:t>Interview and focus group participants from defined entities who did not undertake training prior to commencing GIA</w:t>
      </w:r>
      <w:r w:rsidR="006A4B1A">
        <w:t>s</w:t>
      </w:r>
      <w:r>
        <w:t xml:space="preserve"> found it was</w:t>
      </w:r>
      <w:r w:rsidR="00C80E24" w:rsidRPr="007C700E">
        <w:t xml:space="preserve"> more difficult to get traction</w:t>
      </w:r>
      <w:r>
        <w:t xml:space="preserve">. </w:t>
      </w:r>
    </w:p>
    <w:p w14:paraId="04A281BC" w14:textId="20D272F7" w:rsidR="00C80E24" w:rsidRPr="007C700E" w:rsidRDefault="00C80E24" w:rsidP="00C80E24">
      <w:pPr>
        <w:pStyle w:val="Quote"/>
      </w:pPr>
      <w:r w:rsidRPr="007C700E">
        <w:t>I did get some people on board, but not everybody could really follow what I was saying. And the time and the headspace to put towards it was just too big</w:t>
      </w:r>
      <w:r w:rsidR="00A60883">
        <w:t>…</w:t>
      </w:r>
      <w:r w:rsidRPr="007C700E">
        <w:t xml:space="preserve"> it was just really hard for people to get their head around. (Health Focus Group)</w:t>
      </w:r>
    </w:p>
    <w:p w14:paraId="66CF1FA4" w14:textId="44913FED" w:rsidR="00C80E24" w:rsidRDefault="003144B8" w:rsidP="006B75D8">
      <w:pPr>
        <w:pStyle w:val="Quote"/>
      </w:pPr>
      <w:r>
        <w:t>W</w:t>
      </w:r>
      <w:r w:rsidR="00C80E24" w:rsidRPr="00F752A4">
        <w:t xml:space="preserve">ithout somebody to have a portfolio that actually has </w:t>
      </w:r>
      <w:r>
        <w:t>gender equity</w:t>
      </w:r>
      <w:r w:rsidR="00C80E24" w:rsidRPr="00F752A4">
        <w:t xml:space="preserve"> and</w:t>
      </w:r>
      <w:r>
        <w:t xml:space="preserve"> prevention of violence against women </w:t>
      </w:r>
      <w:r w:rsidR="00C80E24" w:rsidRPr="00F752A4">
        <w:t xml:space="preserve">and whatever in their job description, well, you can't expect them to be able to somehow just create... I mean, who's gonna </w:t>
      </w:r>
      <w:r w:rsidR="00C80E24" w:rsidRPr="00F752A4">
        <w:lastRenderedPageBreak/>
        <w:t>actually be the champion of this work across the organisation?</w:t>
      </w:r>
      <w:r w:rsidR="00C80E24">
        <w:t xml:space="preserve"> (</w:t>
      </w:r>
      <w:r w:rsidR="00F8377B">
        <w:t>Local Government Stakeholder</w:t>
      </w:r>
      <w:r w:rsidR="006A1D71" w:rsidRPr="00414F22">
        <w:t xml:space="preserve"> </w:t>
      </w:r>
      <w:r w:rsidR="00C80E24" w:rsidRPr="00C07B0D">
        <w:t>Interview</w:t>
      </w:r>
      <w:r w:rsidR="00C80E24" w:rsidRPr="00414F22">
        <w:t>)</w:t>
      </w:r>
    </w:p>
    <w:p w14:paraId="32FDCBEB" w14:textId="40BAEF6F" w:rsidR="00C80E24" w:rsidRDefault="00B6538A" w:rsidP="00C80E24">
      <w:r>
        <w:t>S</w:t>
      </w:r>
      <w:r w:rsidR="00C80E24">
        <w:t>ome organisations</w:t>
      </w:r>
      <w:r>
        <w:t xml:space="preserve"> reported that they were </w:t>
      </w:r>
      <w:r w:rsidR="00C80E24">
        <w:t xml:space="preserve">able to bring in </w:t>
      </w:r>
      <w:r>
        <w:t>external</w:t>
      </w:r>
      <w:r w:rsidR="00C80E24">
        <w:t xml:space="preserve"> expertise</w:t>
      </w:r>
      <w:r>
        <w:t>,</w:t>
      </w:r>
      <w:r w:rsidR="00C80E24">
        <w:t xml:space="preserve"> but only as a support resource</w:t>
      </w:r>
      <w:r>
        <w:t>,</w:t>
      </w:r>
      <w:r w:rsidR="00C80E24">
        <w:t xml:space="preserve"> rather than an ongoing </w:t>
      </w:r>
      <w:r>
        <w:t>re</w:t>
      </w:r>
      <w:r w:rsidR="00C80E24">
        <w:t xml:space="preserve">source </w:t>
      </w:r>
      <w:r>
        <w:t>that could build</w:t>
      </w:r>
      <w:r w:rsidR="00C80E24">
        <w:t xml:space="preserve"> internal </w:t>
      </w:r>
      <w:r>
        <w:t xml:space="preserve">organisational </w:t>
      </w:r>
      <w:r w:rsidR="00C80E24">
        <w:t>capacity.</w:t>
      </w:r>
    </w:p>
    <w:p w14:paraId="7809DDC1" w14:textId="3D9C57A9" w:rsidR="00C80E24" w:rsidRDefault="00C80E24" w:rsidP="006B75D8">
      <w:pPr>
        <w:pStyle w:val="Quote"/>
      </w:pPr>
      <w:r>
        <w:t xml:space="preserve">We've been working with </w:t>
      </w:r>
      <w:r w:rsidR="00F8377B">
        <w:t xml:space="preserve">[a </w:t>
      </w:r>
      <w:r w:rsidR="00ED5B29">
        <w:t>consultant from the Panel of Providers</w:t>
      </w:r>
      <w:r w:rsidR="00F8377B">
        <w:t>]</w:t>
      </w:r>
      <w:r>
        <w:t xml:space="preserve"> on the development of our GEAP and we've also bought in some funding for a consultant to help us with the GIA. That'll be for next year, but it's just dependent on what happens internally in terms of the funding. So, some resources have been provided, but there is the expectation that my team does manage the implementation of the G</w:t>
      </w:r>
      <w:r w:rsidR="00B6538A">
        <w:t>E</w:t>
      </w:r>
      <w:r>
        <w:t xml:space="preserve"> Bill long term</w:t>
      </w:r>
      <w:r w:rsidR="00B6538A">
        <w:t>.</w:t>
      </w:r>
      <w:r>
        <w:t xml:space="preserve"> (L</w:t>
      </w:r>
      <w:r w:rsidR="00B6538A">
        <w:t>ocal Government</w:t>
      </w:r>
      <w:r>
        <w:t xml:space="preserve"> Focus Group)</w:t>
      </w:r>
    </w:p>
    <w:p w14:paraId="2D8D401B" w14:textId="02279E4D" w:rsidR="00C80E24" w:rsidRDefault="00046D20" w:rsidP="00C80E24">
      <w:pPr>
        <w:pStyle w:val="Heading2"/>
      </w:pPr>
      <w:bookmarkStart w:id="15" w:name="_Toc96348281"/>
      <w:r>
        <w:t>Access to gender equality e</w:t>
      </w:r>
      <w:r w:rsidR="00C80E24">
        <w:t>xpertise</w:t>
      </w:r>
      <w:bookmarkEnd w:id="15"/>
      <w:r w:rsidR="00C80E24">
        <w:t xml:space="preserve"> </w:t>
      </w:r>
    </w:p>
    <w:p w14:paraId="1EE1238D" w14:textId="78A7EE5C" w:rsidR="00C80E24" w:rsidRPr="003A1F6E" w:rsidRDefault="00805AFE" w:rsidP="00C80E24">
      <w:r>
        <w:t>Interview and focus group participants reported that a</w:t>
      </w:r>
      <w:r w:rsidR="00C80E24">
        <w:t xml:space="preserve">ccess to </w:t>
      </w:r>
      <w:r>
        <w:t xml:space="preserve">gender equality </w:t>
      </w:r>
      <w:r w:rsidR="00C80E24">
        <w:t xml:space="preserve">expertise in the form of personnel, external </w:t>
      </w:r>
      <w:r w:rsidR="00AE1575">
        <w:t>consultants,</w:t>
      </w:r>
      <w:r w:rsidR="00C80E24">
        <w:t xml:space="preserve"> and skilled workers </w:t>
      </w:r>
      <w:r>
        <w:t>i</w:t>
      </w:r>
      <w:r w:rsidR="00C80E24">
        <w:t xml:space="preserve">s an ongoing issue for </w:t>
      </w:r>
      <w:r w:rsidR="00046D20">
        <w:t xml:space="preserve">their </w:t>
      </w:r>
      <w:r w:rsidR="00C80E24">
        <w:t>organisations</w:t>
      </w:r>
      <w:r w:rsidR="00046D20">
        <w:t>’</w:t>
      </w:r>
      <w:r w:rsidR="00C80E24">
        <w:t xml:space="preserve"> </w:t>
      </w:r>
      <w:r w:rsidR="00046D20">
        <w:t xml:space="preserve">GIA </w:t>
      </w:r>
      <w:r w:rsidR="00C80E24" w:rsidRPr="003A1F6E">
        <w:t>implement</w:t>
      </w:r>
      <w:r w:rsidR="00046D20" w:rsidRPr="003A1F6E">
        <w:t>ation</w:t>
      </w:r>
      <w:r w:rsidR="00C80E24" w:rsidRPr="003A1F6E">
        <w:t>.</w:t>
      </w:r>
    </w:p>
    <w:p w14:paraId="3E1DA699" w14:textId="589EBFD5" w:rsidR="00C80E24" w:rsidRPr="003A1F6E" w:rsidRDefault="003A1F6E" w:rsidP="00C80E24">
      <w:r w:rsidRPr="006B75D8">
        <w:t xml:space="preserve">For some larger public sector </w:t>
      </w:r>
      <w:r w:rsidR="00AE1575" w:rsidRPr="00AE1575">
        <w:t>entities,</w:t>
      </w:r>
      <w:r w:rsidRPr="006B75D8">
        <w:t xml:space="preserve"> th</w:t>
      </w:r>
      <w:r>
        <w:t>e</w:t>
      </w:r>
      <w:r w:rsidRPr="006B75D8">
        <w:t xml:space="preserve"> issue</w:t>
      </w:r>
      <w:r>
        <w:t xml:space="preserve"> of gender equality expertise</w:t>
      </w:r>
      <w:r w:rsidRPr="006B75D8">
        <w:t xml:space="preserve"> is linked to the scale of GIA</w:t>
      </w:r>
      <w:r w:rsidR="006A4B1A">
        <w:t>s</w:t>
      </w:r>
      <w:r w:rsidR="00DB746C">
        <w:t xml:space="preserve"> being undertaken</w:t>
      </w:r>
      <w:r w:rsidRPr="006B75D8">
        <w:t xml:space="preserve">. </w:t>
      </w:r>
      <w:r w:rsidR="00FF7A36">
        <w:t xml:space="preserve">The State Government Agency </w:t>
      </w:r>
      <w:r w:rsidR="00BA0092">
        <w:t>interviewee</w:t>
      </w:r>
      <w:r w:rsidR="00046D20" w:rsidRPr="003A1F6E">
        <w:t xml:space="preserve"> </w:t>
      </w:r>
      <w:r>
        <w:t xml:space="preserve">reported </w:t>
      </w:r>
      <w:r w:rsidR="00C80E24" w:rsidRPr="003A1F6E">
        <w:t>challenge</w:t>
      </w:r>
      <w:r w:rsidR="00FC5B82">
        <w:t>s associated with</w:t>
      </w:r>
      <w:r w:rsidR="00C80E24" w:rsidRPr="003A1F6E">
        <w:t xml:space="preserve"> scal</w:t>
      </w:r>
      <w:r>
        <w:t>ing up a GIA to apply it to</w:t>
      </w:r>
      <w:r w:rsidR="00FC5B82">
        <w:t xml:space="preserve"> </w:t>
      </w:r>
      <w:r w:rsidR="00FF7A36">
        <w:t xml:space="preserve"> a</w:t>
      </w:r>
      <w:r w:rsidR="001E40E9">
        <w:t>n extensive</w:t>
      </w:r>
      <w:r w:rsidR="00FF7A36">
        <w:t xml:space="preserve"> </w:t>
      </w:r>
      <w:r w:rsidR="0018610D">
        <w:t>10-year Government strategy</w:t>
      </w:r>
      <w:r w:rsidR="00C80E24" w:rsidRPr="003A1F6E">
        <w:t xml:space="preserve">. They couldn’t source best-practice examples for projects of this </w:t>
      </w:r>
      <w:r w:rsidR="00AE1575" w:rsidRPr="003A1F6E">
        <w:t>scale and</w:t>
      </w:r>
      <w:r w:rsidR="00C80E24" w:rsidRPr="003A1F6E">
        <w:t xml:space="preserve"> struggled to determine how broadly to scope the work and what their final outputs should be. They would like to see resources of this kind provided. </w:t>
      </w:r>
    </w:p>
    <w:p w14:paraId="1D16664E" w14:textId="51612F92" w:rsidR="00C80E24" w:rsidRDefault="00DD6140" w:rsidP="00C80E24">
      <w:pPr>
        <w:pStyle w:val="Heading3"/>
      </w:pPr>
      <w:r>
        <w:t>The v</w:t>
      </w:r>
      <w:r w:rsidR="00C80E24">
        <w:t xml:space="preserve">alue of partnering with </w:t>
      </w:r>
      <w:r w:rsidR="003A1F6E">
        <w:t>g</w:t>
      </w:r>
      <w:r w:rsidR="00C80E24">
        <w:t xml:space="preserve">ender </w:t>
      </w:r>
      <w:r w:rsidR="003A1F6E">
        <w:t>e</w:t>
      </w:r>
      <w:r w:rsidR="00C80E24">
        <w:t xml:space="preserve">quity </w:t>
      </w:r>
      <w:r w:rsidR="003A1F6E">
        <w:t>e</w:t>
      </w:r>
      <w:r w:rsidR="00C80E24">
        <w:t>xperts</w:t>
      </w:r>
    </w:p>
    <w:p w14:paraId="7F5F9121" w14:textId="70C5AA47" w:rsidR="00C80E24" w:rsidRDefault="00AB70C6" w:rsidP="00C80E24">
      <w:r>
        <w:t xml:space="preserve">Many </w:t>
      </w:r>
      <w:r w:rsidR="00FC5B82">
        <w:t>interviews</w:t>
      </w:r>
      <w:r>
        <w:t xml:space="preserve"> and focus group participants reported that a</w:t>
      </w:r>
      <w:r w:rsidR="00FC5B82">
        <w:t xml:space="preserve">n </w:t>
      </w:r>
      <w:r>
        <w:t>enabler for the success of GIA is t</w:t>
      </w:r>
      <w:r w:rsidR="00C80E24">
        <w:t>he ability to access gender equity expertise</w:t>
      </w:r>
      <w:r>
        <w:t xml:space="preserve">. This was noted as critical to </w:t>
      </w:r>
      <w:r w:rsidR="00C80E24">
        <w:t>enabl</w:t>
      </w:r>
      <w:r>
        <w:t>ing</w:t>
      </w:r>
      <w:r w:rsidR="00C80E24">
        <w:t xml:space="preserve"> </w:t>
      </w:r>
      <w:r>
        <w:t xml:space="preserve">staff </w:t>
      </w:r>
      <w:r w:rsidR="00C80E24">
        <w:t>in</w:t>
      </w:r>
      <w:r>
        <w:t>-</w:t>
      </w:r>
      <w:r w:rsidR="00C80E24">
        <w:t xml:space="preserve">house to partner with </w:t>
      </w:r>
      <w:r w:rsidR="00397702">
        <w:t xml:space="preserve">subject matter experts and their colleagues </w:t>
      </w:r>
      <w:r w:rsidR="00C80E24">
        <w:t xml:space="preserve">to apply </w:t>
      </w:r>
      <w:r>
        <w:t xml:space="preserve">the </w:t>
      </w:r>
      <w:r w:rsidR="00C80E24">
        <w:t xml:space="preserve">GIA process. </w:t>
      </w:r>
    </w:p>
    <w:p w14:paraId="104F942E" w14:textId="7D0BC305" w:rsidR="00C80E24" w:rsidRDefault="004C52FE" w:rsidP="00C80E24">
      <w:pPr>
        <w:pStyle w:val="Quote"/>
      </w:pPr>
      <w:r>
        <w:t>W</w:t>
      </w:r>
      <w:r w:rsidR="00C80E24" w:rsidRPr="002052DB">
        <w:t>hen I tried to explain in their language what a GI</w:t>
      </w:r>
      <w:r w:rsidR="00C80E24">
        <w:t>A</w:t>
      </w:r>
      <w:r w:rsidR="00C80E24" w:rsidRPr="002052DB">
        <w:t xml:space="preserve"> was and give them examples of what it was that we could do. That was really tough. </w:t>
      </w:r>
      <w:r w:rsidR="00CF0747">
        <w:t>W</w:t>
      </w:r>
      <w:r w:rsidR="00C80E24" w:rsidRPr="002052DB">
        <w:t xml:space="preserve">e are </w:t>
      </w:r>
      <w:r w:rsidR="00CF0747">
        <w:t xml:space="preserve">a </w:t>
      </w:r>
      <w:r w:rsidR="00C80E24" w:rsidRPr="002052DB">
        <w:t xml:space="preserve">very specialized </w:t>
      </w:r>
      <w:r w:rsidR="00BF3565">
        <w:t xml:space="preserve">[health] </w:t>
      </w:r>
      <w:r w:rsidR="00C80E24" w:rsidRPr="002052DB">
        <w:t>service</w:t>
      </w:r>
      <w:r w:rsidR="00C80E24">
        <w:t xml:space="preserve">. </w:t>
      </w:r>
      <w:r w:rsidR="00C80E24" w:rsidRPr="00D34CB8">
        <w:t>(Health Focus Group)</w:t>
      </w:r>
    </w:p>
    <w:p w14:paraId="78AA91BF" w14:textId="47459B70" w:rsidR="00C80E24" w:rsidRDefault="00AB70C6" w:rsidP="00C80E24">
      <w:r>
        <w:t>Participants from the</w:t>
      </w:r>
      <w:r w:rsidR="00C80E24">
        <w:t xml:space="preserve"> </w:t>
      </w:r>
      <w:r w:rsidR="001E40E9">
        <w:t>Regional Local Government Focus Group</w:t>
      </w:r>
      <w:r w:rsidR="00C80E24">
        <w:t xml:space="preserve"> </w:t>
      </w:r>
      <w:r w:rsidR="007B4F1B">
        <w:t xml:space="preserve">– which </w:t>
      </w:r>
      <w:r w:rsidR="00353D8D">
        <w:t xml:space="preserve">is </w:t>
      </w:r>
      <w:r w:rsidR="007B4F1B">
        <w:t>comprise</w:t>
      </w:r>
      <w:r w:rsidR="00353D8D">
        <w:t>d</w:t>
      </w:r>
      <w:r w:rsidR="007B4F1B">
        <w:t xml:space="preserve"> of a range of sectors</w:t>
      </w:r>
      <w:r w:rsidR="00353D8D">
        <w:t xml:space="preserve"> – </w:t>
      </w:r>
      <w:r>
        <w:t>reported t</w:t>
      </w:r>
      <w:r w:rsidR="00C80E24">
        <w:t xml:space="preserve">hat </w:t>
      </w:r>
      <w:r w:rsidR="00C80E24" w:rsidRPr="00333B52">
        <w:t xml:space="preserve">many entities have limited gender specialisation within their current workforce. </w:t>
      </w:r>
      <w:r>
        <w:t>This</w:t>
      </w:r>
      <w:r w:rsidR="00C80E24">
        <w:t xml:space="preserve"> </w:t>
      </w:r>
      <w:r>
        <w:t>f</w:t>
      </w:r>
      <w:r w:rsidR="00C80E24">
        <w:t xml:space="preserve">ocus </w:t>
      </w:r>
      <w:r>
        <w:t>g</w:t>
      </w:r>
      <w:r w:rsidR="00C80E24">
        <w:t xml:space="preserve">roup </w:t>
      </w:r>
      <w:r>
        <w:t xml:space="preserve">reported that </w:t>
      </w:r>
      <w:r w:rsidR="00C80E24" w:rsidRPr="00067E71">
        <w:t xml:space="preserve">while there is generally limited access to gender specialisation </w:t>
      </w:r>
      <w:r w:rsidR="007B4F1B">
        <w:t>within their organisation</w:t>
      </w:r>
      <w:r w:rsidR="00C80E24" w:rsidRPr="00067E71">
        <w:t>, partnering with organisations like Women’s Health Services</w:t>
      </w:r>
      <w:r>
        <w:t xml:space="preserve"> provide</w:t>
      </w:r>
      <w:r w:rsidR="00353D8D">
        <w:t>s</w:t>
      </w:r>
      <w:r w:rsidR="00C80E24" w:rsidRPr="00067E71">
        <w:t xml:space="preserve"> valuable resourc</w:t>
      </w:r>
      <w:r w:rsidR="00353D8D">
        <w:t>ing</w:t>
      </w:r>
      <w:r w:rsidR="00C80E24" w:rsidRPr="00067E71">
        <w:t xml:space="preserve"> to support GIA</w:t>
      </w:r>
      <w:r w:rsidR="00353D8D">
        <w:t>s</w:t>
      </w:r>
      <w:r w:rsidR="007B4F1B">
        <w:t>.</w:t>
      </w:r>
      <w:r w:rsidR="00405D37" w:rsidRPr="00405D37">
        <w:t xml:space="preserve"> </w:t>
      </w:r>
      <w:r w:rsidR="00405D37">
        <w:t>Participants reported that sharing knowledge through collaboration and networks is an enabler to build gender equ</w:t>
      </w:r>
      <w:r w:rsidR="007B4F1B">
        <w:t>ality</w:t>
      </w:r>
      <w:r w:rsidR="00405D37">
        <w:t xml:space="preserve"> expertise and capability. </w:t>
      </w:r>
    </w:p>
    <w:p w14:paraId="42A65176" w14:textId="13661E11" w:rsidR="00C80E24" w:rsidRDefault="00DB63D2" w:rsidP="00C80E24">
      <w:pPr>
        <w:rPr>
          <w:rFonts w:asciiTheme="majorHAnsi" w:hAnsiTheme="majorHAnsi" w:cstheme="majorHAnsi"/>
        </w:rPr>
      </w:pPr>
      <w:r>
        <w:t>It was noted that e</w:t>
      </w:r>
      <w:r w:rsidR="00C80E24" w:rsidRPr="00333B52">
        <w:t xml:space="preserve">specially within larger entities, building organisation-wide gender knowledge </w:t>
      </w:r>
      <w:r>
        <w:t>i</w:t>
      </w:r>
      <w:r w:rsidR="00C80E24" w:rsidRPr="00333B52">
        <w:t xml:space="preserve">s challenging. Employing specialist staff to lead the work </w:t>
      </w:r>
      <w:r w:rsidR="001D6BE5">
        <w:t>can</w:t>
      </w:r>
      <w:r>
        <w:t xml:space="preserve"> mean that </w:t>
      </w:r>
      <w:r w:rsidR="00C80E24" w:rsidRPr="00333B52">
        <w:t xml:space="preserve">this knowledge </w:t>
      </w:r>
      <w:r>
        <w:t xml:space="preserve">is </w:t>
      </w:r>
      <w:r w:rsidR="00C80E24" w:rsidRPr="00333B52">
        <w:t xml:space="preserve">not embedded. </w:t>
      </w:r>
      <w:r>
        <w:t>S</w:t>
      </w:r>
      <w:r w:rsidR="00C80E24">
        <w:t>imilar issues with access to expertise were also highlighted for smaller organisations with limited resources</w:t>
      </w:r>
      <w:r w:rsidR="001D6BE5">
        <w:t xml:space="preserve"> to employ external consultants</w:t>
      </w:r>
      <w:r w:rsidR="00C80E24">
        <w:t xml:space="preserve">. </w:t>
      </w:r>
    </w:p>
    <w:p w14:paraId="018FE620" w14:textId="1AE98ADB" w:rsidR="00C80E24" w:rsidRDefault="00277488" w:rsidP="00C80E24">
      <w:r>
        <w:t xml:space="preserve">Many </w:t>
      </w:r>
      <w:r w:rsidR="00C80E24">
        <w:t>defined entities</w:t>
      </w:r>
      <w:r w:rsidR="00A635AB">
        <w:t xml:space="preserve"> spoke of </w:t>
      </w:r>
      <w:r w:rsidR="00DF63CF">
        <w:t xml:space="preserve">the </w:t>
      </w:r>
      <w:r w:rsidR="00A635AB">
        <w:t>need</w:t>
      </w:r>
      <w:r w:rsidR="00DF63CF">
        <w:t xml:space="preserve"> </w:t>
      </w:r>
      <w:r w:rsidR="00A635AB">
        <w:t xml:space="preserve">to build </w:t>
      </w:r>
      <w:r w:rsidR="00DF63CF">
        <w:t xml:space="preserve">sustainable </w:t>
      </w:r>
      <w:r w:rsidR="00A635AB">
        <w:t xml:space="preserve">gender equality </w:t>
      </w:r>
      <w:r w:rsidR="00C80E24">
        <w:t>capacity within</w:t>
      </w:r>
      <w:r w:rsidR="00A635AB">
        <w:t xml:space="preserve"> their organisations. </w:t>
      </w:r>
      <w:r w:rsidR="00F746A7">
        <w:t xml:space="preserve">The State Government Agency </w:t>
      </w:r>
      <w:r w:rsidR="004D0F2F">
        <w:t>interviewee</w:t>
      </w:r>
      <w:r w:rsidR="00C80E24">
        <w:t xml:space="preserve"> </w:t>
      </w:r>
      <w:r w:rsidR="00C80E24" w:rsidRPr="00BE732E">
        <w:t xml:space="preserve">noted that arranging consultants to conduct GIA work was not sustainable, and there </w:t>
      </w:r>
      <w:r w:rsidR="00DF63CF">
        <w:t>i</w:t>
      </w:r>
      <w:r w:rsidR="00C80E24" w:rsidRPr="00BE732E">
        <w:t>s a need to build capacity within the V</w:t>
      </w:r>
      <w:r w:rsidR="00DF63CF">
        <w:t xml:space="preserve">ictorian </w:t>
      </w:r>
      <w:r w:rsidR="00C80E24" w:rsidRPr="00BE732E">
        <w:t>P</w:t>
      </w:r>
      <w:r w:rsidR="00DF63CF">
        <w:t xml:space="preserve">ublic </w:t>
      </w:r>
      <w:r w:rsidR="00C80E24" w:rsidRPr="00BE732E">
        <w:t>S</w:t>
      </w:r>
      <w:r w:rsidR="00DF63CF">
        <w:t>ervice (VPS)</w:t>
      </w:r>
      <w:r w:rsidR="00C80E24" w:rsidRPr="00BE732E">
        <w:t xml:space="preserve">. </w:t>
      </w:r>
      <w:r w:rsidR="00F746A7">
        <w:t xml:space="preserve">This </w:t>
      </w:r>
      <w:r w:rsidR="004D0F2F">
        <w:t>i</w:t>
      </w:r>
      <w:r w:rsidR="001F5D04">
        <w:t>n</w:t>
      </w:r>
      <w:r w:rsidR="004D0F2F">
        <w:t>terviewee</w:t>
      </w:r>
      <w:r w:rsidR="00F746A7">
        <w:t xml:space="preserve"> also</w:t>
      </w:r>
      <w:r w:rsidR="00DF63CF">
        <w:t xml:space="preserve"> </w:t>
      </w:r>
      <w:r w:rsidR="00C80E24" w:rsidRPr="00BE732E">
        <w:t xml:space="preserve">noted that their GIA was time-consuming and </w:t>
      </w:r>
      <w:r w:rsidR="00DF63CF">
        <w:t xml:space="preserve">that </w:t>
      </w:r>
      <w:r w:rsidR="00C80E24" w:rsidRPr="00BE732E">
        <w:t xml:space="preserve">time </w:t>
      </w:r>
      <w:r w:rsidR="00C80E24" w:rsidRPr="00BE732E">
        <w:lastRenderedPageBreak/>
        <w:t xml:space="preserve">constraints are likely to be a significant barrier </w:t>
      </w:r>
      <w:r w:rsidR="00DF63CF">
        <w:t>in the future. They recommend</w:t>
      </w:r>
      <w:r w:rsidR="00C80E24" w:rsidRPr="00BE732E">
        <w:t xml:space="preserve"> the VPS provide ‘internal consultants’ with gender specialisation to assist with GIA</w:t>
      </w:r>
      <w:r w:rsidR="00353D8D">
        <w:t xml:space="preserve"> work</w:t>
      </w:r>
      <w:r w:rsidR="00C80E24" w:rsidRPr="00BE732E">
        <w:t xml:space="preserve">. </w:t>
      </w:r>
    </w:p>
    <w:p w14:paraId="7AE1F9DD" w14:textId="56EF23E2" w:rsidR="00C80E24" w:rsidRDefault="00442875" w:rsidP="00C80E24">
      <w:pPr>
        <w:pStyle w:val="Heading2"/>
      </w:pPr>
      <w:bookmarkStart w:id="16" w:name="_Toc96348282"/>
      <w:r>
        <w:t>The r</w:t>
      </w:r>
      <w:r w:rsidR="00C80E24">
        <w:t>ole of the Commission</w:t>
      </w:r>
      <w:bookmarkEnd w:id="16"/>
    </w:p>
    <w:p w14:paraId="4A3B7B3F" w14:textId="198B4EC0" w:rsidR="00C80E24" w:rsidRDefault="005A3583" w:rsidP="00C80E24">
      <w:r w:rsidRPr="005A3583">
        <w:t>I</w:t>
      </w:r>
      <w:r w:rsidR="00B92954" w:rsidRPr="005A3583">
        <w:t>nterview and focus group</w:t>
      </w:r>
      <w:r w:rsidR="004E6678">
        <w:t xml:space="preserve"> participants</w:t>
      </w:r>
      <w:r w:rsidR="00B92954" w:rsidRPr="005A3583">
        <w:t xml:space="preserve"> spoke of </w:t>
      </w:r>
      <w:r w:rsidRPr="005A3583">
        <w:t xml:space="preserve">the </w:t>
      </w:r>
      <w:r w:rsidRPr="006B75D8">
        <w:t>Commission</w:t>
      </w:r>
      <w:r>
        <w:t>’s</w:t>
      </w:r>
      <w:r w:rsidRPr="005A3583">
        <w:t xml:space="preserve"> </w:t>
      </w:r>
      <w:r w:rsidR="00C80E24" w:rsidRPr="005A3583">
        <w:t>expertise</w:t>
      </w:r>
      <w:r w:rsidRPr="005A3583">
        <w:t xml:space="preserve"> </w:t>
      </w:r>
      <w:r w:rsidR="004E6678">
        <w:t xml:space="preserve">and leadership </w:t>
      </w:r>
      <w:r w:rsidRPr="005A3583">
        <w:t xml:space="preserve">as a critical enabler to </w:t>
      </w:r>
      <w:r w:rsidR="003C342F">
        <w:t xml:space="preserve">GIA </w:t>
      </w:r>
      <w:r w:rsidRPr="005A3583">
        <w:t>success</w:t>
      </w:r>
      <w:r w:rsidR="007D121D">
        <w:t xml:space="preserve"> and cultural change to promote gender equality in Victoria</w:t>
      </w:r>
      <w:r w:rsidR="003C342F">
        <w:t xml:space="preserve">. </w:t>
      </w:r>
    </w:p>
    <w:p w14:paraId="447EEB00" w14:textId="1F1CF5C4" w:rsidR="003C342F" w:rsidRDefault="003C342F" w:rsidP="003C342F">
      <w:pPr>
        <w:pStyle w:val="Quote"/>
      </w:pPr>
      <w:r>
        <w:t>W</w:t>
      </w:r>
      <w:r w:rsidRPr="00971454">
        <w:t xml:space="preserve">e were really blessed and we had a strong connection with the </w:t>
      </w:r>
      <w:r>
        <w:t>C</w:t>
      </w:r>
      <w:r w:rsidRPr="00971454">
        <w:t>ommissioner. And that was something that we initiated right at the start across that pilot program</w:t>
      </w:r>
      <w:r>
        <w:t>. (</w:t>
      </w:r>
      <w:r w:rsidR="00F746A7">
        <w:t>Rural Victoria, Sports and Recreation</w:t>
      </w:r>
      <w:r>
        <w:t xml:space="preserve"> Focus Group)</w:t>
      </w:r>
    </w:p>
    <w:p w14:paraId="05619E5E" w14:textId="350D1734" w:rsidR="007D121D" w:rsidRPr="00C148B7" w:rsidRDefault="007D121D" w:rsidP="007D121D">
      <w:pPr>
        <w:pStyle w:val="Quote"/>
      </w:pPr>
      <w:r>
        <w:t xml:space="preserve">The </w:t>
      </w:r>
      <w:r w:rsidR="00442EAD">
        <w:t>C</w:t>
      </w:r>
      <w:r>
        <w:t xml:space="preserve">ommission could actually really support practitioners by them having those conversations with leaders, and then leaders coming to the D&amp;I practitioner or others, and saying, </w:t>
      </w:r>
      <w:r w:rsidR="00C246DB">
        <w:t>‘</w:t>
      </w:r>
      <w:r>
        <w:t>Hey, this is really important for our organisation.</w:t>
      </w:r>
      <w:r w:rsidR="00C246DB">
        <w:t>’</w:t>
      </w:r>
      <w:r>
        <w:t xml:space="preserve"> There's a great opportunity for us to make a contribution to creating gender equality across our community. (Water Utility</w:t>
      </w:r>
      <w:r w:rsidRPr="004E6678">
        <w:t xml:space="preserve"> </w:t>
      </w:r>
      <w:r>
        <w:t>Interview)</w:t>
      </w:r>
    </w:p>
    <w:p w14:paraId="23E1133A" w14:textId="44E19839" w:rsidR="007D121D" w:rsidRPr="00C07B0D" w:rsidRDefault="007D121D" w:rsidP="006B75D8">
      <w:r w:rsidRPr="00085C1A">
        <w:t>Participants acknowledged that the Commission has a large reform agenda</w:t>
      </w:r>
      <w:r w:rsidR="00150360">
        <w:t>. Many reported a</w:t>
      </w:r>
      <w:r>
        <w:t xml:space="preserve"> </w:t>
      </w:r>
      <w:r w:rsidRPr="000254A0">
        <w:t xml:space="preserve">need for the Commission to provide greater </w:t>
      </w:r>
      <w:r>
        <w:t xml:space="preserve">GIA </w:t>
      </w:r>
      <w:r w:rsidRPr="000254A0">
        <w:t>resources</w:t>
      </w:r>
      <w:r>
        <w:t>,</w:t>
      </w:r>
      <w:r w:rsidRPr="000254A0">
        <w:t xml:space="preserve"> support</w:t>
      </w:r>
      <w:r w:rsidR="00C405D7">
        <w:t>,</w:t>
      </w:r>
      <w:r>
        <w:t xml:space="preserve"> and </w:t>
      </w:r>
      <w:r w:rsidR="00F564D0">
        <w:t xml:space="preserve">to </w:t>
      </w:r>
      <w:r>
        <w:t>be more accessible to the sector</w:t>
      </w:r>
      <w:r w:rsidRPr="000254A0">
        <w:t>.</w:t>
      </w:r>
    </w:p>
    <w:p w14:paraId="66F40DF4" w14:textId="523FE5CE" w:rsidR="00C80E24" w:rsidRDefault="00B92954" w:rsidP="00C80E24">
      <w:pPr>
        <w:pStyle w:val="Quote"/>
      </w:pPr>
      <w:r>
        <w:t>The C</w:t>
      </w:r>
      <w:r w:rsidR="00C80E24">
        <w:t xml:space="preserve">ommission has done a </w:t>
      </w:r>
      <w:r w:rsidR="00706135">
        <w:t>power</w:t>
      </w:r>
      <w:r w:rsidR="00C80E24">
        <w:t xml:space="preserve"> of work to try and really translate, you know, the government's just handed in this agenda, which I'm completely supportive of</w:t>
      </w:r>
      <w:r>
        <w:t>…</w:t>
      </w:r>
      <w:r w:rsidR="00C80E24">
        <w:t xml:space="preserve"> </w:t>
      </w:r>
      <w:r>
        <w:t>Y</w:t>
      </w:r>
      <w:r w:rsidR="00C80E24">
        <w:t>ou know, they've now got to implement that</w:t>
      </w:r>
      <w:r w:rsidR="005A3583">
        <w:t xml:space="preserve">… </w:t>
      </w:r>
      <w:r w:rsidR="00C80E24">
        <w:t xml:space="preserve">Dr. Vincent </w:t>
      </w:r>
      <w:r w:rsidR="005A3583">
        <w:t xml:space="preserve">has </w:t>
      </w:r>
      <w:r w:rsidR="00C80E24">
        <w:t>done a power of speaking</w:t>
      </w:r>
      <w:r>
        <w:t>… But</w:t>
      </w:r>
      <w:r w:rsidR="00C80E24">
        <w:t xml:space="preserve"> yeah there's a whole lot more that we need</w:t>
      </w:r>
      <w:r w:rsidR="005A3583">
        <w:t>.</w:t>
      </w:r>
      <w:r>
        <w:t xml:space="preserve"> </w:t>
      </w:r>
      <w:r w:rsidR="00C80E24">
        <w:t>(</w:t>
      </w:r>
      <w:r w:rsidR="00F746A7">
        <w:t>Educational Institutes</w:t>
      </w:r>
      <w:r w:rsidR="00C80E24">
        <w:t xml:space="preserve"> Focus Group)</w:t>
      </w:r>
    </w:p>
    <w:p w14:paraId="3BC84353" w14:textId="1CFEE5F1" w:rsidR="00C80E24" w:rsidRDefault="00C80E24" w:rsidP="00C80E24">
      <w:pPr>
        <w:pStyle w:val="Quote"/>
      </w:pPr>
      <w:r>
        <w:t>I understand that they've</w:t>
      </w:r>
      <w:r w:rsidR="005A3583">
        <w:t xml:space="preserve"> [the Commission]</w:t>
      </w:r>
      <w:r>
        <w:t xml:space="preserve"> probably been smashed just like us. But it's just made it, like, so much more pressure on us, because they haven't had this response. And </w:t>
      </w:r>
      <w:r w:rsidR="00B92954">
        <w:t>l</w:t>
      </w:r>
      <w:r>
        <w:t>eading up to the gender audit, they did get a whole lot quicker</w:t>
      </w:r>
      <w:r w:rsidR="007F4487">
        <w:t xml:space="preserve">… </w:t>
      </w:r>
      <w:r>
        <w:t>I got responses within a day</w:t>
      </w:r>
      <w:r w:rsidR="00B92954">
        <w:t>.</w:t>
      </w:r>
      <w:r>
        <w:t xml:space="preserve"> (Health Focus Group)</w:t>
      </w:r>
    </w:p>
    <w:p w14:paraId="7AD502FA" w14:textId="785FE759" w:rsidR="00C80E24" w:rsidRPr="000B1D75" w:rsidRDefault="007F4487" w:rsidP="00C80E24">
      <w:pPr>
        <w:pStyle w:val="Quote"/>
      </w:pPr>
      <w:r>
        <w:t>Y</w:t>
      </w:r>
      <w:r w:rsidR="00C80E24" w:rsidRPr="000B1D75">
        <w:t>ou go to the Commission</w:t>
      </w:r>
      <w:r>
        <w:t xml:space="preserve"> [website]</w:t>
      </w:r>
      <w:r w:rsidR="00C80E24" w:rsidRPr="000B1D75">
        <w:t xml:space="preserve"> it's big</w:t>
      </w:r>
      <w:r>
        <w:t>.</w:t>
      </w:r>
      <w:r w:rsidR="00C80E24" w:rsidRPr="000B1D75">
        <w:t xml:space="preserve"> </w:t>
      </w:r>
      <w:r>
        <w:t>I</w:t>
      </w:r>
      <w:r w:rsidR="00C80E24" w:rsidRPr="000B1D75">
        <w:t>t can become quite overwhelming the amount of resources to get your head around and everything else. (</w:t>
      </w:r>
      <w:r w:rsidR="00593E9C">
        <w:t>Regional Local Government</w:t>
      </w:r>
      <w:r w:rsidR="00C80E24" w:rsidRPr="000B1D75">
        <w:t xml:space="preserve"> Focus Group)</w:t>
      </w:r>
    </w:p>
    <w:p w14:paraId="15207005" w14:textId="09C0DE8D" w:rsidR="00C80E24" w:rsidRDefault="00C80E24" w:rsidP="00C80E24">
      <w:r w:rsidRPr="00150360">
        <w:t>The Commission</w:t>
      </w:r>
      <w:r w:rsidR="00150360" w:rsidRPr="00150360">
        <w:t xml:space="preserve"> staff who participated in a focus group were</w:t>
      </w:r>
      <w:r w:rsidRPr="00150360">
        <w:t xml:space="preserve"> </w:t>
      </w:r>
      <w:r w:rsidR="00F46074" w:rsidRPr="00150360">
        <w:t>highly</w:t>
      </w:r>
      <w:r w:rsidRPr="00150360">
        <w:t xml:space="preserve"> </w:t>
      </w:r>
      <w:r w:rsidR="00150360" w:rsidRPr="00150360">
        <w:t>cognisant</w:t>
      </w:r>
      <w:r w:rsidRPr="00150360">
        <w:t xml:space="preserve"> of the opportunities</w:t>
      </w:r>
      <w:r w:rsidR="00F46074" w:rsidRPr="00150360">
        <w:t xml:space="preserve"> provided by </w:t>
      </w:r>
      <w:r w:rsidR="00150360" w:rsidRPr="00150360">
        <w:t>the</w:t>
      </w:r>
      <w:r w:rsidR="00F46074" w:rsidRPr="00150360">
        <w:t xml:space="preserve"> </w:t>
      </w:r>
      <w:r w:rsidR="00F0673C">
        <w:t xml:space="preserve">GE </w:t>
      </w:r>
      <w:r w:rsidR="00150360" w:rsidRPr="00150360">
        <w:t xml:space="preserve">Act in creating meaningful social change, as well as the </w:t>
      </w:r>
      <w:r w:rsidRPr="00150360">
        <w:t>limitations</w:t>
      </w:r>
      <w:r w:rsidR="00150360" w:rsidRPr="006B75D8">
        <w:t xml:space="preserve"> associated with a time of immense change and disruption</w:t>
      </w:r>
      <w:r w:rsidR="00150360" w:rsidRPr="00150360">
        <w:t xml:space="preserve"> within the public sector. </w:t>
      </w:r>
    </w:p>
    <w:p w14:paraId="46BCB8E0" w14:textId="6349E93C" w:rsidR="00921C83" w:rsidRPr="00005E05" w:rsidRDefault="00735826" w:rsidP="00921C83">
      <w:r w:rsidRPr="00735826">
        <w:t xml:space="preserve">The Commission staff discussed the </w:t>
      </w:r>
      <w:r w:rsidR="00921C83" w:rsidRPr="00735826">
        <w:t xml:space="preserve">range of </w:t>
      </w:r>
      <w:r w:rsidRPr="00735826">
        <w:t xml:space="preserve">education and </w:t>
      </w:r>
      <w:r w:rsidR="00921C83" w:rsidRPr="00735826">
        <w:t>support</w:t>
      </w:r>
      <w:r w:rsidRPr="00735826">
        <w:t xml:space="preserve"> required </w:t>
      </w:r>
      <w:r w:rsidR="00C405D7">
        <w:t>by</w:t>
      </w:r>
      <w:r w:rsidRPr="00735826">
        <w:t xml:space="preserve"> the Victorian public sector</w:t>
      </w:r>
      <w:r w:rsidR="00442EAD">
        <w:t xml:space="preserve"> to effectively implement GIA</w:t>
      </w:r>
      <w:r w:rsidR="00C405D7">
        <w:t>s</w:t>
      </w:r>
      <w:r w:rsidR="00442EAD">
        <w:t xml:space="preserve"> and the requirements of the</w:t>
      </w:r>
      <w:r w:rsidR="00F0673C">
        <w:t xml:space="preserve"> GE</w:t>
      </w:r>
      <w:r w:rsidR="00442EAD">
        <w:t xml:space="preserve"> Act. </w:t>
      </w:r>
    </w:p>
    <w:p w14:paraId="7F2FD844" w14:textId="7177F12A" w:rsidR="00735826" w:rsidRPr="006B75D8" w:rsidRDefault="00921C83" w:rsidP="00BF1C53">
      <w:r>
        <w:t>The Commission staff</w:t>
      </w:r>
      <w:r w:rsidR="00413F43">
        <w:t xml:space="preserve"> also</w:t>
      </w:r>
      <w:r>
        <w:t xml:space="preserve"> noted </w:t>
      </w:r>
      <w:r w:rsidRPr="00A95317">
        <w:t>tension</w:t>
      </w:r>
      <w:r>
        <w:t xml:space="preserve"> regarding sector expectations and the volume of organisations, and the Commission’s finite</w:t>
      </w:r>
      <w:r w:rsidRPr="00A95317">
        <w:t xml:space="preserve"> resources</w:t>
      </w:r>
      <w:r>
        <w:t xml:space="preserve"> to implement the broad remit of the</w:t>
      </w:r>
      <w:r w:rsidR="00F0673C">
        <w:t xml:space="preserve"> GE</w:t>
      </w:r>
      <w:r>
        <w:t xml:space="preserve"> Act</w:t>
      </w:r>
      <w:r w:rsidR="00442EAD">
        <w:t xml:space="preserve">. This </w:t>
      </w:r>
      <w:r w:rsidRPr="00005E05">
        <w:t xml:space="preserve">includes </w:t>
      </w:r>
      <w:r w:rsidRPr="006B75D8">
        <w:t>promoting and advancing the objects of this Act, supporting defined entities to comply with this Act</w:t>
      </w:r>
      <w:r w:rsidR="008943E2">
        <w:t>,</w:t>
      </w:r>
      <w:r w:rsidRPr="006B75D8">
        <w:t xml:space="preserve"> and providing advice to defined entities about the operation of the</w:t>
      </w:r>
      <w:r w:rsidR="00F0673C">
        <w:t xml:space="preserve"> GE</w:t>
      </w:r>
      <w:r w:rsidRPr="006B75D8">
        <w:t xml:space="preserve"> Act</w:t>
      </w:r>
      <w:r>
        <w:t xml:space="preserve">, among other </w:t>
      </w:r>
      <w:r w:rsidR="00442EAD">
        <w:t>obligations</w:t>
      </w:r>
      <w:r w:rsidRPr="006B75D8">
        <w:t>.</w:t>
      </w:r>
      <w:r w:rsidR="00593E9C">
        <w:t xml:space="preserve">  </w:t>
      </w:r>
      <w:r w:rsidR="00735826" w:rsidRPr="006B75D8">
        <w:t>The Commission’s role as a regulator and the tension and opportunities regarding  supporting </w:t>
      </w:r>
      <w:hyperlink r:id="rId24" w:history="1">
        <w:r w:rsidR="00735826" w:rsidRPr="006B75D8">
          <w:t>defined entities</w:t>
        </w:r>
      </w:hyperlink>
      <w:r w:rsidR="00735826" w:rsidRPr="006B75D8">
        <w:t> to improve gender equality and ensur</w:t>
      </w:r>
      <w:r w:rsidR="00442EAD">
        <w:t>e</w:t>
      </w:r>
      <w:r w:rsidR="00735826" w:rsidRPr="006B75D8">
        <w:t xml:space="preserve"> they </w:t>
      </w:r>
      <w:hyperlink r:id="rId25" w:history="1">
        <w:r w:rsidR="00735826" w:rsidRPr="006B75D8">
          <w:t>comply</w:t>
        </w:r>
      </w:hyperlink>
      <w:r w:rsidR="00735826" w:rsidRPr="006B75D8">
        <w:t xml:space="preserve"> with the </w:t>
      </w:r>
      <w:r w:rsidR="00F0673C">
        <w:t xml:space="preserve">GE </w:t>
      </w:r>
      <w:r w:rsidR="00735826" w:rsidRPr="006B75D8">
        <w:t xml:space="preserve">Act was also </w:t>
      </w:r>
      <w:r w:rsidR="00735826">
        <w:t xml:space="preserve">discussed. </w:t>
      </w:r>
      <w:r w:rsidR="00735826" w:rsidRPr="006B75D8">
        <w:t xml:space="preserve"> </w:t>
      </w:r>
    </w:p>
    <w:p w14:paraId="264527A5" w14:textId="77777777" w:rsidR="000F146E" w:rsidRDefault="000F146E" w:rsidP="000F146E">
      <w:pPr>
        <w:pStyle w:val="Heading2"/>
      </w:pPr>
      <w:bookmarkStart w:id="17" w:name="_Toc96348283"/>
      <w:r w:rsidRPr="006B75D8">
        <w:lastRenderedPageBreak/>
        <w:t>Access to simple, targeted resources tailored and contextualised to sectors</w:t>
      </w:r>
      <w:bookmarkEnd w:id="17"/>
    </w:p>
    <w:p w14:paraId="19B810BE" w14:textId="10DF9B0F" w:rsidR="00F44BCA" w:rsidRDefault="00F564D0" w:rsidP="00F44BCA">
      <w:r>
        <w:t xml:space="preserve">Interview and focus group participants </w:t>
      </w:r>
      <w:r w:rsidR="00C80E24">
        <w:t>consistent</w:t>
      </w:r>
      <w:r>
        <w:t xml:space="preserve">ly noted </w:t>
      </w:r>
      <w:r w:rsidR="00C80E24">
        <w:t xml:space="preserve">that the </w:t>
      </w:r>
      <w:r>
        <w:t xml:space="preserve">Commission’s </w:t>
      </w:r>
      <w:r w:rsidR="00C80E24">
        <w:t xml:space="preserve">current </w:t>
      </w:r>
      <w:r>
        <w:t xml:space="preserve">GIA </w:t>
      </w:r>
      <w:r w:rsidR="00C80E24">
        <w:t xml:space="preserve">tools and resources </w:t>
      </w:r>
      <w:r>
        <w:t>are</w:t>
      </w:r>
      <w:r w:rsidR="00C80E24">
        <w:t xml:space="preserve"> too complex and need to be simplified and contextualised for </w:t>
      </w:r>
      <w:r w:rsidR="00F44BCA">
        <w:t xml:space="preserve">different </w:t>
      </w:r>
      <w:r w:rsidR="00C80E24">
        <w:t>sector</w:t>
      </w:r>
      <w:r w:rsidR="00F44BCA">
        <w:t>s</w:t>
      </w:r>
      <w:r w:rsidR="00C80E24">
        <w:t>.</w:t>
      </w:r>
      <w:r w:rsidR="00F44BCA" w:rsidRPr="00F44BCA">
        <w:t xml:space="preserve"> </w:t>
      </w:r>
      <w:r w:rsidR="002B3E42">
        <w:t>Many entities reported</w:t>
      </w:r>
      <w:r w:rsidR="002B3E42" w:rsidRPr="006158B0">
        <w:t xml:space="preserve"> barriers to sourcing their own training</w:t>
      </w:r>
      <w:r w:rsidR="002B3E42">
        <w:t xml:space="preserve"> due to </w:t>
      </w:r>
      <w:r w:rsidR="002B3E42" w:rsidRPr="006158B0">
        <w:t>expens</w:t>
      </w:r>
      <w:r w:rsidR="002B3E42">
        <w:t>e</w:t>
      </w:r>
      <w:r w:rsidR="002B3E42" w:rsidRPr="006158B0">
        <w:t xml:space="preserve"> </w:t>
      </w:r>
      <w:r w:rsidR="00CB5FBB">
        <w:t>and that the Commission’s</w:t>
      </w:r>
      <w:r w:rsidR="002B3E42">
        <w:t xml:space="preserve"> training resources</w:t>
      </w:r>
      <w:r w:rsidR="00CB5FBB">
        <w:t xml:space="preserve"> had </w:t>
      </w:r>
      <w:r w:rsidR="002B3E42">
        <w:t xml:space="preserve">limited </w:t>
      </w:r>
      <w:r w:rsidR="002B3E42" w:rsidRPr="006158B0">
        <w:t>relevance to their work</w:t>
      </w:r>
      <w:r w:rsidR="002B3E42">
        <w:t xml:space="preserve">. </w:t>
      </w:r>
      <w:r w:rsidR="00F44BCA">
        <w:t>Large d</w:t>
      </w:r>
      <w:r w:rsidR="00F44BCA" w:rsidRPr="006158B0">
        <w:t>efined entities</w:t>
      </w:r>
      <w:r w:rsidR="00CB5FBB">
        <w:t xml:space="preserve"> also</w:t>
      </w:r>
      <w:r w:rsidR="00F44BCA">
        <w:t xml:space="preserve"> reported</w:t>
      </w:r>
      <w:r w:rsidR="00F44BCA" w:rsidRPr="006158B0">
        <w:t xml:space="preserve"> challeng</w:t>
      </w:r>
      <w:r w:rsidR="00F44BCA">
        <w:t>es</w:t>
      </w:r>
      <w:r w:rsidR="00F44BCA" w:rsidRPr="006158B0">
        <w:t xml:space="preserve"> </w:t>
      </w:r>
      <w:r w:rsidR="00F44BCA">
        <w:t>in</w:t>
      </w:r>
      <w:r w:rsidR="00F44BCA" w:rsidRPr="006158B0">
        <w:t xml:space="preserve"> scal</w:t>
      </w:r>
      <w:r w:rsidR="00F44BCA">
        <w:t>ing</w:t>
      </w:r>
      <w:r w:rsidR="00F44BCA" w:rsidRPr="006158B0">
        <w:t xml:space="preserve"> </w:t>
      </w:r>
      <w:r w:rsidR="00F44BCA">
        <w:t xml:space="preserve">up </w:t>
      </w:r>
      <w:r w:rsidR="00F44BCA" w:rsidRPr="006158B0">
        <w:t xml:space="preserve">the advice </w:t>
      </w:r>
      <w:r w:rsidR="00F44BCA">
        <w:t>for</w:t>
      </w:r>
      <w:r w:rsidR="00F44BCA" w:rsidRPr="006158B0">
        <w:t xml:space="preserve"> large</w:t>
      </w:r>
      <w:r w:rsidR="00F44BCA">
        <w:t xml:space="preserve"> </w:t>
      </w:r>
      <w:r w:rsidR="00F44BCA" w:rsidRPr="006158B0">
        <w:t>projects</w:t>
      </w:r>
      <w:r w:rsidR="00F44BCA">
        <w:t xml:space="preserve"> and initiatives.</w:t>
      </w:r>
    </w:p>
    <w:p w14:paraId="19F4D392" w14:textId="77777777" w:rsidR="001A0B17" w:rsidRDefault="001A0B17" w:rsidP="001A0B17">
      <w:pPr>
        <w:pStyle w:val="Quote"/>
      </w:pPr>
      <w:r>
        <w:t>T</w:t>
      </w:r>
      <w:r w:rsidRPr="00CB08AB">
        <w:t xml:space="preserve">he length of the Commission's toolkit was a barrier for some of our departments. </w:t>
      </w:r>
      <w:r>
        <w:t xml:space="preserve"> (Local Government Focus Group)</w:t>
      </w:r>
    </w:p>
    <w:p w14:paraId="606547F4" w14:textId="77777777" w:rsidR="001A0B17" w:rsidRDefault="001A0B17" w:rsidP="001A0B17">
      <w:pPr>
        <w:pStyle w:val="Quote"/>
      </w:pPr>
      <w:r w:rsidRPr="00DA4E96">
        <w:t>I kept feeling like every time I'd return to the guidelines from the Commission, it was just pushing me into feeling like I was doing my thesis again</w:t>
      </w:r>
      <w:r>
        <w:t>..</w:t>
      </w:r>
      <w:r w:rsidRPr="00DA4E96">
        <w:t xml:space="preserve">. </w:t>
      </w:r>
      <w:r>
        <w:t>r</w:t>
      </w:r>
      <w:r w:rsidRPr="00DA4E96">
        <w:t xml:space="preserve">eally hard work. </w:t>
      </w:r>
      <w:r>
        <w:t>(Health Focus Group)</w:t>
      </w:r>
    </w:p>
    <w:p w14:paraId="711B2767" w14:textId="03535E5D" w:rsidR="001A0B17" w:rsidRDefault="001A0B17" w:rsidP="00C80E24">
      <w:r>
        <w:t>Participants reported that accessible, simplified</w:t>
      </w:r>
      <w:r w:rsidR="00C80E24" w:rsidRPr="006158B0">
        <w:t xml:space="preserve"> resources that support</w:t>
      </w:r>
      <w:r w:rsidR="00CB5FBB">
        <w:t xml:space="preserve"> defined entities</w:t>
      </w:r>
      <w:r>
        <w:t xml:space="preserve"> to </w:t>
      </w:r>
      <w:r w:rsidR="00C80E24" w:rsidRPr="006158B0">
        <w:t>understand the basics</w:t>
      </w:r>
      <w:r>
        <w:t xml:space="preserve"> </w:t>
      </w:r>
      <w:r w:rsidR="00CB5FBB">
        <w:t xml:space="preserve">are </w:t>
      </w:r>
      <w:r>
        <w:t>needed,</w:t>
      </w:r>
      <w:r w:rsidR="00C80E24" w:rsidRPr="006158B0">
        <w:t xml:space="preserve"> as well </w:t>
      </w:r>
      <w:r>
        <w:t xml:space="preserve">as resources that engage diverse learning methods, </w:t>
      </w:r>
      <w:r w:rsidR="00C80E24" w:rsidRPr="006158B0">
        <w:t xml:space="preserve">such as video content. </w:t>
      </w:r>
    </w:p>
    <w:p w14:paraId="2EEA2E7B" w14:textId="3742E7F9" w:rsidR="007D40FD" w:rsidRPr="007D40FD" w:rsidRDefault="002B3E42">
      <w:r w:rsidRPr="00C07B0D">
        <w:t xml:space="preserve">A </w:t>
      </w:r>
      <w:r w:rsidR="00D36533">
        <w:t xml:space="preserve">consistent </w:t>
      </w:r>
      <w:r w:rsidRPr="00C07B0D">
        <w:t>barrier identified throughout</w:t>
      </w:r>
      <w:r w:rsidR="00D36533">
        <w:t xml:space="preserve"> the interviews and</w:t>
      </w:r>
      <w:r w:rsidRPr="00C07B0D">
        <w:t xml:space="preserve"> focus groups</w:t>
      </w:r>
      <w:r w:rsidR="007D40FD" w:rsidRPr="003D35B4">
        <w:t xml:space="preserve"> </w:t>
      </w:r>
      <w:r w:rsidR="008943E2">
        <w:t>wa</w:t>
      </w:r>
      <w:r w:rsidR="007D40FD" w:rsidRPr="00C07B0D">
        <w:t>s that the current</w:t>
      </w:r>
      <w:r w:rsidR="007D40FD">
        <w:t xml:space="preserve"> Commission</w:t>
      </w:r>
      <w:r w:rsidR="007D40FD" w:rsidRPr="00C07B0D">
        <w:t xml:space="preserve"> guidance is not tailor</w:t>
      </w:r>
      <w:r w:rsidR="007D40FD" w:rsidRPr="003D35B4">
        <w:t>ed</w:t>
      </w:r>
      <w:r w:rsidR="007D40FD" w:rsidRPr="00865152">
        <w:t xml:space="preserve"> and customised to different defined entity sectors</w:t>
      </w:r>
      <w:r w:rsidR="007D40FD">
        <w:t xml:space="preserve">. </w:t>
      </w:r>
    </w:p>
    <w:p w14:paraId="515B7188" w14:textId="1784F1A7" w:rsidR="007D40FD" w:rsidRDefault="007D40FD" w:rsidP="007D40FD">
      <w:pPr>
        <w:pStyle w:val="Quote"/>
      </w:pPr>
      <w:r>
        <w:t>W</w:t>
      </w:r>
      <w:r w:rsidRPr="00411204">
        <w:t xml:space="preserve">e didn't find </w:t>
      </w:r>
      <w:r>
        <w:t xml:space="preserve">that </w:t>
      </w:r>
      <w:r w:rsidRPr="00411204">
        <w:t>the Commission's stuff was really useful for our context</w:t>
      </w:r>
      <w:r>
        <w:t>…</w:t>
      </w:r>
      <w:r w:rsidRPr="00411204">
        <w:t>we did some research and found a health impact assessment from the Advisory Board, which is like a health peak body</w:t>
      </w:r>
      <w:r>
        <w:t>…</w:t>
      </w:r>
      <w:r w:rsidRPr="00411204">
        <w:t xml:space="preserve"> we kind of took their tools and templates and</w:t>
      </w:r>
      <w:r>
        <w:t>…</w:t>
      </w:r>
      <w:r w:rsidRPr="00411204">
        <w:t xml:space="preserve"> tried to make sure that everything that was covered from the Commission is covered</w:t>
      </w:r>
      <w:r>
        <w:t>. (Health Focus Group)</w:t>
      </w:r>
    </w:p>
    <w:p w14:paraId="7058D982" w14:textId="07C9F4FF" w:rsidR="000F146E" w:rsidRDefault="007D40FD" w:rsidP="006B75D8">
      <w:r w:rsidRPr="006B75D8">
        <w:t>Many defined entities, as well as the Commission</w:t>
      </w:r>
      <w:r w:rsidRPr="00C07B0D">
        <w:t xml:space="preserve">, </w:t>
      </w:r>
      <w:r w:rsidRPr="006B75D8">
        <w:t xml:space="preserve">reported </w:t>
      </w:r>
      <w:r w:rsidRPr="00C07B0D">
        <w:t xml:space="preserve">that </w:t>
      </w:r>
      <w:r w:rsidRPr="003D35B4">
        <w:t>tailor</w:t>
      </w:r>
      <w:r w:rsidRPr="00865152">
        <w:t xml:space="preserve">ing and customising </w:t>
      </w:r>
      <w:r w:rsidR="00D36533">
        <w:t xml:space="preserve">guidance </w:t>
      </w:r>
      <w:r w:rsidRPr="00C07B0D">
        <w:t>for different sectors and their GIA work</w:t>
      </w:r>
      <w:r w:rsidRPr="003D35B4">
        <w:t xml:space="preserve"> would be of great benefit</w:t>
      </w:r>
      <w:r w:rsidRPr="00865152">
        <w:t xml:space="preserve">. </w:t>
      </w:r>
    </w:p>
    <w:p w14:paraId="0DC621B9" w14:textId="14DDB590" w:rsidR="00C80E24" w:rsidRDefault="00C80E24" w:rsidP="00C80E24">
      <w:pPr>
        <w:pStyle w:val="Quote"/>
      </w:pPr>
      <w:r w:rsidRPr="00EF63DB">
        <w:t xml:space="preserve">I think even the tiered approach of what's direct and significant having </w:t>
      </w:r>
      <w:r w:rsidR="00706135">
        <w:t xml:space="preserve">to </w:t>
      </w:r>
      <w:r w:rsidRPr="00EF63DB">
        <w:t>create clear guidelines on what that means for local government. I know people are developing their own</w:t>
      </w:r>
      <w:r w:rsidR="000F146E">
        <w:t>…</w:t>
      </w:r>
      <w:r w:rsidRPr="00EF63DB">
        <w:t xml:space="preserve"> </w:t>
      </w:r>
      <w:r w:rsidR="000F146E">
        <w:t>[but]</w:t>
      </w:r>
      <w:r w:rsidRPr="00EF63DB">
        <w:t xml:space="preserve"> a uniform understanding of what that means</w:t>
      </w:r>
      <w:r>
        <w:t>. (L</w:t>
      </w:r>
      <w:r w:rsidR="000F146E">
        <w:t xml:space="preserve">ocal Government </w:t>
      </w:r>
      <w:r>
        <w:t>Focus Group)</w:t>
      </w:r>
    </w:p>
    <w:p w14:paraId="2D031164" w14:textId="1CCA1FCA" w:rsidR="00752960" w:rsidRPr="006B75D8" w:rsidRDefault="00752960" w:rsidP="00752960">
      <w:pPr>
        <w:rPr>
          <w:rFonts w:asciiTheme="majorHAnsi" w:eastAsiaTheme="majorEastAsia" w:hAnsiTheme="majorHAnsi" w:cstheme="majorBidi"/>
          <w:color w:val="C77C0E" w:themeColor="accent1" w:themeShade="BF"/>
          <w:sz w:val="26"/>
          <w:szCs w:val="26"/>
        </w:rPr>
      </w:pPr>
      <w:r w:rsidRPr="006B75D8">
        <w:rPr>
          <w:rFonts w:asciiTheme="majorHAnsi" w:eastAsiaTheme="majorEastAsia" w:hAnsiTheme="majorHAnsi" w:cstheme="majorBidi"/>
          <w:color w:val="C77C0E" w:themeColor="accent1" w:themeShade="BF"/>
          <w:sz w:val="26"/>
          <w:szCs w:val="26"/>
        </w:rPr>
        <w:t>Sector</w:t>
      </w:r>
      <w:r w:rsidR="008943E2">
        <w:rPr>
          <w:rFonts w:asciiTheme="majorHAnsi" w:eastAsiaTheme="majorEastAsia" w:hAnsiTheme="majorHAnsi" w:cstheme="majorBidi"/>
          <w:color w:val="C77C0E" w:themeColor="accent1" w:themeShade="BF"/>
          <w:sz w:val="26"/>
          <w:szCs w:val="26"/>
        </w:rPr>
        <w:t>-</w:t>
      </w:r>
      <w:r w:rsidRPr="006B75D8">
        <w:rPr>
          <w:rFonts w:asciiTheme="majorHAnsi" w:eastAsiaTheme="majorEastAsia" w:hAnsiTheme="majorHAnsi" w:cstheme="majorBidi"/>
          <w:color w:val="C77C0E" w:themeColor="accent1" w:themeShade="BF"/>
          <w:sz w:val="26"/>
          <w:szCs w:val="26"/>
        </w:rPr>
        <w:t xml:space="preserve"> and regional</w:t>
      </w:r>
      <w:r w:rsidR="008943E2">
        <w:rPr>
          <w:rFonts w:asciiTheme="majorHAnsi" w:eastAsiaTheme="majorEastAsia" w:hAnsiTheme="majorHAnsi" w:cstheme="majorBidi"/>
          <w:color w:val="C77C0E" w:themeColor="accent1" w:themeShade="BF"/>
          <w:sz w:val="26"/>
          <w:szCs w:val="26"/>
        </w:rPr>
        <w:t>-</w:t>
      </w:r>
      <w:r w:rsidRPr="006B75D8">
        <w:rPr>
          <w:rFonts w:asciiTheme="majorHAnsi" w:eastAsiaTheme="majorEastAsia" w:hAnsiTheme="majorHAnsi" w:cstheme="majorBidi"/>
          <w:color w:val="C77C0E" w:themeColor="accent1" w:themeShade="BF"/>
          <w:sz w:val="26"/>
          <w:szCs w:val="26"/>
        </w:rPr>
        <w:t xml:space="preserve">based practice forums and communities of practice </w:t>
      </w:r>
    </w:p>
    <w:p w14:paraId="41F3E5F8" w14:textId="66C5030D" w:rsidR="00752960" w:rsidRPr="006B75D8" w:rsidRDefault="00E60CAF" w:rsidP="00752960">
      <w:r w:rsidRPr="00752960">
        <w:t xml:space="preserve">A number of focus group and interview participants identified the </w:t>
      </w:r>
      <w:r w:rsidR="000F146E" w:rsidRPr="006B75D8">
        <w:t xml:space="preserve">need for </w:t>
      </w:r>
      <w:r w:rsidRPr="006B75D8">
        <w:t xml:space="preserve">greater </w:t>
      </w:r>
      <w:r w:rsidR="000F146E" w:rsidRPr="006B75D8">
        <w:t>collaboration and knowledge sharing across</w:t>
      </w:r>
      <w:r w:rsidRPr="006B75D8">
        <w:t xml:space="preserve"> sectors. </w:t>
      </w:r>
      <w:r w:rsidR="00752960" w:rsidRPr="006B75D8">
        <w:t xml:space="preserve">It was noted, for example, that different councils are concurrently working on similar GIA projects, and it would be efficient for learnings to be shared in real time. </w:t>
      </w:r>
    </w:p>
    <w:p w14:paraId="5FED302C" w14:textId="6C23740C" w:rsidR="00752960" w:rsidRPr="006B75D8" w:rsidRDefault="00E60CAF" w:rsidP="00752960">
      <w:r w:rsidRPr="006B75D8">
        <w:t xml:space="preserve">Many noted that a lack of resourcing meant that no-one </w:t>
      </w:r>
      <w:r w:rsidR="00B84E22">
        <w:t>has capacity to</w:t>
      </w:r>
      <w:r w:rsidRPr="006B75D8">
        <w:t xml:space="preserve"> facilitate sector</w:t>
      </w:r>
      <w:r w:rsidR="008943E2">
        <w:t>-</w:t>
      </w:r>
      <w:r w:rsidRPr="006B75D8">
        <w:t>based or regionally based practice learning forums</w:t>
      </w:r>
      <w:r w:rsidR="00752960" w:rsidRPr="006B75D8">
        <w:t xml:space="preserve"> or communities of practice</w:t>
      </w:r>
      <w:r w:rsidRPr="006B75D8">
        <w:t xml:space="preserve">. </w:t>
      </w:r>
      <w:r w:rsidR="00752960" w:rsidRPr="006B75D8">
        <w:t xml:space="preserve">Many defined entities reported a strong willingness to share what they have learnt and contribute to collaborative models to build sector capacity. </w:t>
      </w:r>
      <w:r w:rsidR="007E3A09">
        <w:t xml:space="preserve">For example, </w:t>
      </w:r>
      <w:r w:rsidR="00413F43">
        <w:t xml:space="preserve">the State Government Agency </w:t>
      </w:r>
      <w:r w:rsidR="000E4413">
        <w:t>interview</w:t>
      </w:r>
      <w:r w:rsidR="00562F5D">
        <w:t>ee</w:t>
      </w:r>
      <w:r w:rsidR="000E4413">
        <w:t xml:space="preserve"> </w:t>
      </w:r>
      <w:r w:rsidR="00752960" w:rsidRPr="006B75D8">
        <w:t>report</w:t>
      </w:r>
      <w:r w:rsidR="00E228DC">
        <w:t>ed</w:t>
      </w:r>
      <w:r w:rsidR="007E3A09">
        <w:t xml:space="preserve"> considerable</w:t>
      </w:r>
      <w:r w:rsidR="00752960" w:rsidRPr="006B75D8">
        <w:t xml:space="preserve"> learning </w:t>
      </w:r>
      <w:r w:rsidR="007E3A09">
        <w:t>during their</w:t>
      </w:r>
      <w:r w:rsidR="00752960" w:rsidRPr="006B75D8">
        <w:t xml:space="preserve"> GIA process and were </w:t>
      </w:r>
      <w:r w:rsidR="007E3A09">
        <w:t xml:space="preserve">interested in </w:t>
      </w:r>
      <w:r w:rsidR="007E3A09" w:rsidRPr="00752960">
        <w:t>explori</w:t>
      </w:r>
      <w:r w:rsidR="007E3A09">
        <w:t>ng</w:t>
      </w:r>
      <w:r w:rsidR="00752960" w:rsidRPr="006B75D8">
        <w:t xml:space="preserve"> ways to increase collaboration between government departments and defined entities to share learnings and promising GIA practice. One practitioner noted:</w:t>
      </w:r>
    </w:p>
    <w:p w14:paraId="030B1DB1" w14:textId="276E32CD" w:rsidR="00C80E24" w:rsidRDefault="00752960" w:rsidP="006B75D8">
      <w:pPr>
        <w:pStyle w:val="Quote"/>
      </w:pPr>
      <w:r w:rsidRPr="006B75D8">
        <w:lastRenderedPageBreak/>
        <w:t>I have a dedicated team working out of and funded through the commission that can be brought out to agencies to lead GIA processes as required. (</w:t>
      </w:r>
      <w:r w:rsidR="0084720F">
        <w:t>Rural Victoria, Sports and Recreation</w:t>
      </w:r>
      <w:r w:rsidRPr="006B75D8">
        <w:t xml:space="preserve"> Focus Group)</w:t>
      </w:r>
    </w:p>
    <w:p w14:paraId="5C7EBEBB" w14:textId="7CC9D456" w:rsidR="00C80E24" w:rsidRDefault="00C80E24" w:rsidP="00C80E24">
      <w:pPr>
        <w:pStyle w:val="Heading2"/>
      </w:pPr>
      <w:bookmarkStart w:id="18" w:name="_Toc96348284"/>
      <w:r>
        <w:t xml:space="preserve">Leadership </w:t>
      </w:r>
      <w:r w:rsidR="00FA14B8">
        <w:t>c</w:t>
      </w:r>
      <w:r>
        <w:t>apacity</w:t>
      </w:r>
      <w:r w:rsidR="000D6C49">
        <w:t xml:space="preserve"> and organisational structures</w:t>
      </w:r>
      <w:bookmarkEnd w:id="18"/>
    </w:p>
    <w:p w14:paraId="7DC72706" w14:textId="764F209F" w:rsidR="00C80E24" w:rsidRDefault="003D35B4" w:rsidP="00C80E24">
      <w:r>
        <w:t xml:space="preserve">Interview and focus group participants spoke of the critical </w:t>
      </w:r>
      <w:r w:rsidR="00C80E24">
        <w:t>role and capability of leaders</w:t>
      </w:r>
      <w:r>
        <w:t xml:space="preserve"> </w:t>
      </w:r>
      <w:r w:rsidR="00C80E24">
        <w:t>to</w:t>
      </w:r>
      <w:r>
        <w:t xml:space="preserve"> create an </w:t>
      </w:r>
      <w:r w:rsidR="00C80E24">
        <w:t>authori</w:t>
      </w:r>
      <w:r>
        <w:t xml:space="preserve">sing environment for </w:t>
      </w:r>
      <w:r w:rsidR="00C80E24">
        <w:t>GIA</w:t>
      </w:r>
      <w:r w:rsidR="008943E2">
        <w:t>s</w:t>
      </w:r>
      <w:r>
        <w:t xml:space="preserve"> to occur and their recommendations to be implemented</w:t>
      </w:r>
      <w:r w:rsidR="00C80E24">
        <w:t xml:space="preserve">. </w:t>
      </w:r>
      <w:r w:rsidR="00DC59D6">
        <w:t>The leadership environment is crucial to GIA work, with some focus group and interview participants describ</w:t>
      </w:r>
      <w:r w:rsidR="00B435E6">
        <w:t>ing</w:t>
      </w:r>
      <w:r w:rsidR="00DC59D6">
        <w:t xml:space="preserve"> how leadership set up an </w:t>
      </w:r>
      <w:r w:rsidR="008943E2">
        <w:t>‘</w:t>
      </w:r>
      <w:r w:rsidR="00DC59D6">
        <w:t>authorising environment</w:t>
      </w:r>
      <w:r w:rsidR="008943E2">
        <w:t>’</w:t>
      </w:r>
      <w:r w:rsidR="00DC59D6">
        <w:t xml:space="preserve"> that allowed staff coordinating the GIA to be </w:t>
      </w:r>
      <w:r w:rsidR="008943E2">
        <w:t>‘</w:t>
      </w:r>
      <w:r w:rsidR="00DC59D6">
        <w:t>backed</w:t>
      </w:r>
      <w:r w:rsidR="008943E2">
        <w:t>’</w:t>
      </w:r>
      <w:r w:rsidR="00DC59D6">
        <w:t xml:space="preserve">. </w:t>
      </w:r>
      <w:r w:rsidR="00C80E24">
        <w:t>There were examples of</w:t>
      </w:r>
      <w:r>
        <w:t xml:space="preserve"> </w:t>
      </w:r>
      <w:r w:rsidR="00C80E24">
        <w:t>leader</w:t>
      </w:r>
      <w:r w:rsidR="001C0B18">
        <w:t>ship</w:t>
      </w:r>
      <w:r w:rsidR="00C80E24">
        <w:t xml:space="preserve"> involved in the process to set up and implement GIA</w:t>
      </w:r>
      <w:r w:rsidR="008943E2">
        <w:t>s</w:t>
      </w:r>
      <w:r>
        <w:t xml:space="preserve">, which </w:t>
      </w:r>
      <w:r w:rsidR="00C80E24">
        <w:t>had positive benefits</w:t>
      </w:r>
      <w:r w:rsidR="00C02FFD">
        <w:t>.</w:t>
      </w:r>
    </w:p>
    <w:p w14:paraId="5C310ED5" w14:textId="492501CE" w:rsidR="00C80E24" w:rsidRDefault="001C0B18" w:rsidP="00C80E24">
      <w:pPr>
        <w:pStyle w:val="Quote"/>
      </w:pPr>
      <w:r>
        <w:t>L</w:t>
      </w:r>
      <w:r w:rsidR="00C80E24">
        <w:t xml:space="preserve">eadership participation in the workshop. And leaders </w:t>
      </w:r>
      <w:r>
        <w:t>ensured</w:t>
      </w:r>
      <w:r w:rsidR="00C80E24">
        <w:t xml:space="preserve"> people attend</w:t>
      </w:r>
      <w:r>
        <w:t>ed</w:t>
      </w:r>
      <w:r w:rsidR="00C80E24">
        <w:t xml:space="preserve">, taking active steps to encourage and support </w:t>
      </w:r>
      <w:r>
        <w:t xml:space="preserve">workshop </w:t>
      </w:r>
      <w:r w:rsidR="00C80E24">
        <w:t>participatio</w:t>
      </w:r>
      <w:r>
        <w:t>n</w:t>
      </w:r>
      <w:r w:rsidR="00C80E24">
        <w:t xml:space="preserve">. </w:t>
      </w:r>
      <w:r w:rsidR="0083025B">
        <w:t>W</w:t>
      </w:r>
      <w:r w:rsidR="00C80E24">
        <w:t>e also did pre and post evaluation. And what was really interesting is that pre the workshop, people felt most confident about applying a gender lens. And they felt that was the area of their strongest level of knowledge….</w:t>
      </w:r>
      <w:r w:rsidR="00C80E24" w:rsidRPr="00D735F7">
        <w:t xml:space="preserve"> there's a really important leadership piece here. And I would say that our leadership team was very mature in their thinking and they've been on board for a long time. </w:t>
      </w:r>
      <w:r w:rsidR="00C80E24">
        <w:t>(Water Utility</w:t>
      </w:r>
      <w:r w:rsidR="0083025B">
        <w:t xml:space="preserve"> Interview</w:t>
      </w:r>
      <w:r w:rsidR="00C80E24">
        <w:t xml:space="preserve">) </w:t>
      </w:r>
    </w:p>
    <w:p w14:paraId="6112F2BE" w14:textId="4D4EED97" w:rsidR="00C80E24" w:rsidRPr="008211A8" w:rsidRDefault="00B435E6" w:rsidP="00C80E24">
      <w:r>
        <w:t>Some</w:t>
      </w:r>
      <w:r w:rsidR="00500C9D">
        <w:t xml:space="preserve"> interview and focus group participants made </w:t>
      </w:r>
      <w:r w:rsidR="00C80E24" w:rsidRPr="008211A8">
        <w:t>the observation that it can be challenging to determine who is accountable for GIA work within their pre-existing organisation</w:t>
      </w:r>
      <w:r w:rsidR="008943E2">
        <w:t>al</w:t>
      </w:r>
      <w:r w:rsidR="00C80E24" w:rsidRPr="008211A8">
        <w:t xml:space="preserve"> structures</w:t>
      </w:r>
      <w:r w:rsidR="00500C9D">
        <w:t xml:space="preserve">, which </w:t>
      </w:r>
      <w:r w:rsidR="00C80E24" w:rsidRPr="008211A8">
        <w:t xml:space="preserve">can lead to </w:t>
      </w:r>
      <w:r w:rsidR="00500C9D">
        <w:t>GIA</w:t>
      </w:r>
      <w:r w:rsidR="008943E2">
        <w:t>s</w:t>
      </w:r>
      <w:r w:rsidR="00C80E24" w:rsidRPr="008211A8">
        <w:t xml:space="preserve"> not being effectively</w:t>
      </w:r>
      <w:r w:rsidR="00500C9D">
        <w:t xml:space="preserve"> implemented</w:t>
      </w:r>
      <w:r w:rsidR="00C80E24" w:rsidRPr="008211A8">
        <w:t xml:space="preserve">. </w:t>
      </w:r>
      <w:r w:rsidR="00500C9D">
        <w:t>E</w:t>
      </w:r>
      <w:r w:rsidR="00C80E24" w:rsidRPr="008211A8">
        <w:t>mbedding the GIA process within existing</w:t>
      </w:r>
      <w:r w:rsidR="00500C9D">
        <w:t xml:space="preserve"> organisational</w:t>
      </w:r>
      <w:r w:rsidR="00C80E24" w:rsidRPr="008211A8">
        <w:t xml:space="preserve"> structures and practice</w:t>
      </w:r>
      <w:r w:rsidR="00500C9D">
        <w:t xml:space="preserve"> was also noted as</w:t>
      </w:r>
      <w:r w:rsidR="00C80E24" w:rsidRPr="008211A8">
        <w:t xml:space="preserve"> a barrier. </w:t>
      </w:r>
      <w:r w:rsidR="0065004E">
        <w:t>Many</w:t>
      </w:r>
      <w:r w:rsidR="00500C9D">
        <w:t xml:space="preserve"> noted that </w:t>
      </w:r>
      <w:r w:rsidR="0065004E">
        <w:t>senior leadership engagement is critical</w:t>
      </w:r>
      <w:r>
        <w:t xml:space="preserve">, as </w:t>
      </w:r>
      <w:r w:rsidR="00C80E24" w:rsidRPr="008211A8">
        <w:t xml:space="preserve">leaders </w:t>
      </w:r>
      <w:r>
        <w:t xml:space="preserve">must </w:t>
      </w:r>
      <w:r w:rsidR="00C80E24" w:rsidRPr="008211A8">
        <w:t xml:space="preserve">support </w:t>
      </w:r>
      <w:r w:rsidR="0065004E">
        <w:t>and</w:t>
      </w:r>
      <w:r w:rsidR="00C80E24" w:rsidRPr="008211A8">
        <w:t xml:space="preserve"> drive </w:t>
      </w:r>
      <w:r w:rsidR="00500C9D">
        <w:t xml:space="preserve">GIA </w:t>
      </w:r>
      <w:r w:rsidR="00C80E24" w:rsidRPr="008211A8">
        <w:t xml:space="preserve">engagement.  </w:t>
      </w:r>
    </w:p>
    <w:p w14:paraId="2EF75C69" w14:textId="499FB15F" w:rsidR="00C80E24" w:rsidRDefault="00500C9D" w:rsidP="00C80E24">
      <w:pPr>
        <w:pStyle w:val="Quote"/>
      </w:pPr>
      <w:r>
        <w:t>T</w:t>
      </w:r>
      <w:r w:rsidR="00C80E24">
        <w:t>here's internal discussion almost around, where does it sit? And I think that sort of supports what a few areas are finding as far as who's responsible? (</w:t>
      </w:r>
      <w:r w:rsidR="00B95B9A">
        <w:t>Regional Local Government</w:t>
      </w:r>
      <w:r w:rsidR="00C80E24">
        <w:t xml:space="preserve"> </w:t>
      </w:r>
      <w:r w:rsidR="003F680A">
        <w:t>Focus Group</w:t>
      </w:r>
      <w:r w:rsidR="00C80E24">
        <w:t>)</w:t>
      </w:r>
    </w:p>
    <w:p w14:paraId="62A0E582" w14:textId="0E646D9F" w:rsidR="00C80E24" w:rsidRDefault="00C80E24" w:rsidP="00C80E24">
      <w:pPr>
        <w:pStyle w:val="Quote"/>
      </w:pPr>
      <w:r>
        <w:t>I think the way that the Act is set up, and the guidance is really, really, really good practice, but I think our systems don't allow us to do the best practice. Our systems and the way we are organised is</w:t>
      </w:r>
      <w:r w:rsidR="003F680A">
        <w:t>…</w:t>
      </w:r>
      <w:r>
        <w:t xml:space="preserve"> quite siloed. (</w:t>
      </w:r>
      <w:r w:rsidR="00B95B9A">
        <w:t>Regional Local Government</w:t>
      </w:r>
      <w:r>
        <w:t xml:space="preserve"> </w:t>
      </w:r>
      <w:r w:rsidR="003F680A">
        <w:t>Focus Group</w:t>
      </w:r>
      <w:r>
        <w:t>)</w:t>
      </w:r>
    </w:p>
    <w:p w14:paraId="1A4C1879" w14:textId="08E83D08" w:rsidR="00C80E24" w:rsidRPr="000D6C49" w:rsidRDefault="00C80E24" w:rsidP="00C80E24">
      <w:r>
        <w:t>The Commission</w:t>
      </w:r>
      <w:r w:rsidR="00CD2F2B">
        <w:t xml:space="preserve"> reported that</w:t>
      </w:r>
      <w:r>
        <w:t xml:space="preserve"> having a good</w:t>
      </w:r>
      <w:r w:rsidR="00CD2F2B">
        <w:t xml:space="preserve"> organisational</w:t>
      </w:r>
      <w:r>
        <w:t xml:space="preserve"> structure and </w:t>
      </w:r>
      <w:r w:rsidR="00CD2F2B">
        <w:t xml:space="preserve">the </w:t>
      </w:r>
      <w:r>
        <w:t xml:space="preserve">positioning of GIA </w:t>
      </w:r>
      <w:r w:rsidR="00CD2F2B">
        <w:t xml:space="preserve">work </w:t>
      </w:r>
      <w:r>
        <w:t xml:space="preserve">does impact </w:t>
      </w:r>
      <w:r w:rsidR="00CD2F2B">
        <w:t xml:space="preserve">its </w:t>
      </w:r>
      <w:r>
        <w:t>application</w:t>
      </w:r>
      <w:r w:rsidR="00CD2F2B">
        <w:t>.</w:t>
      </w:r>
      <w:r>
        <w:t xml:space="preserve"> </w:t>
      </w:r>
      <w:r w:rsidRPr="00865152">
        <w:t>The Commission</w:t>
      </w:r>
      <w:r w:rsidR="002F7AE4" w:rsidRPr="00865152">
        <w:t xml:space="preserve"> also </w:t>
      </w:r>
      <w:r w:rsidR="002F7AE4" w:rsidRPr="0086493C">
        <w:t>n</w:t>
      </w:r>
      <w:r w:rsidR="002F7AE4" w:rsidRPr="006D23A5">
        <w:t xml:space="preserve">oted that </w:t>
      </w:r>
      <w:r w:rsidR="002F7AE4" w:rsidRPr="000D6C49">
        <w:t>t</w:t>
      </w:r>
      <w:r w:rsidRPr="000D6C49">
        <w:t>he practice of retrofitting GIA to policies</w:t>
      </w:r>
      <w:r w:rsidR="00B435E6">
        <w:t>,</w:t>
      </w:r>
      <w:r w:rsidRPr="000D6C49">
        <w:t xml:space="preserve"> programs</w:t>
      </w:r>
      <w:r w:rsidR="008943E2">
        <w:t>,</w:t>
      </w:r>
      <w:r w:rsidR="00B435E6">
        <w:t xml:space="preserve"> and services</w:t>
      </w:r>
      <w:r w:rsidRPr="000D6C49">
        <w:t xml:space="preserve"> is occurring</w:t>
      </w:r>
      <w:r w:rsidR="006519C3">
        <w:t>,</w:t>
      </w:r>
      <w:r w:rsidR="00B95B9A">
        <w:t xml:space="preserve"> </w:t>
      </w:r>
      <w:r w:rsidR="006519C3">
        <w:t>as well as</w:t>
      </w:r>
      <w:r w:rsidR="00B95B9A">
        <w:t xml:space="preserve"> concerns regarding the ongoing tension of working with leaders within the system, while also seeking to lead change regarding entrenched attitudes and behaviours, structures, and systems of inequality.</w:t>
      </w:r>
    </w:p>
    <w:p w14:paraId="475C8ADB" w14:textId="111DE0FF" w:rsidR="00C80E24" w:rsidRDefault="00947E39" w:rsidP="00C80E24">
      <w:r>
        <w:t>Practitioners</w:t>
      </w:r>
      <w:r w:rsidR="00DC59D6">
        <w:t xml:space="preserve"> noted</w:t>
      </w:r>
      <w:r>
        <w:t xml:space="preserve"> </w:t>
      </w:r>
      <w:r w:rsidR="00C80E24">
        <w:t xml:space="preserve">examples of organisations setting up </w:t>
      </w:r>
      <w:r>
        <w:t xml:space="preserve">appropriate </w:t>
      </w:r>
      <w:r w:rsidR="00C80E24">
        <w:t>structures and processes prior to GIA activity</w:t>
      </w:r>
      <w:r>
        <w:t>, which ap</w:t>
      </w:r>
      <w:r w:rsidR="00C80E24">
        <w:t>pear to</w:t>
      </w:r>
      <w:r>
        <w:t xml:space="preserve"> be producing </w:t>
      </w:r>
      <w:r w:rsidR="00C80E24">
        <w:t>positive results</w:t>
      </w:r>
      <w:r>
        <w:t xml:space="preserve">. </w:t>
      </w:r>
    </w:p>
    <w:p w14:paraId="5438DF99" w14:textId="43DD4C99" w:rsidR="00C80E24" w:rsidRDefault="00C80E24" w:rsidP="00405CC7">
      <w:pPr>
        <w:pStyle w:val="Quote"/>
      </w:pPr>
      <w:r>
        <w:t xml:space="preserve">So we have identified a number of different existing processes, where we're seeking to embed </w:t>
      </w:r>
      <w:r w:rsidR="00417A6D">
        <w:t xml:space="preserve">gender </w:t>
      </w:r>
      <w:r>
        <w:t>impact assessments, and in fact, are applying a diversity</w:t>
      </w:r>
      <w:r w:rsidR="00B94E9F">
        <w:t xml:space="preserve"> and</w:t>
      </w:r>
      <w:r>
        <w:t xml:space="preserve"> inclusion lens…</w:t>
      </w:r>
      <w:r w:rsidRPr="00C5479E">
        <w:t xml:space="preserve"> </w:t>
      </w:r>
      <w:r>
        <w:t>And what we found</w:t>
      </w:r>
      <w:r w:rsidR="00B94E9F">
        <w:t>…</w:t>
      </w:r>
      <w:r>
        <w:t xml:space="preserve"> happens is people go through a very early stage of the process to get funds allocated to get their budget</w:t>
      </w:r>
      <w:r w:rsidR="002452CF">
        <w:t>…</w:t>
      </w:r>
      <w:r>
        <w:t xml:space="preserve"> we just commonly call them multi benefits</w:t>
      </w:r>
      <w:r w:rsidR="002452CF">
        <w:t>…</w:t>
      </w:r>
      <w:r>
        <w:t xml:space="preserve"> what are the additional benefits that we </w:t>
      </w:r>
      <w:r>
        <w:lastRenderedPageBreak/>
        <w:t>can deliver to the community through this project, and you've got an opportunity, before you even complete that first stage of the process that gives you your budget</w:t>
      </w:r>
      <w:r w:rsidR="008A3CF5">
        <w:t>.</w:t>
      </w:r>
      <w:r>
        <w:t xml:space="preserve"> (Water Utility</w:t>
      </w:r>
      <w:r w:rsidR="002452CF">
        <w:t xml:space="preserve"> Interview</w:t>
      </w:r>
      <w:r>
        <w:t>)</w:t>
      </w:r>
    </w:p>
    <w:p w14:paraId="487CBA0A" w14:textId="3222E279" w:rsidR="00C80E24" w:rsidRDefault="00C80E24" w:rsidP="00C80E24">
      <w:pPr>
        <w:pStyle w:val="Heading2"/>
      </w:pPr>
      <w:bookmarkStart w:id="19" w:name="_Toc96348285"/>
      <w:r>
        <w:t>Whole</w:t>
      </w:r>
      <w:r w:rsidR="008943E2">
        <w:t>-</w:t>
      </w:r>
      <w:r>
        <w:t>of</w:t>
      </w:r>
      <w:r w:rsidR="008943E2">
        <w:t>-</w:t>
      </w:r>
      <w:r w:rsidR="002206A4">
        <w:t>o</w:t>
      </w:r>
      <w:r>
        <w:t xml:space="preserve">rganisation </w:t>
      </w:r>
      <w:r w:rsidR="002206A4">
        <w:t>o</w:t>
      </w:r>
      <w:r>
        <w:t xml:space="preserve">wnership vs </w:t>
      </w:r>
      <w:r w:rsidR="002206A4">
        <w:t xml:space="preserve">the work of </w:t>
      </w:r>
      <w:r w:rsidR="008943E2">
        <w:t>‘</w:t>
      </w:r>
      <w:r w:rsidR="002206A4">
        <w:t>human resources</w:t>
      </w:r>
      <w:bookmarkEnd w:id="19"/>
      <w:r w:rsidR="008943E2">
        <w:t>’</w:t>
      </w:r>
    </w:p>
    <w:p w14:paraId="73F9ED1E" w14:textId="14B978BF" w:rsidR="00C80E24" w:rsidRDefault="00C80E24" w:rsidP="00C80E24">
      <w:r>
        <w:t xml:space="preserve">A reality for many </w:t>
      </w:r>
      <w:r w:rsidR="00834D16">
        <w:t>practitioners i</w:t>
      </w:r>
      <w:r>
        <w:t>s the persistent practice of locating GIA work within a functional department. The challenges with this approach w</w:t>
      </w:r>
      <w:r w:rsidR="00834D16">
        <w:t>ere</w:t>
      </w:r>
      <w:r>
        <w:t xml:space="preserve"> highlighted by the benefits reported </w:t>
      </w:r>
      <w:r w:rsidR="00834D16">
        <w:t>by</w:t>
      </w:r>
      <w:r>
        <w:t xml:space="preserve"> organisations that took a systemic view of GIA</w:t>
      </w:r>
      <w:r w:rsidR="008943E2">
        <w:t>s</w:t>
      </w:r>
      <w:r w:rsidR="00834D16">
        <w:t>. This approach seeks to locate GIA</w:t>
      </w:r>
      <w:r w:rsidR="008943E2">
        <w:t>s</w:t>
      </w:r>
      <w:r w:rsidR="00834D16">
        <w:t xml:space="preserve"> within a</w:t>
      </w:r>
      <w:r>
        <w:t>n authorising environment</w:t>
      </w:r>
      <w:r w:rsidR="00834D16">
        <w:t xml:space="preserve"> and</w:t>
      </w:r>
      <w:r>
        <w:t xml:space="preserve"> as a systemic and strategic </w:t>
      </w:r>
      <w:r w:rsidR="00834D16">
        <w:t xml:space="preserve">organisational </w:t>
      </w:r>
      <w:r>
        <w:t>practice.</w:t>
      </w:r>
    </w:p>
    <w:p w14:paraId="560A8FC8" w14:textId="5767A3EF" w:rsidR="00C80E24" w:rsidRDefault="00C80E24" w:rsidP="00C80E24">
      <w:pPr>
        <w:pStyle w:val="Quote"/>
      </w:pPr>
      <w:r>
        <w:t xml:space="preserve">I think there's still that attitude that it's HR's job. When really, it's </w:t>
      </w:r>
      <w:r w:rsidR="0074088A">
        <w:t>not</w:t>
      </w:r>
      <w:r w:rsidR="00834D16">
        <w:t>…</w:t>
      </w:r>
      <w:r>
        <w:t xml:space="preserve"> if you're delivering a new program, it's the education area that need to be looking at it and taking the lead. I think there needs to be more education</w:t>
      </w:r>
      <w:r w:rsidR="00834D16">
        <w:t xml:space="preserve"> that </w:t>
      </w:r>
      <w:r>
        <w:t>it's a whole business role</w:t>
      </w:r>
      <w:r w:rsidR="00834D16">
        <w:t>.</w:t>
      </w:r>
      <w:r>
        <w:t xml:space="preserve"> (</w:t>
      </w:r>
      <w:r w:rsidR="00B95B9A">
        <w:t>Educational Institution</w:t>
      </w:r>
      <w:r>
        <w:t xml:space="preserve"> Focus Group)</w:t>
      </w:r>
    </w:p>
    <w:p w14:paraId="6E3ADD78" w14:textId="61BCEAD7" w:rsidR="00C80E24" w:rsidRDefault="00D964D3" w:rsidP="00C80E24">
      <w:r>
        <w:t>Several</w:t>
      </w:r>
      <w:r w:rsidR="00C80E24">
        <w:t xml:space="preserve"> defined entities had situated GIA in </w:t>
      </w:r>
      <w:r w:rsidR="00834D16">
        <w:t>their h</w:t>
      </w:r>
      <w:r w:rsidR="00C80E24">
        <w:t xml:space="preserve">uman </w:t>
      </w:r>
      <w:r w:rsidR="00834D16">
        <w:t>r</w:t>
      </w:r>
      <w:r w:rsidR="00C80E24">
        <w:t>esources departments</w:t>
      </w:r>
      <w:r w:rsidR="0082356D">
        <w:t xml:space="preserve"> who</w:t>
      </w:r>
      <w:r w:rsidR="0074088A">
        <w:t xml:space="preserve"> had led the</w:t>
      </w:r>
      <w:r w:rsidR="00C80E24">
        <w:t xml:space="preserve"> </w:t>
      </w:r>
      <w:r w:rsidR="008943E2">
        <w:t>GEAPs</w:t>
      </w:r>
      <w:r w:rsidR="0082356D">
        <w:t xml:space="preserve">, based </w:t>
      </w:r>
      <w:r w:rsidR="00D92524">
        <w:t>on</w:t>
      </w:r>
      <w:r w:rsidR="0082356D">
        <w:t xml:space="preserve"> the assumption that the</w:t>
      </w:r>
      <w:r w:rsidR="00D92524">
        <w:t>se</w:t>
      </w:r>
      <w:r w:rsidR="0082356D">
        <w:t xml:space="preserve"> were similar pieces of work.  </w:t>
      </w:r>
    </w:p>
    <w:p w14:paraId="634F416C" w14:textId="116FE852" w:rsidR="00C80E24" w:rsidRDefault="00C80E24" w:rsidP="00C80E24">
      <w:pPr>
        <w:pStyle w:val="Quote"/>
      </w:pPr>
      <w:r w:rsidRPr="0092681A">
        <w:t>I'm a one person HR department</w:t>
      </w:r>
      <w:r w:rsidR="006205D2">
        <w:t>.</w:t>
      </w:r>
      <w:r w:rsidRPr="0092681A">
        <w:t xml:space="preserve"> I do everything from recruitment to you name it, and probably the subject ended up on my desk because of the required collection of workforce data and </w:t>
      </w:r>
      <w:r w:rsidR="006205D2">
        <w:t>a</w:t>
      </w:r>
      <w:r w:rsidRPr="0092681A">
        <w:t xml:space="preserve"> submission to the</w:t>
      </w:r>
      <w:r>
        <w:t xml:space="preserve"> C</w:t>
      </w:r>
      <w:r w:rsidRPr="0092681A">
        <w:t>ommissioner</w:t>
      </w:r>
      <w:r w:rsidR="0082356D">
        <w:t>.</w:t>
      </w:r>
      <w:r>
        <w:t xml:space="preserve"> (</w:t>
      </w:r>
      <w:r w:rsidR="00B95B9A">
        <w:t xml:space="preserve">Rural Victoria, Sports and Recreation </w:t>
      </w:r>
      <w:r>
        <w:t>Focus Group)</w:t>
      </w:r>
    </w:p>
    <w:p w14:paraId="42B54FB5" w14:textId="6C1C08D9" w:rsidR="00C80E24" w:rsidRDefault="00C80E24" w:rsidP="00BF1C53">
      <w:r>
        <w:t xml:space="preserve">The Commission </w:t>
      </w:r>
      <w:r w:rsidR="00EC2498">
        <w:t>is</w:t>
      </w:r>
      <w:r>
        <w:t xml:space="preserve"> conscious of the role that specific teams play in driving the implementation of GIA</w:t>
      </w:r>
      <w:r w:rsidR="008943E2">
        <w:t>s</w:t>
      </w:r>
      <w:r>
        <w:t xml:space="preserve"> and how they need to be positioned within the broader organisational structure to achieve whole</w:t>
      </w:r>
      <w:r w:rsidR="0082356D">
        <w:t>-</w:t>
      </w:r>
      <w:r>
        <w:t>of</w:t>
      </w:r>
      <w:r w:rsidR="0082356D">
        <w:t>-</w:t>
      </w:r>
      <w:r>
        <w:t xml:space="preserve">entity GIA practice. They note that a key issue in driving practice across entities is attrition of key </w:t>
      </w:r>
      <w:r w:rsidR="00602E28">
        <w:t xml:space="preserve">staff and their </w:t>
      </w:r>
      <w:r>
        <w:t>skills</w:t>
      </w:r>
      <w:r w:rsidR="00B95B9A">
        <w:t>.</w:t>
      </w:r>
    </w:p>
    <w:p w14:paraId="40BFAE64" w14:textId="45A4BD05" w:rsidR="00C80E24" w:rsidRDefault="00C80E24" w:rsidP="00C80E24">
      <w:pPr>
        <w:pStyle w:val="Heading3"/>
      </w:pPr>
      <w:r>
        <w:t xml:space="preserve">Opportunity for </w:t>
      </w:r>
      <w:r w:rsidR="00EC2498">
        <w:t>c</w:t>
      </w:r>
      <w:r>
        <w:t xml:space="preserve">oordinated GIA </w:t>
      </w:r>
      <w:r w:rsidR="00EC2498">
        <w:t>i</w:t>
      </w:r>
      <w:r>
        <w:t xml:space="preserve">mplementation across </w:t>
      </w:r>
      <w:r w:rsidR="00EC2498">
        <w:t>s</w:t>
      </w:r>
      <w:r>
        <w:t>ectors</w:t>
      </w:r>
    </w:p>
    <w:p w14:paraId="149211CA" w14:textId="4C0460EF" w:rsidR="00C80E24" w:rsidRDefault="00EB4695" w:rsidP="00C80E24">
      <w:r>
        <w:t>A</w:t>
      </w:r>
      <w:r w:rsidR="00C80E24">
        <w:t xml:space="preserve"> few members of focus groups and interviews pointed to the opportunity of coordinating priority areas of GIA across sectors. </w:t>
      </w:r>
      <w:r>
        <w:t xml:space="preserve">Some </w:t>
      </w:r>
      <w:r w:rsidR="00C80E24">
        <w:t>sectors</w:t>
      </w:r>
      <w:r>
        <w:t xml:space="preserve"> had</w:t>
      </w:r>
      <w:r w:rsidR="00C80E24">
        <w:t xml:space="preserve"> </w:t>
      </w:r>
      <w:r w:rsidR="00CA3CF5">
        <w:t>come</w:t>
      </w:r>
      <w:r w:rsidR="00C80E24">
        <w:t xml:space="preserve"> together to customise, tailor</w:t>
      </w:r>
      <w:r w:rsidR="00B37730">
        <w:t>,</w:t>
      </w:r>
      <w:r w:rsidR="00C80E24">
        <w:t xml:space="preserve"> and apply the </w:t>
      </w:r>
      <w:r w:rsidR="00877254">
        <w:t xml:space="preserve">Commission’s </w:t>
      </w:r>
      <w:r w:rsidR="00C80E24">
        <w:t xml:space="preserve">GIA </w:t>
      </w:r>
      <w:r>
        <w:t>g</w:t>
      </w:r>
      <w:r w:rsidR="00C80E24">
        <w:t>uidance material</w:t>
      </w:r>
      <w:r w:rsidR="00877254">
        <w:t xml:space="preserve"> by using </w:t>
      </w:r>
      <w:r w:rsidR="00C80E24">
        <w:t>a specific group or network of like organisations:</w:t>
      </w:r>
    </w:p>
    <w:p w14:paraId="42C13598" w14:textId="53AE437A" w:rsidR="00C80E24" w:rsidRDefault="00EB4695" w:rsidP="00C80E24">
      <w:pPr>
        <w:pStyle w:val="Quote"/>
      </w:pPr>
      <w:r>
        <w:t>T</w:t>
      </w:r>
      <w:r w:rsidR="00C80E24" w:rsidRPr="009960B3">
        <w:t>here are some sort of generic systems that sit across hospitals that people are familiar</w:t>
      </w:r>
      <w:r>
        <w:t xml:space="preserve"> with</w:t>
      </w:r>
      <w:r w:rsidR="00C80E24" w:rsidRPr="009960B3">
        <w:t>, and it's a language that people use about how you get policies and procedures to work in a hospital setting</w:t>
      </w:r>
      <w:r>
        <w:t xml:space="preserve"> </w:t>
      </w:r>
      <w:r w:rsidR="00C80E24">
        <w:t>(Health Focus Group)</w:t>
      </w:r>
    </w:p>
    <w:p w14:paraId="0931DF70" w14:textId="63C620EE" w:rsidR="00C80E24" w:rsidRDefault="00661B20" w:rsidP="00C80E24">
      <w:pPr>
        <w:pStyle w:val="Quote"/>
      </w:pPr>
      <w:r>
        <w:t>I</w:t>
      </w:r>
      <w:r w:rsidR="00C80E24" w:rsidRPr="00CD77B8">
        <w:t xml:space="preserve">ts opportunities for the </w:t>
      </w:r>
      <w:r w:rsidR="00B95B9A">
        <w:t>[Education]</w:t>
      </w:r>
      <w:r w:rsidR="00C80E24" w:rsidRPr="00CD77B8">
        <w:t>sector to align on a whole</w:t>
      </w:r>
      <w:r>
        <w:t>-</w:t>
      </w:r>
      <w:r w:rsidR="00C80E24" w:rsidRPr="00CD77B8">
        <w:t>of</w:t>
      </w:r>
      <w:r>
        <w:t>-</w:t>
      </w:r>
      <w:r w:rsidR="00C80E24" w:rsidRPr="00CD77B8">
        <w:t>sector</w:t>
      </w:r>
      <w:r>
        <w:t xml:space="preserve"> GIA</w:t>
      </w:r>
      <w:r w:rsidR="00C80E24" w:rsidRPr="00CD77B8">
        <w:t xml:space="preserve"> on</w:t>
      </w:r>
      <w:r>
        <w:t xml:space="preserve"> </w:t>
      </w:r>
      <w:r w:rsidR="00C80E24" w:rsidRPr="00CD77B8">
        <w:t>policies, programs and services that are common across all of our organi</w:t>
      </w:r>
      <w:r>
        <w:t>s</w:t>
      </w:r>
      <w:r w:rsidR="00C80E24" w:rsidRPr="00CD77B8">
        <w:t>ations. So I don't know how much</w:t>
      </w:r>
      <w:r>
        <w:t xml:space="preserve"> of</w:t>
      </w:r>
      <w:r w:rsidR="00C80E24" w:rsidRPr="00CD77B8">
        <w:t xml:space="preserve"> this work has been talked</w:t>
      </w:r>
      <w:r>
        <w:t xml:space="preserve"> about</w:t>
      </w:r>
      <w:r w:rsidR="00C80E24" w:rsidRPr="00CD77B8">
        <w:t xml:space="preserve"> with </w:t>
      </w:r>
      <w:r>
        <w:t>the</w:t>
      </w:r>
      <w:r w:rsidR="00C80E24" w:rsidRPr="00CD77B8">
        <w:t xml:space="preserve"> </w:t>
      </w:r>
      <w:r w:rsidR="00B95B9A">
        <w:t>[State Department level]</w:t>
      </w:r>
      <w:r w:rsidR="00C80E24" w:rsidRPr="00CD77B8">
        <w:t xml:space="preserve"> Coordinator </w:t>
      </w:r>
      <w:r w:rsidR="00B95B9A">
        <w:t>…</w:t>
      </w:r>
      <w:r w:rsidR="00C80E24" w:rsidRPr="00CD77B8">
        <w:t xml:space="preserve"> but we are working a lot more in alignment now and expected to</w:t>
      </w:r>
      <w:r>
        <w:t xml:space="preserve"> </w:t>
      </w:r>
      <w:r w:rsidR="00C80E24" w:rsidRPr="00CD77B8">
        <w:t>(</w:t>
      </w:r>
      <w:r w:rsidR="00B95B9A">
        <w:t>Educational Institutions</w:t>
      </w:r>
      <w:r w:rsidR="00C80E24" w:rsidRPr="00CD77B8">
        <w:t xml:space="preserve"> Focus Group).</w:t>
      </w:r>
    </w:p>
    <w:p w14:paraId="7D647407" w14:textId="5F077DED" w:rsidR="00C80E24" w:rsidRDefault="00661B20" w:rsidP="00C80E24">
      <w:r>
        <w:t xml:space="preserve">GIA implementation across sectors </w:t>
      </w:r>
      <w:r w:rsidR="00C80E24">
        <w:t xml:space="preserve">was also seen as valuable </w:t>
      </w:r>
      <w:r>
        <w:t xml:space="preserve">to </w:t>
      </w:r>
      <w:r w:rsidR="00C80E24">
        <w:t>encourag</w:t>
      </w:r>
      <w:r>
        <w:t>ing</w:t>
      </w:r>
      <w:r w:rsidR="00C80E24">
        <w:t xml:space="preserve"> consistent practice and approach</w:t>
      </w:r>
      <w:r>
        <w:t xml:space="preserve">es. </w:t>
      </w:r>
      <w:r w:rsidR="000F7463">
        <w:t>Practitioners</w:t>
      </w:r>
      <w:r>
        <w:t xml:space="preserve"> s</w:t>
      </w:r>
      <w:r w:rsidR="00C80E24">
        <w:t>uggest</w:t>
      </w:r>
      <w:r w:rsidR="000F7463">
        <w:t>ed</w:t>
      </w:r>
      <w:r w:rsidR="00C80E24">
        <w:t xml:space="preserve"> that </w:t>
      </w:r>
      <w:r>
        <w:t>GIA</w:t>
      </w:r>
      <w:r w:rsidR="00C80E24">
        <w:t xml:space="preserve"> implementation</w:t>
      </w:r>
      <w:r>
        <w:t xml:space="preserve"> would benefit from</w:t>
      </w:r>
      <w:r w:rsidR="00C80E24">
        <w:t xml:space="preserve"> high</w:t>
      </w:r>
      <w:r>
        <w:t>-</w:t>
      </w:r>
      <w:r w:rsidR="00C80E24">
        <w:t xml:space="preserve">level communication </w:t>
      </w:r>
      <w:r>
        <w:t>sent</w:t>
      </w:r>
      <w:r w:rsidR="00C80E24">
        <w:t xml:space="preserve"> from key public sector leadership</w:t>
      </w:r>
      <w:r>
        <w:t xml:space="preserve">, </w:t>
      </w:r>
      <w:r w:rsidR="00C80E24">
        <w:t>including Ministers</w:t>
      </w:r>
      <w:r>
        <w:t>,</w:t>
      </w:r>
      <w:r w:rsidR="00C80E24">
        <w:t xml:space="preserve"> to support GIA</w:t>
      </w:r>
      <w:r w:rsidR="00B37730">
        <w:t>s</w:t>
      </w:r>
      <w:r w:rsidR="00C80E24">
        <w:t xml:space="preserve"> and </w:t>
      </w:r>
      <w:r>
        <w:t xml:space="preserve">articulate the </w:t>
      </w:r>
      <w:r w:rsidR="00C80E24">
        <w:t>benefit</w:t>
      </w:r>
      <w:r w:rsidR="000F7463">
        <w:t>s</w:t>
      </w:r>
      <w:r w:rsidR="00C80E24">
        <w:t xml:space="preserve"> </w:t>
      </w:r>
      <w:r>
        <w:t>to</w:t>
      </w:r>
      <w:r w:rsidR="00C80E24">
        <w:t xml:space="preserve"> defined entities. </w:t>
      </w:r>
    </w:p>
    <w:p w14:paraId="2B530662" w14:textId="6075C52F" w:rsidR="00C80E24" w:rsidRPr="00A778ED" w:rsidRDefault="00B95B9A" w:rsidP="00C80E24">
      <w:r>
        <w:t xml:space="preserve">The State Government Agency </w:t>
      </w:r>
      <w:r w:rsidR="00761F72">
        <w:t>interviewee</w:t>
      </w:r>
      <w:r w:rsidR="00C80E24" w:rsidRPr="00C251DA">
        <w:t xml:space="preserve"> </w:t>
      </w:r>
      <w:r w:rsidR="004F731B">
        <w:t>noted</w:t>
      </w:r>
      <w:r w:rsidR="00C80E24" w:rsidRPr="00C251DA">
        <w:t xml:space="preserve"> that coordination and collaborati</w:t>
      </w:r>
      <w:r w:rsidR="004F731B">
        <w:t>on also</w:t>
      </w:r>
      <w:r w:rsidR="00C80E24" w:rsidRPr="00C251DA">
        <w:t xml:space="preserve"> reduce</w:t>
      </w:r>
      <w:r w:rsidR="004F731B">
        <w:t>s</w:t>
      </w:r>
      <w:r w:rsidR="00C80E24" w:rsidRPr="00C251DA">
        <w:t xml:space="preserve"> the likelihood of duplicat</w:t>
      </w:r>
      <w:r w:rsidR="004F731B">
        <w:t>ion</w:t>
      </w:r>
      <w:r w:rsidR="00C80E24" w:rsidRPr="00C251DA">
        <w:t xml:space="preserve">. </w:t>
      </w:r>
      <w:r>
        <w:t xml:space="preserve">This </w:t>
      </w:r>
      <w:r w:rsidR="00761F72">
        <w:t>interviewee</w:t>
      </w:r>
      <w:r>
        <w:t xml:space="preserve"> </w:t>
      </w:r>
      <w:r w:rsidR="00C80E24" w:rsidRPr="00C251DA">
        <w:t xml:space="preserve">identified the possibility of multiple government </w:t>
      </w:r>
      <w:r w:rsidR="00C80E24" w:rsidRPr="00C251DA">
        <w:lastRenderedPageBreak/>
        <w:t>departments analysing the same data sets to extract information for GIA</w:t>
      </w:r>
      <w:r w:rsidR="00B37730">
        <w:t>s</w:t>
      </w:r>
      <w:r w:rsidR="00C80E24" w:rsidRPr="00C251DA">
        <w:t xml:space="preserve"> on different projects and exploring opportunities </w:t>
      </w:r>
      <w:r w:rsidR="001A7C8C">
        <w:t xml:space="preserve">for </w:t>
      </w:r>
      <w:r w:rsidR="00C80E24" w:rsidRPr="00C251DA">
        <w:t>shar</w:t>
      </w:r>
      <w:r w:rsidR="004F731B">
        <w:t>ing</w:t>
      </w:r>
      <w:r w:rsidR="00C80E24" w:rsidRPr="00C251DA">
        <w:t xml:space="preserve"> insights across departments</w:t>
      </w:r>
      <w:r w:rsidR="004F731B">
        <w:t xml:space="preserve"> and </w:t>
      </w:r>
      <w:r w:rsidR="00C80E24" w:rsidRPr="00C251DA">
        <w:t xml:space="preserve">teams. </w:t>
      </w:r>
    </w:p>
    <w:p w14:paraId="2B289533" w14:textId="10339CF1" w:rsidR="00C80E24" w:rsidRDefault="00C80E24" w:rsidP="00C80E24">
      <w:pPr>
        <w:pStyle w:val="Heading2"/>
      </w:pPr>
      <w:bookmarkStart w:id="20" w:name="_Toc96348286"/>
      <w:r>
        <w:t xml:space="preserve">Push back, </w:t>
      </w:r>
      <w:r w:rsidR="008A6CE0">
        <w:t>c</w:t>
      </w:r>
      <w:r>
        <w:t>ulture</w:t>
      </w:r>
      <w:r w:rsidR="00B37730">
        <w:t>,</w:t>
      </w:r>
      <w:r>
        <w:t xml:space="preserve"> and </w:t>
      </w:r>
      <w:r w:rsidR="008A6CE0">
        <w:t>f</w:t>
      </w:r>
      <w:r>
        <w:t xml:space="preserve">ear </w:t>
      </w:r>
      <w:r w:rsidR="008A6CE0">
        <w:t>associated with</w:t>
      </w:r>
      <w:r>
        <w:t xml:space="preserve"> </w:t>
      </w:r>
      <w:r w:rsidR="008A6CE0">
        <w:t>g</w:t>
      </w:r>
      <w:r>
        <w:t xml:space="preserve">ender </w:t>
      </w:r>
      <w:r w:rsidR="008A6CE0">
        <w:t>w</w:t>
      </w:r>
      <w:r>
        <w:t>ork</w:t>
      </w:r>
      <w:bookmarkEnd w:id="20"/>
    </w:p>
    <w:p w14:paraId="554D87E1" w14:textId="4571D334" w:rsidR="008A6CE0" w:rsidRDefault="008A6CE0" w:rsidP="00C80E24">
      <w:r>
        <w:t>In some interviews and focus groups, t</w:t>
      </w:r>
      <w:r w:rsidR="00C80E24">
        <w:t>he</w:t>
      </w:r>
      <w:r>
        <w:t>re was discussion regarding the</w:t>
      </w:r>
      <w:r w:rsidR="00C80E24">
        <w:t xml:space="preserve"> them</w:t>
      </w:r>
      <w:r>
        <w:t>e</w:t>
      </w:r>
      <w:r w:rsidR="00C80E24">
        <w:t xml:space="preserve"> of resistance and backlash to GIA</w:t>
      </w:r>
      <w:r w:rsidR="000B3E71">
        <w:t xml:space="preserve"> implementation</w:t>
      </w:r>
      <w:r>
        <w:t xml:space="preserve">, with entrenched cultures </w:t>
      </w:r>
      <w:r w:rsidR="0094443D">
        <w:t>causing</w:t>
      </w:r>
      <w:r>
        <w:t xml:space="preserve"> real challenges for some practitioners. </w:t>
      </w:r>
    </w:p>
    <w:p w14:paraId="546ED9FD" w14:textId="211A86ED" w:rsidR="008A6CE0" w:rsidRDefault="008A6CE0" w:rsidP="008A6CE0">
      <w:pPr>
        <w:pStyle w:val="Quote"/>
      </w:pPr>
      <w:r>
        <w:t>There is push back from those parts of the business that are highly gendered. They say</w:t>
      </w:r>
      <w:r w:rsidR="00B37730">
        <w:t>,</w:t>
      </w:r>
      <w:r>
        <w:t xml:space="preserve"> “</w:t>
      </w:r>
      <w:r w:rsidR="00B37730">
        <w:t>W</w:t>
      </w:r>
      <w:r>
        <w:t>e are middle</w:t>
      </w:r>
      <w:r w:rsidR="00B37730">
        <w:t>-</w:t>
      </w:r>
      <w:r>
        <w:t>age</w:t>
      </w:r>
      <w:r w:rsidR="00B37730">
        <w:t>d</w:t>
      </w:r>
      <w:r>
        <w:t xml:space="preserve"> white m</w:t>
      </w:r>
      <w:r w:rsidR="00B37730">
        <w:t>e</w:t>
      </w:r>
      <w:r>
        <w:t>n, what can we do?” They say</w:t>
      </w:r>
      <w:r w:rsidR="00B37730">
        <w:t>,</w:t>
      </w:r>
      <w:r>
        <w:t xml:space="preserve"> “Well</w:t>
      </w:r>
      <w:r w:rsidR="00B37730">
        <w:t>,</w:t>
      </w:r>
      <w:r>
        <w:t xml:space="preserve"> nothing changed in the last 20 years, what can we do?” And this was from a middle</w:t>
      </w:r>
      <w:r w:rsidR="00B37730">
        <w:t>-</w:t>
      </w:r>
      <w:r>
        <w:t>aged woman.” (</w:t>
      </w:r>
      <w:r w:rsidR="00B95B9A">
        <w:t>Educational Institutions</w:t>
      </w:r>
      <w:r>
        <w:t xml:space="preserve"> Focus Group)</w:t>
      </w:r>
    </w:p>
    <w:p w14:paraId="4EF096D3" w14:textId="23883A7F" w:rsidR="00C80E24" w:rsidRDefault="008A6CE0" w:rsidP="00C80E24">
      <w:r>
        <w:t>Some practitioner</w:t>
      </w:r>
      <w:r w:rsidR="0094443D">
        <w:t>s</w:t>
      </w:r>
      <w:r>
        <w:t xml:space="preserve"> spoke of more subtle forms of resistance, which resulted in m</w:t>
      </w:r>
      <w:r w:rsidR="00C80E24">
        <w:t>ajor opportunities to undertake GIA</w:t>
      </w:r>
      <w:r w:rsidR="00B37730">
        <w:t>s</w:t>
      </w:r>
      <w:r w:rsidR="00C80E24">
        <w:t xml:space="preserve"> </w:t>
      </w:r>
      <w:r>
        <w:t xml:space="preserve">being </w:t>
      </w:r>
      <w:r w:rsidR="00C80E24">
        <w:t>missed:</w:t>
      </w:r>
    </w:p>
    <w:p w14:paraId="7ED6F98F" w14:textId="11B6E653" w:rsidR="00C80E24" w:rsidRDefault="00C80E24" w:rsidP="00C80E24">
      <w:pPr>
        <w:pStyle w:val="Quote"/>
      </w:pPr>
      <w:r>
        <w:t>It</w:t>
      </w:r>
      <w:r w:rsidR="00B37730">
        <w:t>’</w:t>
      </w:r>
      <w:r>
        <w:t>s too ambitious to do a GIA with education – no training on GIA has been done yet with the education departments. GIA work involves multiple stakeholders reviewing curriculum documents. They need the base line training on why it</w:t>
      </w:r>
      <w:r w:rsidR="008A6CE0">
        <w:t>’</w:t>
      </w:r>
      <w:r>
        <w:t xml:space="preserve">s important. At the moment I get “I have just rewritten all my </w:t>
      </w:r>
      <w:r w:rsidR="008A6CE0">
        <w:t>PowerPoints,</w:t>
      </w:r>
      <w:r>
        <w:t xml:space="preserve"> do I have to do it all again? (</w:t>
      </w:r>
      <w:r w:rsidR="00B95B9A">
        <w:t>Educational Institutions</w:t>
      </w:r>
      <w:r>
        <w:t xml:space="preserve"> Focus Group)</w:t>
      </w:r>
    </w:p>
    <w:p w14:paraId="4AB3B705" w14:textId="691EFC1E" w:rsidR="00C80E24" w:rsidRDefault="00C80E24" w:rsidP="00C80E24">
      <w:r>
        <w:t>The Commission also not</w:t>
      </w:r>
      <w:r w:rsidR="008A6CE0">
        <w:t>ed</w:t>
      </w:r>
      <w:r>
        <w:t xml:space="preserve"> resistance to the GIA process coming through in the form of fear and concern of </w:t>
      </w:r>
      <w:r w:rsidR="00B37730">
        <w:t>‘</w:t>
      </w:r>
      <w:r>
        <w:t>getting things wrong</w:t>
      </w:r>
      <w:r w:rsidR="00B37730">
        <w:t>’</w:t>
      </w:r>
      <w:r w:rsidR="008A6CE0">
        <w:t>.</w:t>
      </w:r>
      <w:r w:rsidR="00B95B9A">
        <w:t xml:space="preserve"> </w:t>
      </w:r>
      <w:r>
        <w:t xml:space="preserve">This view was </w:t>
      </w:r>
      <w:r w:rsidR="008A6CE0">
        <w:t xml:space="preserve">reinforced </w:t>
      </w:r>
      <w:r>
        <w:t>by an interview</w:t>
      </w:r>
      <w:r w:rsidR="003D52F9">
        <w:t>ee</w:t>
      </w:r>
      <w:r>
        <w:t xml:space="preserve"> who reflected the risk that leaders and organisations </w:t>
      </w:r>
      <w:r w:rsidR="003D52F9">
        <w:t>can</w:t>
      </w:r>
      <w:r>
        <w:t xml:space="preserve"> feel</w:t>
      </w:r>
      <w:r w:rsidR="003D52F9">
        <w:t xml:space="preserve"> when</w:t>
      </w:r>
      <w:r>
        <w:t xml:space="preserve"> doing gender equality work</w:t>
      </w:r>
      <w:r w:rsidR="003D52F9">
        <w:t xml:space="preserve"> and the role </w:t>
      </w:r>
      <w:r>
        <w:t xml:space="preserve">that the Commission can play </w:t>
      </w:r>
      <w:r w:rsidR="003D52F9">
        <w:t xml:space="preserve">in alleviating </w:t>
      </w:r>
      <w:r>
        <w:t>fears</w:t>
      </w:r>
      <w:r w:rsidR="003D52F9">
        <w:t xml:space="preserve"> </w:t>
      </w:r>
      <w:r w:rsidR="000B3E71">
        <w:t xml:space="preserve">within </w:t>
      </w:r>
      <w:r w:rsidR="003D52F9">
        <w:t>t</w:t>
      </w:r>
      <w:r w:rsidR="0094443D">
        <w:t>he sector</w:t>
      </w:r>
      <w:r w:rsidR="003D52F9">
        <w:t xml:space="preserve">. </w:t>
      </w:r>
    </w:p>
    <w:p w14:paraId="61390C20" w14:textId="4F24E5CC" w:rsidR="002B7D62" w:rsidRDefault="00C80E24" w:rsidP="006B75D8">
      <w:pPr>
        <w:pStyle w:val="Quote"/>
      </w:pPr>
      <w:r>
        <w:t>And there's</w:t>
      </w:r>
      <w:r w:rsidR="003D52F9">
        <w:t xml:space="preserve"> of</w:t>
      </w:r>
      <w:r>
        <w:t xml:space="preserve"> best of intentions, but we could get it wrong</w:t>
      </w:r>
      <w:r w:rsidR="003D52F9">
        <w:t xml:space="preserve">… </w:t>
      </w:r>
      <w:r>
        <w:t>we're doing really good work</w:t>
      </w:r>
      <w:r w:rsidR="003D52F9">
        <w:t xml:space="preserve"> a</w:t>
      </w:r>
      <w:r>
        <w:t>nd it feels precarious. It feels like we could get it wrong</w:t>
      </w:r>
      <w:r w:rsidR="003D52F9">
        <w:t xml:space="preserve"> a</w:t>
      </w:r>
      <w:r>
        <w:t>nd we could be on the front page. And we don't want to be where</w:t>
      </w:r>
      <w:r w:rsidR="003D52F9">
        <w:t>,</w:t>
      </w:r>
      <w:r>
        <w:t xml:space="preserve"> we are genuinely in our commitment to gender equality, and diversity and inclusion and the commitments that we've made</w:t>
      </w:r>
      <w:r w:rsidR="003D52F9">
        <w:t xml:space="preserve">… </w:t>
      </w:r>
      <w:r>
        <w:t>I think some direction would be helpful.” (Water Utility</w:t>
      </w:r>
      <w:r w:rsidR="003D52F9">
        <w:t xml:space="preserve"> Interview</w:t>
      </w:r>
      <w:r>
        <w:t>)</w:t>
      </w:r>
    </w:p>
    <w:p w14:paraId="6A57C5E1" w14:textId="77777777" w:rsidR="00405CC7" w:rsidRDefault="00405CC7">
      <w:pPr>
        <w:rPr>
          <w:rFonts w:asciiTheme="majorHAnsi" w:eastAsiaTheme="majorEastAsia" w:hAnsiTheme="majorHAnsi" w:cstheme="majorBidi"/>
          <w:spacing w:val="-10"/>
          <w:kern w:val="28"/>
          <w:sz w:val="56"/>
          <w:szCs w:val="56"/>
        </w:rPr>
      </w:pPr>
      <w:bookmarkStart w:id="21" w:name="_Toc96348287"/>
      <w:r>
        <w:br w:type="page"/>
      </w:r>
    </w:p>
    <w:p w14:paraId="5A240480" w14:textId="75842A4D" w:rsidR="004A25F6" w:rsidRDefault="00D92040" w:rsidP="00D92040">
      <w:pPr>
        <w:pStyle w:val="Title"/>
      </w:pPr>
      <w:r>
        <w:lastRenderedPageBreak/>
        <w:t>Analysis</w:t>
      </w:r>
      <w:bookmarkEnd w:id="21"/>
    </w:p>
    <w:p w14:paraId="6C0D9CE0" w14:textId="36EA7320" w:rsidR="00124BE4" w:rsidRDefault="00124BE4" w:rsidP="00124BE4">
      <w:r>
        <w:t>Across the survey, interviews</w:t>
      </w:r>
      <w:r w:rsidR="00635B63">
        <w:t>,</w:t>
      </w:r>
      <w:r>
        <w:t xml:space="preserve"> and focus group</w:t>
      </w:r>
      <w:r w:rsidR="00201A18">
        <w:t>s,</w:t>
      </w:r>
      <w:r>
        <w:t xml:space="preserve"> defined entities are</w:t>
      </w:r>
      <w:r w:rsidR="00F06DCC">
        <w:t xml:space="preserve"> broadly</w:t>
      </w:r>
      <w:r>
        <w:t xml:space="preserve"> seeking</w:t>
      </w:r>
      <w:r w:rsidR="00201A18">
        <w:t xml:space="preserve"> greater</w:t>
      </w:r>
      <w:r>
        <w:t>:</w:t>
      </w:r>
    </w:p>
    <w:p w14:paraId="4BA5669C" w14:textId="5B4F52D6" w:rsidR="00124BE4" w:rsidRDefault="00201A18" w:rsidP="00770471">
      <w:pPr>
        <w:pStyle w:val="ListParagraph"/>
        <w:numPr>
          <w:ilvl w:val="0"/>
          <w:numId w:val="26"/>
        </w:numPr>
      </w:pPr>
      <w:r>
        <w:t>S</w:t>
      </w:r>
      <w:r w:rsidR="00124BE4">
        <w:t>upport</w:t>
      </w:r>
      <w:r>
        <w:t>, funding</w:t>
      </w:r>
      <w:r w:rsidR="00635B63">
        <w:t>,</w:t>
      </w:r>
      <w:r>
        <w:t xml:space="preserve"> and </w:t>
      </w:r>
      <w:r w:rsidR="005229D5">
        <w:t>time</w:t>
      </w:r>
      <w:r>
        <w:t xml:space="preserve"> </w:t>
      </w:r>
    </w:p>
    <w:p w14:paraId="755F03CC" w14:textId="0D29CF23" w:rsidR="00124BE4" w:rsidRDefault="00201A18" w:rsidP="00770471">
      <w:pPr>
        <w:pStyle w:val="ListParagraph"/>
        <w:numPr>
          <w:ilvl w:val="0"/>
          <w:numId w:val="26"/>
        </w:numPr>
      </w:pPr>
      <w:r>
        <w:t>T</w:t>
      </w:r>
      <w:r w:rsidR="00124BE4">
        <w:t xml:space="preserve">ailored </w:t>
      </w:r>
      <w:r w:rsidR="004A5544">
        <w:t xml:space="preserve">and accessible </w:t>
      </w:r>
      <w:r>
        <w:t xml:space="preserve">sector </w:t>
      </w:r>
      <w:r w:rsidR="00124BE4">
        <w:t>advice</w:t>
      </w:r>
      <w:r>
        <w:t>, guidance</w:t>
      </w:r>
      <w:r w:rsidR="00635B63">
        <w:t>,</w:t>
      </w:r>
      <w:r>
        <w:t xml:space="preserve"> and templates</w:t>
      </w:r>
    </w:p>
    <w:p w14:paraId="2D52AF4A" w14:textId="25DEC559" w:rsidR="00124BE4" w:rsidRDefault="00201A18" w:rsidP="00770471">
      <w:pPr>
        <w:pStyle w:val="ListParagraph"/>
        <w:numPr>
          <w:ilvl w:val="0"/>
          <w:numId w:val="26"/>
        </w:numPr>
      </w:pPr>
      <w:r>
        <w:t>T</w:t>
      </w:r>
      <w:r w:rsidR="005229D5">
        <w:t>argeted training</w:t>
      </w:r>
      <w:r w:rsidR="004A5544">
        <w:t>,</w:t>
      </w:r>
      <w:r>
        <w:t xml:space="preserve"> capacity building</w:t>
      </w:r>
      <w:r w:rsidR="004A5544">
        <w:t xml:space="preserve"> and practice-based learning opportunities </w:t>
      </w:r>
    </w:p>
    <w:p w14:paraId="62346ABC" w14:textId="17FC1AB4" w:rsidR="005229D5" w:rsidRDefault="00201A18" w:rsidP="00770471">
      <w:pPr>
        <w:pStyle w:val="ListParagraph"/>
        <w:numPr>
          <w:ilvl w:val="0"/>
          <w:numId w:val="26"/>
        </w:numPr>
      </w:pPr>
      <w:r>
        <w:t>A</w:t>
      </w:r>
      <w:r w:rsidR="005229D5">
        <w:t xml:space="preserve">ccess to </w:t>
      </w:r>
      <w:r w:rsidR="00F06DCC">
        <w:t xml:space="preserve">sustainable </w:t>
      </w:r>
      <w:r>
        <w:t xml:space="preserve">gender equality </w:t>
      </w:r>
      <w:r w:rsidR="005229D5">
        <w:t>skills</w:t>
      </w:r>
      <w:r w:rsidR="00F06DCC">
        <w:t>, knowledge</w:t>
      </w:r>
      <w:r w:rsidR="00635B63">
        <w:t>,</w:t>
      </w:r>
      <w:r w:rsidR="00F06DCC">
        <w:t xml:space="preserve"> </w:t>
      </w:r>
      <w:r>
        <w:t xml:space="preserve">and expertise. </w:t>
      </w:r>
      <w:r w:rsidR="005229D5">
        <w:t xml:space="preserve"> </w:t>
      </w:r>
    </w:p>
    <w:p w14:paraId="17A100AF" w14:textId="265B88E9" w:rsidR="005229D5" w:rsidRDefault="00635B63" w:rsidP="006B75D8">
      <w:r>
        <w:t>Ano</w:t>
      </w:r>
      <w:r w:rsidR="00C30A51">
        <w:t xml:space="preserve">ther </w:t>
      </w:r>
      <w:r w:rsidR="002E360B">
        <w:t>overarching</w:t>
      </w:r>
      <w:r w:rsidR="00C30A51">
        <w:t xml:space="preserve"> theme </w:t>
      </w:r>
      <w:r w:rsidR="002E360B">
        <w:t>was the</w:t>
      </w:r>
      <w:r w:rsidR="00F06DCC">
        <w:t xml:space="preserve"> </w:t>
      </w:r>
      <w:r w:rsidR="005229D5">
        <w:t xml:space="preserve">COVID-19 </w:t>
      </w:r>
      <w:r w:rsidR="00201A18">
        <w:t>p</w:t>
      </w:r>
      <w:r w:rsidR="005229D5">
        <w:t>andemic</w:t>
      </w:r>
      <w:r w:rsidR="00F06DCC">
        <w:t xml:space="preserve">, which </w:t>
      </w:r>
      <w:r w:rsidR="005229D5">
        <w:t xml:space="preserve">has been a major detractor and inhibitor to the implementation of </w:t>
      </w:r>
      <w:r w:rsidR="00201A18">
        <w:t>GIA</w:t>
      </w:r>
      <w:r>
        <w:t>s</w:t>
      </w:r>
      <w:r w:rsidR="00201A18">
        <w:t xml:space="preserve"> and </w:t>
      </w:r>
      <w:r w:rsidR="005229D5">
        <w:t xml:space="preserve">the </w:t>
      </w:r>
      <w:r w:rsidR="000B3E71">
        <w:t xml:space="preserve">GE </w:t>
      </w:r>
      <w:r w:rsidR="005229D5">
        <w:t xml:space="preserve">Act for </w:t>
      </w:r>
      <w:r w:rsidR="00201A18">
        <w:t>public sector services</w:t>
      </w:r>
      <w:r w:rsidR="000A77C9">
        <w:t xml:space="preserve">. Nowhere is this more evident than </w:t>
      </w:r>
      <w:r w:rsidR="000B3E71">
        <w:t>in the</w:t>
      </w:r>
      <w:r w:rsidR="000A77C9">
        <w:t xml:space="preserve"> </w:t>
      </w:r>
      <w:r w:rsidR="00201A18">
        <w:t>h</w:t>
      </w:r>
      <w:r w:rsidR="00802ACA">
        <w:t>ealth</w:t>
      </w:r>
      <w:r w:rsidR="000A77C9">
        <w:t xml:space="preserve"> </w:t>
      </w:r>
      <w:r w:rsidR="000B3E71">
        <w:t xml:space="preserve">sector, </w:t>
      </w:r>
      <w:r w:rsidR="00802ACA">
        <w:t>wh</w:t>
      </w:r>
      <w:r w:rsidR="000B3E71">
        <w:t>ich</w:t>
      </w:r>
      <w:r w:rsidR="00802ACA">
        <w:t xml:space="preserve"> reported that </w:t>
      </w:r>
      <w:r w:rsidR="00201A18">
        <w:t>public h</w:t>
      </w:r>
      <w:r w:rsidR="00802ACA">
        <w:t xml:space="preserve">ealth </w:t>
      </w:r>
      <w:r w:rsidR="007B4276">
        <w:t>directi</w:t>
      </w:r>
      <w:r w:rsidR="002E360B">
        <w:t>ons</w:t>
      </w:r>
      <w:r w:rsidR="000A77C9">
        <w:t xml:space="preserve"> and protocols </w:t>
      </w:r>
      <w:r w:rsidR="007B4276">
        <w:t>reduced resources for implementation, deferred the work completely</w:t>
      </w:r>
      <w:r w:rsidR="000A77C9">
        <w:t>,</w:t>
      </w:r>
      <w:r w:rsidR="007B4276">
        <w:t xml:space="preserve"> or </w:t>
      </w:r>
      <w:r w:rsidR="00770471">
        <w:t xml:space="preserve">diluted funding to such an extent that it was incredibly difficult to achieve deliverables. </w:t>
      </w:r>
    </w:p>
    <w:p w14:paraId="1C6EC741" w14:textId="37B8722F" w:rsidR="00F06DCC" w:rsidRDefault="00770471" w:rsidP="006B75D8">
      <w:r>
        <w:t>Leadership capability play</w:t>
      </w:r>
      <w:r w:rsidR="00F06DCC">
        <w:t>s</w:t>
      </w:r>
      <w:r>
        <w:t xml:space="preserve"> a </w:t>
      </w:r>
      <w:r w:rsidR="00F06DCC">
        <w:t xml:space="preserve">critical </w:t>
      </w:r>
      <w:r>
        <w:t>role in driving the work to undertake and implement GIA</w:t>
      </w:r>
      <w:r w:rsidR="00635B63">
        <w:t>s,</w:t>
      </w:r>
      <w:r>
        <w:t xml:space="preserve"> </w:t>
      </w:r>
      <w:r w:rsidR="00635B63">
        <w:t>p</w:t>
      </w:r>
      <w:r w:rsidR="00166626">
        <w:t>articularly in terms of understanding</w:t>
      </w:r>
      <w:r w:rsidR="00F06DCC">
        <w:t>:</w:t>
      </w:r>
    </w:p>
    <w:p w14:paraId="1ADBD14E" w14:textId="3A01385C" w:rsidR="00F06DCC" w:rsidRDefault="00166626" w:rsidP="00F06DCC">
      <w:pPr>
        <w:pStyle w:val="ListParagraph"/>
        <w:ind w:left="0" w:firstLine="720"/>
      </w:pPr>
      <w:r>
        <w:t>a) the transformational nature of GIA</w:t>
      </w:r>
      <w:r w:rsidR="00635B63">
        <w:t>s</w:t>
      </w:r>
      <w:r>
        <w:t xml:space="preserve"> and the </w:t>
      </w:r>
      <w:r w:rsidR="000B3E71">
        <w:t xml:space="preserve">GE </w:t>
      </w:r>
      <w:r>
        <w:t>Act</w:t>
      </w:r>
      <w:r w:rsidR="00F06DCC">
        <w:t>’s intent</w:t>
      </w:r>
      <w:r>
        <w:t xml:space="preserve"> </w:t>
      </w:r>
    </w:p>
    <w:p w14:paraId="45918F6C" w14:textId="45BA65AF" w:rsidR="00F06DCC" w:rsidRDefault="00166626" w:rsidP="006B75D8">
      <w:pPr>
        <w:pStyle w:val="ListParagraph"/>
        <w:ind w:left="0" w:firstLine="720"/>
      </w:pPr>
      <w:r>
        <w:t xml:space="preserve">b) the practical work required to undertake a GIA. </w:t>
      </w:r>
    </w:p>
    <w:p w14:paraId="7899B6B9" w14:textId="5F36B69C" w:rsidR="00770471" w:rsidRDefault="00F06DCC" w:rsidP="006B75D8">
      <w:r>
        <w:t>M</w:t>
      </w:r>
      <w:r w:rsidR="00166626">
        <w:t xml:space="preserve">any participants and </w:t>
      </w:r>
      <w:r w:rsidR="00C30A51">
        <w:t>respondents</w:t>
      </w:r>
      <w:r w:rsidR="00166626">
        <w:t xml:space="preserve"> reported strong support from senior leadership and executive</w:t>
      </w:r>
      <w:r w:rsidR="00203571">
        <w:t>s</w:t>
      </w:r>
      <w:r>
        <w:t>. However,</w:t>
      </w:r>
      <w:r w:rsidR="00166626">
        <w:t xml:space="preserve"> </w:t>
      </w:r>
      <w:r>
        <w:t>for many organisations this does not</w:t>
      </w:r>
      <w:r w:rsidR="00166626">
        <w:t xml:space="preserve"> translat</w:t>
      </w:r>
      <w:r>
        <w:t xml:space="preserve">e to applied practice </w:t>
      </w:r>
      <w:r w:rsidR="00166626">
        <w:t xml:space="preserve">across the organisation and to frontline teams </w:t>
      </w:r>
      <w:r>
        <w:t>who are</w:t>
      </w:r>
      <w:r w:rsidR="00166626">
        <w:t xml:space="preserve"> doing the work.</w:t>
      </w:r>
    </w:p>
    <w:p w14:paraId="1A5E1665" w14:textId="70E9C843" w:rsidR="00C30A51" w:rsidRPr="00040544" w:rsidRDefault="00F06DCC" w:rsidP="006B75D8">
      <w:r w:rsidRPr="00040544">
        <w:t>A lack of f</w:t>
      </w:r>
      <w:r w:rsidR="00C30A51" w:rsidRPr="00040544">
        <w:t xml:space="preserve">unding and resources </w:t>
      </w:r>
      <w:r w:rsidRPr="00040544">
        <w:t>was a critical theme throughout the consultations.</w:t>
      </w:r>
      <w:r w:rsidR="00C30A51" w:rsidRPr="00040544">
        <w:t xml:space="preserve"> </w:t>
      </w:r>
      <w:r w:rsidR="00EF4E6D" w:rsidRPr="00040544">
        <w:t>Th</w:t>
      </w:r>
      <w:r w:rsidR="00040544" w:rsidRPr="00040544">
        <w:t xml:space="preserve">is included a </w:t>
      </w:r>
      <w:r w:rsidR="00EF4E6D" w:rsidRPr="00040544">
        <w:t>skill</w:t>
      </w:r>
      <w:r w:rsidR="00040544" w:rsidRPr="00040544">
        <w:t>s</w:t>
      </w:r>
      <w:r w:rsidR="00EF4E6D" w:rsidRPr="00040544">
        <w:t xml:space="preserve"> shortage in </w:t>
      </w:r>
      <w:r w:rsidR="00040544" w:rsidRPr="00040544">
        <w:t xml:space="preserve">the </w:t>
      </w:r>
      <w:r w:rsidR="00EF4E6D" w:rsidRPr="00040544">
        <w:t>gender equality</w:t>
      </w:r>
      <w:r w:rsidR="00040544" w:rsidRPr="00040544">
        <w:t xml:space="preserve"> workforce</w:t>
      </w:r>
      <w:r w:rsidR="00EF4E6D" w:rsidRPr="00040544">
        <w:t xml:space="preserve">, the </w:t>
      </w:r>
      <w:r w:rsidR="000C248C" w:rsidRPr="00040544">
        <w:t>diverting of funds for other priorities, and</w:t>
      </w:r>
      <w:r w:rsidR="00635B63">
        <w:t>,</w:t>
      </w:r>
      <w:r w:rsidR="000C248C" w:rsidRPr="00040544">
        <w:t xml:space="preserve"> </w:t>
      </w:r>
      <w:r w:rsidR="00040544" w:rsidRPr="00040544">
        <w:t>in some instances</w:t>
      </w:r>
      <w:r w:rsidR="00DB7F93">
        <w:t>,</w:t>
      </w:r>
      <w:r w:rsidR="00040544" w:rsidRPr="00040544">
        <w:t xml:space="preserve"> a</w:t>
      </w:r>
      <w:r w:rsidR="000C248C" w:rsidRPr="00040544">
        <w:t xml:space="preserve"> lack of value placed </w:t>
      </w:r>
      <w:r w:rsidR="00040544" w:rsidRPr="00040544">
        <w:t>o</w:t>
      </w:r>
      <w:r w:rsidR="000C248C" w:rsidRPr="00040544">
        <w:t xml:space="preserve">n </w:t>
      </w:r>
      <w:r w:rsidR="00040544" w:rsidRPr="00040544">
        <w:t xml:space="preserve">gender equality </w:t>
      </w:r>
      <w:r w:rsidR="000C248C" w:rsidRPr="00040544">
        <w:t>work.</w:t>
      </w:r>
    </w:p>
    <w:p w14:paraId="1BE3B5B3" w14:textId="6DB8980E" w:rsidR="00BB10E5" w:rsidRPr="00E82A4C" w:rsidRDefault="00E82A4C" w:rsidP="00BB10E5">
      <w:pPr>
        <w:pStyle w:val="Heading1"/>
      </w:pPr>
      <w:bookmarkStart w:id="22" w:name="_Toc96348288"/>
      <w:r w:rsidRPr="00E82A4C">
        <w:t>D</w:t>
      </w:r>
      <w:r w:rsidR="00BB10E5" w:rsidRPr="00E82A4C">
        <w:t>efined entit</w:t>
      </w:r>
      <w:r w:rsidRPr="00E82A4C">
        <w:t>ies</w:t>
      </w:r>
      <w:r w:rsidR="00635B63">
        <w:t>’</w:t>
      </w:r>
      <w:r w:rsidRPr="00E82A4C">
        <w:t xml:space="preserve"> different support and educational needs</w:t>
      </w:r>
      <w:bookmarkEnd w:id="22"/>
    </w:p>
    <w:p w14:paraId="09BE66D4" w14:textId="453B7B0C" w:rsidR="00BB10E5" w:rsidRPr="006B75D8" w:rsidRDefault="00EB77FC" w:rsidP="1137305B">
      <w:pPr>
        <w:pStyle w:val="NormalWeb"/>
        <w:shd w:val="clear" w:color="auto" w:fill="FFFFFF" w:themeFill="background1"/>
        <w:rPr>
          <w:sz w:val="22"/>
          <w:szCs w:val="22"/>
        </w:rPr>
      </w:pPr>
      <w:r w:rsidRPr="00E82A4C">
        <w:rPr>
          <w:sz w:val="22"/>
          <w:szCs w:val="22"/>
        </w:rPr>
        <w:t>A</w:t>
      </w:r>
      <w:r w:rsidR="00951C3C" w:rsidRPr="00E82A4C">
        <w:rPr>
          <w:sz w:val="22"/>
          <w:szCs w:val="22"/>
        </w:rPr>
        <w:t>n</w:t>
      </w:r>
      <w:r w:rsidRPr="00E82A4C">
        <w:rPr>
          <w:sz w:val="22"/>
          <w:szCs w:val="22"/>
        </w:rPr>
        <w:t xml:space="preserve"> analysis of</w:t>
      </w:r>
      <w:r w:rsidR="00BB10E5" w:rsidRPr="00E82A4C">
        <w:rPr>
          <w:sz w:val="22"/>
          <w:szCs w:val="22"/>
        </w:rPr>
        <w:t xml:space="preserve"> the survey</w:t>
      </w:r>
      <w:r w:rsidRPr="00E82A4C">
        <w:rPr>
          <w:sz w:val="22"/>
          <w:szCs w:val="22"/>
        </w:rPr>
        <w:t>,</w:t>
      </w:r>
      <w:r w:rsidR="00BB10E5" w:rsidRPr="00E82A4C">
        <w:rPr>
          <w:sz w:val="22"/>
          <w:szCs w:val="22"/>
        </w:rPr>
        <w:t xml:space="preserve"> interview</w:t>
      </w:r>
      <w:r w:rsidR="00635B63">
        <w:rPr>
          <w:sz w:val="22"/>
          <w:szCs w:val="22"/>
        </w:rPr>
        <w:t>,</w:t>
      </w:r>
      <w:r w:rsidR="00BB10E5" w:rsidRPr="00E82A4C">
        <w:rPr>
          <w:sz w:val="22"/>
          <w:szCs w:val="22"/>
        </w:rPr>
        <w:t xml:space="preserve"> and focus group</w:t>
      </w:r>
      <w:r w:rsidRPr="00E82A4C">
        <w:rPr>
          <w:sz w:val="22"/>
          <w:szCs w:val="22"/>
        </w:rPr>
        <w:t xml:space="preserve"> findings </w:t>
      </w:r>
      <w:r w:rsidR="00BB10E5" w:rsidRPr="00E82A4C">
        <w:rPr>
          <w:sz w:val="22"/>
          <w:szCs w:val="22"/>
        </w:rPr>
        <w:t>clear</w:t>
      </w:r>
      <w:r w:rsidRPr="00E82A4C">
        <w:rPr>
          <w:sz w:val="22"/>
          <w:szCs w:val="22"/>
        </w:rPr>
        <w:t>ly show</w:t>
      </w:r>
      <w:r w:rsidR="00635B63">
        <w:rPr>
          <w:sz w:val="22"/>
          <w:szCs w:val="22"/>
        </w:rPr>
        <w:t>s</w:t>
      </w:r>
      <w:r w:rsidR="00BB10E5" w:rsidRPr="00E82A4C">
        <w:rPr>
          <w:sz w:val="22"/>
          <w:szCs w:val="22"/>
        </w:rPr>
        <w:t xml:space="preserve"> that there is a distinct</w:t>
      </w:r>
      <w:r w:rsidR="00BB10E5" w:rsidRPr="006B75D8">
        <w:rPr>
          <w:sz w:val="22"/>
          <w:szCs w:val="22"/>
        </w:rPr>
        <w:t xml:space="preserve"> set of characteristics </w:t>
      </w:r>
      <w:r w:rsidRPr="006B75D8">
        <w:rPr>
          <w:sz w:val="22"/>
          <w:szCs w:val="22"/>
        </w:rPr>
        <w:t>associated with</w:t>
      </w:r>
      <w:r w:rsidR="00BB10E5" w:rsidRPr="006B75D8">
        <w:rPr>
          <w:sz w:val="22"/>
          <w:szCs w:val="22"/>
        </w:rPr>
        <w:t xml:space="preserve"> defined entities that are successfully implementing GIA</w:t>
      </w:r>
      <w:r w:rsidR="00635B63">
        <w:rPr>
          <w:sz w:val="22"/>
          <w:szCs w:val="22"/>
        </w:rPr>
        <w:t xml:space="preserve"> work</w:t>
      </w:r>
      <w:r w:rsidRPr="006B75D8">
        <w:rPr>
          <w:sz w:val="22"/>
          <w:szCs w:val="22"/>
        </w:rPr>
        <w:t>, compared with</w:t>
      </w:r>
      <w:r w:rsidR="00BB10E5" w:rsidRPr="006B75D8">
        <w:rPr>
          <w:sz w:val="22"/>
          <w:szCs w:val="22"/>
        </w:rPr>
        <w:t xml:space="preserve"> those that are struggling or </w:t>
      </w:r>
      <w:r w:rsidRPr="006B75D8">
        <w:rPr>
          <w:sz w:val="22"/>
          <w:szCs w:val="22"/>
        </w:rPr>
        <w:t>who are yet to commence implementation</w:t>
      </w:r>
      <w:r w:rsidR="00BB10E5" w:rsidRPr="006B75D8">
        <w:rPr>
          <w:sz w:val="22"/>
          <w:szCs w:val="22"/>
        </w:rPr>
        <w:t xml:space="preserve">. The characteristics strongly inform the type of </w:t>
      </w:r>
      <w:r w:rsidRPr="006B75D8">
        <w:rPr>
          <w:sz w:val="22"/>
          <w:szCs w:val="22"/>
        </w:rPr>
        <w:t xml:space="preserve">educational </w:t>
      </w:r>
      <w:r w:rsidR="00BB10E5" w:rsidRPr="006B75D8">
        <w:rPr>
          <w:sz w:val="22"/>
          <w:szCs w:val="22"/>
        </w:rPr>
        <w:t xml:space="preserve">support that </w:t>
      </w:r>
      <w:r w:rsidRPr="006B75D8">
        <w:rPr>
          <w:sz w:val="22"/>
          <w:szCs w:val="22"/>
        </w:rPr>
        <w:t xml:space="preserve">defined </w:t>
      </w:r>
      <w:r w:rsidR="00BB10E5" w:rsidRPr="006B75D8">
        <w:rPr>
          <w:sz w:val="22"/>
          <w:szCs w:val="22"/>
        </w:rPr>
        <w:t>entities</w:t>
      </w:r>
      <w:r w:rsidRPr="006B75D8">
        <w:rPr>
          <w:sz w:val="22"/>
          <w:szCs w:val="22"/>
        </w:rPr>
        <w:t xml:space="preserve"> seek</w:t>
      </w:r>
      <w:r w:rsidR="00BB10E5" w:rsidRPr="006B75D8">
        <w:rPr>
          <w:sz w:val="22"/>
          <w:szCs w:val="22"/>
        </w:rPr>
        <w:t xml:space="preserve"> to implement GIA</w:t>
      </w:r>
      <w:r w:rsidR="00635B63">
        <w:rPr>
          <w:sz w:val="22"/>
          <w:szCs w:val="22"/>
        </w:rPr>
        <w:t>s</w:t>
      </w:r>
      <w:r w:rsidR="00BB10E5" w:rsidRPr="006B75D8">
        <w:rPr>
          <w:sz w:val="22"/>
          <w:szCs w:val="22"/>
        </w:rPr>
        <w:t xml:space="preserve">.  </w:t>
      </w:r>
    </w:p>
    <w:p w14:paraId="687B7B7A" w14:textId="1EAFD08C" w:rsidR="00BB10E5" w:rsidRPr="006B75D8" w:rsidRDefault="006916DD" w:rsidP="00BB10E5">
      <w:pPr>
        <w:pStyle w:val="NormalWeb"/>
        <w:shd w:val="clear" w:color="auto" w:fill="FFFFFF"/>
        <w:rPr>
          <w:sz w:val="22"/>
          <w:szCs w:val="22"/>
        </w:rPr>
      </w:pPr>
      <w:r w:rsidRPr="006B75D8">
        <w:rPr>
          <w:sz w:val="22"/>
          <w:szCs w:val="22"/>
        </w:rPr>
        <w:t>Defined entities that are s</w:t>
      </w:r>
      <w:r w:rsidR="00BB10E5" w:rsidRPr="006B75D8">
        <w:rPr>
          <w:sz w:val="22"/>
          <w:szCs w:val="22"/>
        </w:rPr>
        <w:t>uccessful</w:t>
      </w:r>
      <w:r w:rsidRPr="006B75D8">
        <w:rPr>
          <w:sz w:val="22"/>
          <w:szCs w:val="22"/>
        </w:rPr>
        <w:t>ly delivering GIA</w:t>
      </w:r>
      <w:r w:rsidR="00635B63">
        <w:rPr>
          <w:sz w:val="22"/>
          <w:szCs w:val="22"/>
        </w:rPr>
        <w:t>s</w:t>
      </w:r>
      <w:r w:rsidR="00BB10E5" w:rsidRPr="006B75D8">
        <w:rPr>
          <w:b/>
          <w:bCs/>
          <w:sz w:val="22"/>
          <w:szCs w:val="22"/>
        </w:rPr>
        <w:t xml:space="preserve"> </w:t>
      </w:r>
      <w:r w:rsidR="00BB10E5" w:rsidRPr="006B75D8">
        <w:rPr>
          <w:sz w:val="22"/>
          <w:szCs w:val="22"/>
        </w:rPr>
        <w:t xml:space="preserve">are characterised </w:t>
      </w:r>
      <w:r w:rsidRPr="006B75D8">
        <w:rPr>
          <w:sz w:val="22"/>
          <w:szCs w:val="22"/>
        </w:rPr>
        <w:t>as</w:t>
      </w:r>
      <w:r w:rsidR="00BB10E5" w:rsidRPr="006B75D8">
        <w:rPr>
          <w:sz w:val="22"/>
          <w:szCs w:val="22"/>
        </w:rPr>
        <w:t xml:space="preserve"> having:</w:t>
      </w:r>
    </w:p>
    <w:p w14:paraId="643CD474" w14:textId="335EC111" w:rsidR="00BB10E5" w:rsidRPr="006B75D8" w:rsidRDefault="00BB10E5" w:rsidP="1137305B">
      <w:pPr>
        <w:pStyle w:val="NormalWeb"/>
        <w:numPr>
          <w:ilvl w:val="0"/>
          <w:numId w:val="19"/>
        </w:numPr>
        <w:shd w:val="clear" w:color="auto" w:fill="FFFFFF" w:themeFill="background1"/>
        <w:rPr>
          <w:sz w:val="22"/>
          <w:szCs w:val="22"/>
        </w:rPr>
      </w:pPr>
      <w:r w:rsidRPr="006B75D8">
        <w:rPr>
          <w:sz w:val="22"/>
          <w:szCs w:val="22"/>
        </w:rPr>
        <w:t>Organisation</w:t>
      </w:r>
      <w:r w:rsidR="006769D6" w:rsidRPr="006B75D8">
        <w:rPr>
          <w:sz w:val="22"/>
          <w:szCs w:val="22"/>
        </w:rPr>
        <w:t>-w</w:t>
      </w:r>
      <w:r w:rsidRPr="006B75D8">
        <w:rPr>
          <w:sz w:val="22"/>
          <w:szCs w:val="22"/>
        </w:rPr>
        <w:t xml:space="preserve">ide </w:t>
      </w:r>
      <w:r w:rsidR="006769D6" w:rsidRPr="006B75D8">
        <w:rPr>
          <w:sz w:val="22"/>
          <w:szCs w:val="22"/>
        </w:rPr>
        <w:t>t</w:t>
      </w:r>
      <w:r w:rsidRPr="006B75D8">
        <w:rPr>
          <w:sz w:val="22"/>
          <w:szCs w:val="22"/>
        </w:rPr>
        <w:t xml:space="preserve">raining on </w:t>
      </w:r>
      <w:r w:rsidR="006769D6" w:rsidRPr="006B75D8">
        <w:rPr>
          <w:sz w:val="22"/>
          <w:szCs w:val="22"/>
        </w:rPr>
        <w:t>g</w:t>
      </w:r>
      <w:r w:rsidRPr="006B75D8">
        <w:rPr>
          <w:sz w:val="22"/>
          <w:szCs w:val="22"/>
        </w:rPr>
        <w:t xml:space="preserve">ender </w:t>
      </w:r>
      <w:r w:rsidR="006769D6" w:rsidRPr="006B75D8">
        <w:rPr>
          <w:sz w:val="22"/>
          <w:szCs w:val="22"/>
        </w:rPr>
        <w:t>e</w:t>
      </w:r>
      <w:r w:rsidRPr="006B75D8">
        <w:rPr>
          <w:sz w:val="22"/>
          <w:szCs w:val="22"/>
        </w:rPr>
        <w:t xml:space="preserve">quality </w:t>
      </w:r>
      <w:r w:rsidR="006769D6" w:rsidRPr="006B75D8">
        <w:rPr>
          <w:sz w:val="22"/>
          <w:szCs w:val="22"/>
        </w:rPr>
        <w:t>that articulates</w:t>
      </w:r>
      <w:r w:rsidRPr="006B75D8">
        <w:rPr>
          <w:sz w:val="22"/>
          <w:szCs w:val="22"/>
        </w:rPr>
        <w:t xml:space="preserve"> </w:t>
      </w:r>
      <w:r w:rsidR="006769D6" w:rsidRPr="006B75D8">
        <w:rPr>
          <w:sz w:val="22"/>
          <w:szCs w:val="22"/>
        </w:rPr>
        <w:t>the</w:t>
      </w:r>
      <w:r w:rsidRPr="006B75D8">
        <w:rPr>
          <w:sz w:val="22"/>
          <w:szCs w:val="22"/>
        </w:rPr>
        <w:t xml:space="preserve"> </w:t>
      </w:r>
      <w:r w:rsidR="006769D6" w:rsidRPr="006B75D8">
        <w:rPr>
          <w:sz w:val="22"/>
          <w:szCs w:val="22"/>
        </w:rPr>
        <w:t>v</w:t>
      </w:r>
      <w:r w:rsidRPr="006B75D8">
        <w:rPr>
          <w:sz w:val="22"/>
          <w:szCs w:val="22"/>
        </w:rPr>
        <w:t>alue</w:t>
      </w:r>
      <w:r w:rsidR="006769D6" w:rsidRPr="006B75D8">
        <w:rPr>
          <w:sz w:val="22"/>
          <w:szCs w:val="22"/>
        </w:rPr>
        <w:t xml:space="preserve"> proposition for the organisation, its workforce</w:t>
      </w:r>
      <w:r w:rsidR="00635B63">
        <w:rPr>
          <w:sz w:val="22"/>
          <w:szCs w:val="22"/>
        </w:rPr>
        <w:t>,</w:t>
      </w:r>
      <w:r w:rsidR="006769D6" w:rsidRPr="006B75D8">
        <w:rPr>
          <w:sz w:val="22"/>
          <w:szCs w:val="22"/>
        </w:rPr>
        <w:t xml:space="preserve"> and individuals</w:t>
      </w:r>
      <w:r w:rsidR="00635B63">
        <w:rPr>
          <w:sz w:val="22"/>
          <w:szCs w:val="22"/>
        </w:rPr>
        <w:t>.</w:t>
      </w:r>
    </w:p>
    <w:p w14:paraId="0CAF5DE1" w14:textId="55218483" w:rsidR="00BB10E5" w:rsidRPr="006B75D8" w:rsidRDefault="00BB10E5" w:rsidP="00C034EE">
      <w:pPr>
        <w:pStyle w:val="NormalWeb"/>
        <w:numPr>
          <w:ilvl w:val="0"/>
          <w:numId w:val="19"/>
        </w:numPr>
        <w:shd w:val="clear" w:color="auto" w:fill="FFFFFF"/>
        <w:rPr>
          <w:sz w:val="22"/>
          <w:szCs w:val="22"/>
        </w:rPr>
      </w:pPr>
      <w:r w:rsidRPr="006B75D8">
        <w:rPr>
          <w:sz w:val="22"/>
          <w:szCs w:val="22"/>
        </w:rPr>
        <w:t xml:space="preserve">CEO </w:t>
      </w:r>
      <w:r w:rsidR="006769D6" w:rsidRPr="006B75D8">
        <w:rPr>
          <w:sz w:val="22"/>
          <w:szCs w:val="22"/>
        </w:rPr>
        <w:t>l</w:t>
      </w:r>
      <w:r w:rsidRPr="006B75D8">
        <w:rPr>
          <w:sz w:val="22"/>
          <w:szCs w:val="22"/>
        </w:rPr>
        <w:t xml:space="preserve">eadership </w:t>
      </w:r>
      <w:r w:rsidR="006769D6" w:rsidRPr="006B75D8">
        <w:rPr>
          <w:sz w:val="22"/>
          <w:szCs w:val="22"/>
        </w:rPr>
        <w:t>with the</w:t>
      </w:r>
      <w:r w:rsidRPr="006B75D8">
        <w:rPr>
          <w:sz w:val="22"/>
          <w:szCs w:val="22"/>
        </w:rPr>
        <w:t xml:space="preserve"> </w:t>
      </w:r>
      <w:r w:rsidR="006769D6" w:rsidRPr="006B75D8">
        <w:rPr>
          <w:sz w:val="22"/>
          <w:szCs w:val="22"/>
        </w:rPr>
        <w:t>e</w:t>
      </w:r>
      <w:r w:rsidRPr="006B75D8">
        <w:rPr>
          <w:sz w:val="22"/>
          <w:szCs w:val="22"/>
        </w:rPr>
        <w:t>xecutive</w:t>
      </w:r>
      <w:r w:rsidR="006769D6" w:rsidRPr="006B75D8">
        <w:rPr>
          <w:sz w:val="22"/>
          <w:szCs w:val="22"/>
        </w:rPr>
        <w:t xml:space="preserve"> team driving i</w:t>
      </w:r>
      <w:r w:rsidRPr="006B75D8">
        <w:rPr>
          <w:sz w:val="22"/>
          <w:szCs w:val="22"/>
        </w:rPr>
        <w:t xml:space="preserve">mplementation </w:t>
      </w:r>
      <w:r w:rsidR="006769D6" w:rsidRPr="006B75D8">
        <w:rPr>
          <w:sz w:val="22"/>
          <w:szCs w:val="22"/>
        </w:rPr>
        <w:t>and s</w:t>
      </w:r>
      <w:r w:rsidRPr="006B75D8">
        <w:rPr>
          <w:sz w:val="22"/>
          <w:szCs w:val="22"/>
        </w:rPr>
        <w:t>ponsor</w:t>
      </w:r>
      <w:r w:rsidR="006769D6" w:rsidRPr="006B75D8">
        <w:rPr>
          <w:sz w:val="22"/>
          <w:szCs w:val="22"/>
        </w:rPr>
        <w:t xml:space="preserve">ing GIA </w:t>
      </w:r>
      <w:r w:rsidR="00635B63">
        <w:rPr>
          <w:sz w:val="22"/>
          <w:szCs w:val="22"/>
        </w:rPr>
        <w:t>work.</w:t>
      </w:r>
    </w:p>
    <w:p w14:paraId="30AE2253" w14:textId="15EC659C" w:rsidR="00BB10E5" w:rsidRPr="006B75D8" w:rsidRDefault="00741656" w:rsidP="00C034EE">
      <w:pPr>
        <w:pStyle w:val="NormalWeb"/>
        <w:numPr>
          <w:ilvl w:val="0"/>
          <w:numId w:val="19"/>
        </w:numPr>
        <w:shd w:val="clear" w:color="auto" w:fill="FFFFFF"/>
        <w:rPr>
          <w:sz w:val="22"/>
          <w:szCs w:val="22"/>
        </w:rPr>
      </w:pPr>
      <w:r>
        <w:rPr>
          <w:sz w:val="22"/>
          <w:szCs w:val="22"/>
        </w:rPr>
        <w:t>T</w:t>
      </w:r>
      <w:r w:rsidR="006769D6" w:rsidRPr="006B75D8">
        <w:rPr>
          <w:sz w:val="22"/>
          <w:szCs w:val="22"/>
        </w:rPr>
        <w:t xml:space="preserve">ranslated the Commission’s </w:t>
      </w:r>
      <w:r w:rsidR="00BB10E5" w:rsidRPr="006B75D8">
        <w:rPr>
          <w:sz w:val="22"/>
          <w:szCs w:val="22"/>
        </w:rPr>
        <w:t xml:space="preserve">GIA </w:t>
      </w:r>
      <w:r w:rsidR="006769D6" w:rsidRPr="006B75D8">
        <w:rPr>
          <w:sz w:val="22"/>
          <w:szCs w:val="22"/>
        </w:rPr>
        <w:t>g</w:t>
      </w:r>
      <w:r w:rsidR="00BB10E5" w:rsidRPr="006B75D8">
        <w:rPr>
          <w:sz w:val="22"/>
          <w:szCs w:val="22"/>
        </w:rPr>
        <w:t xml:space="preserve">uidance </w:t>
      </w:r>
      <w:r w:rsidR="006769D6" w:rsidRPr="006B75D8">
        <w:rPr>
          <w:sz w:val="22"/>
          <w:szCs w:val="22"/>
        </w:rPr>
        <w:t>to their industry context and</w:t>
      </w:r>
      <w:r w:rsidR="00BB10E5" w:rsidRPr="006B75D8">
        <w:rPr>
          <w:sz w:val="22"/>
          <w:szCs w:val="22"/>
        </w:rPr>
        <w:t xml:space="preserve"> organisational approach</w:t>
      </w:r>
      <w:r w:rsidR="00635B63">
        <w:rPr>
          <w:sz w:val="22"/>
          <w:szCs w:val="22"/>
        </w:rPr>
        <w:t>.</w:t>
      </w:r>
    </w:p>
    <w:p w14:paraId="23679469" w14:textId="53B01328" w:rsidR="00BB10E5" w:rsidRPr="006B75D8" w:rsidRDefault="006769D6" w:rsidP="00C034EE">
      <w:pPr>
        <w:pStyle w:val="NormalWeb"/>
        <w:numPr>
          <w:ilvl w:val="0"/>
          <w:numId w:val="19"/>
        </w:numPr>
        <w:shd w:val="clear" w:color="auto" w:fill="FFFFFF"/>
        <w:rPr>
          <w:sz w:val="22"/>
          <w:szCs w:val="22"/>
        </w:rPr>
      </w:pPr>
      <w:r w:rsidRPr="006B75D8">
        <w:rPr>
          <w:sz w:val="22"/>
          <w:szCs w:val="22"/>
        </w:rPr>
        <w:t xml:space="preserve">Organisational </w:t>
      </w:r>
      <w:r w:rsidR="006E3427" w:rsidRPr="006B75D8">
        <w:rPr>
          <w:sz w:val="22"/>
          <w:szCs w:val="22"/>
        </w:rPr>
        <w:t xml:space="preserve">policies, </w:t>
      </w:r>
      <w:r w:rsidRPr="006B75D8">
        <w:rPr>
          <w:sz w:val="22"/>
          <w:szCs w:val="22"/>
        </w:rPr>
        <w:t>p</w:t>
      </w:r>
      <w:r w:rsidR="00BB10E5" w:rsidRPr="006B75D8">
        <w:rPr>
          <w:sz w:val="22"/>
          <w:szCs w:val="22"/>
        </w:rPr>
        <w:t>rocedure</w:t>
      </w:r>
      <w:r w:rsidRPr="006B75D8">
        <w:rPr>
          <w:sz w:val="22"/>
          <w:szCs w:val="22"/>
        </w:rPr>
        <w:t>s</w:t>
      </w:r>
      <w:r w:rsidR="00635B63">
        <w:rPr>
          <w:sz w:val="22"/>
          <w:szCs w:val="22"/>
        </w:rPr>
        <w:t>,</w:t>
      </w:r>
      <w:r w:rsidR="00867A6C" w:rsidRPr="006B75D8">
        <w:rPr>
          <w:sz w:val="22"/>
          <w:szCs w:val="22"/>
        </w:rPr>
        <w:t xml:space="preserve"> and structure</w:t>
      </w:r>
      <w:r w:rsidR="00741656">
        <w:rPr>
          <w:sz w:val="22"/>
          <w:szCs w:val="22"/>
        </w:rPr>
        <w:t>s</w:t>
      </w:r>
      <w:r w:rsidR="00867A6C" w:rsidRPr="006B75D8">
        <w:rPr>
          <w:sz w:val="22"/>
          <w:szCs w:val="22"/>
        </w:rPr>
        <w:t xml:space="preserve"> that support and embed </w:t>
      </w:r>
      <w:r w:rsidRPr="006B75D8">
        <w:rPr>
          <w:sz w:val="22"/>
          <w:szCs w:val="22"/>
        </w:rPr>
        <w:t xml:space="preserve">the </w:t>
      </w:r>
      <w:r w:rsidR="00BB10E5" w:rsidRPr="006B75D8">
        <w:rPr>
          <w:sz w:val="22"/>
          <w:szCs w:val="22"/>
        </w:rPr>
        <w:t>develop</w:t>
      </w:r>
      <w:r w:rsidRPr="006B75D8">
        <w:rPr>
          <w:sz w:val="22"/>
          <w:szCs w:val="22"/>
        </w:rPr>
        <w:t>ment</w:t>
      </w:r>
      <w:r w:rsidR="00867A6C" w:rsidRPr="006B75D8">
        <w:rPr>
          <w:sz w:val="22"/>
          <w:szCs w:val="22"/>
        </w:rPr>
        <w:t xml:space="preserve">, </w:t>
      </w:r>
      <w:r w:rsidR="00BB10E5" w:rsidRPr="006B75D8">
        <w:rPr>
          <w:sz w:val="22"/>
          <w:szCs w:val="22"/>
        </w:rPr>
        <w:t>implement</w:t>
      </w:r>
      <w:r w:rsidRPr="006B75D8">
        <w:rPr>
          <w:sz w:val="22"/>
          <w:szCs w:val="22"/>
        </w:rPr>
        <w:t>ation</w:t>
      </w:r>
      <w:r w:rsidR="00635B63">
        <w:rPr>
          <w:sz w:val="22"/>
          <w:szCs w:val="22"/>
        </w:rPr>
        <w:t>,</w:t>
      </w:r>
      <w:r w:rsidRPr="006B75D8">
        <w:rPr>
          <w:sz w:val="22"/>
          <w:szCs w:val="22"/>
        </w:rPr>
        <w:t xml:space="preserve"> </w:t>
      </w:r>
      <w:r w:rsidR="00867A6C" w:rsidRPr="006B75D8">
        <w:rPr>
          <w:sz w:val="22"/>
          <w:szCs w:val="22"/>
        </w:rPr>
        <w:t xml:space="preserve">and action of </w:t>
      </w:r>
      <w:r w:rsidRPr="006B75D8">
        <w:rPr>
          <w:sz w:val="22"/>
          <w:szCs w:val="22"/>
        </w:rPr>
        <w:t xml:space="preserve">GIA </w:t>
      </w:r>
      <w:r w:rsidR="00867A6C" w:rsidRPr="006B75D8">
        <w:rPr>
          <w:sz w:val="22"/>
          <w:szCs w:val="22"/>
        </w:rPr>
        <w:t>recommendations</w:t>
      </w:r>
      <w:r w:rsidR="00635B63">
        <w:rPr>
          <w:sz w:val="22"/>
          <w:szCs w:val="22"/>
        </w:rPr>
        <w:t>.</w:t>
      </w:r>
      <w:r w:rsidR="00867A6C" w:rsidRPr="006B75D8">
        <w:rPr>
          <w:sz w:val="22"/>
          <w:szCs w:val="22"/>
        </w:rPr>
        <w:t xml:space="preserve"> </w:t>
      </w:r>
    </w:p>
    <w:p w14:paraId="57B533D8" w14:textId="0D3FE36B" w:rsidR="00BB10E5" w:rsidRPr="006B75D8" w:rsidRDefault="000035F9">
      <w:pPr>
        <w:pStyle w:val="NormalWeb"/>
        <w:numPr>
          <w:ilvl w:val="0"/>
          <w:numId w:val="19"/>
        </w:numPr>
        <w:shd w:val="clear" w:color="auto" w:fill="FFFFFF"/>
        <w:rPr>
          <w:sz w:val="22"/>
          <w:szCs w:val="22"/>
        </w:rPr>
      </w:pPr>
      <w:r w:rsidRPr="006B75D8">
        <w:rPr>
          <w:sz w:val="22"/>
          <w:szCs w:val="22"/>
        </w:rPr>
        <w:lastRenderedPageBreak/>
        <w:t xml:space="preserve">Gender equality expertise that is in-house and that can be drawn on externally. This includes </w:t>
      </w:r>
      <w:r w:rsidR="00BB10E5" w:rsidRPr="006B75D8">
        <w:rPr>
          <w:sz w:val="22"/>
          <w:szCs w:val="22"/>
        </w:rPr>
        <w:t xml:space="preserve">GIA </w:t>
      </w:r>
      <w:r w:rsidR="006E3427" w:rsidRPr="006B75D8">
        <w:rPr>
          <w:sz w:val="22"/>
          <w:szCs w:val="22"/>
        </w:rPr>
        <w:t>l</w:t>
      </w:r>
      <w:r w:rsidR="00BB10E5" w:rsidRPr="006B75D8">
        <w:rPr>
          <w:sz w:val="22"/>
          <w:szCs w:val="22"/>
        </w:rPr>
        <w:t>eads</w:t>
      </w:r>
      <w:r w:rsidR="006E3427" w:rsidRPr="006B75D8">
        <w:rPr>
          <w:sz w:val="22"/>
          <w:szCs w:val="22"/>
        </w:rPr>
        <w:t xml:space="preserve"> and o</w:t>
      </w:r>
      <w:r w:rsidR="00BB10E5" w:rsidRPr="006B75D8">
        <w:rPr>
          <w:sz w:val="22"/>
          <w:szCs w:val="22"/>
        </w:rPr>
        <w:t xml:space="preserve">fficers </w:t>
      </w:r>
      <w:r w:rsidR="006E3427" w:rsidRPr="006B75D8">
        <w:rPr>
          <w:sz w:val="22"/>
          <w:szCs w:val="22"/>
        </w:rPr>
        <w:t xml:space="preserve">who </w:t>
      </w:r>
      <w:r w:rsidR="00BB10E5" w:rsidRPr="006B75D8">
        <w:rPr>
          <w:sz w:val="22"/>
          <w:szCs w:val="22"/>
        </w:rPr>
        <w:t xml:space="preserve">understand emerging </w:t>
      </w:r>
      <w:r w:rsidRPr="006B75D8">
        <w:rPr>
          <w:sz w:val="22"/>
          <w:szCs w:val="22"/>
        </w:rPr>
        <w:t xml:space="preserve">policy, </w:t>
      </w:r>
      <w:r w:rsidR="00BB10E5" w:rsidRPr="006B75D8">
        <w:rPr>
          <w:sz w:val="22"/>
          <w:szCs w:val="22"/>
        </w:rPr>
        <w:t>program</w:t>
      </w:r>
      <w:r w:rsidR="00635B63">
        <w:rPr>
          <w:sz w:val="22"/>
          <w:szCs w:val="22"/>
        </w:rPr>
        <w:t>,</w:t>
      </w:r>
      <w:r w:rsidR="00BB10E5" w:rsidRPr="006B75D8">
        <w:rPr>
          <w:sz w:val="22"/>
          <w:szCs w:val="22"/>
        </w:rPr>
        <w:t xml:space="preserve"> </w:t>
      </w:r>
      <w:r w:rsidRPr="006B75D8">
        <w:rPr>
          <w:sz w:val="22"/>
          <w:szCs w:val="22"/>
        </w:rPr>
        <w:t>and s</w:t>
      </w:r>
      <w:r w:rsidR="00BB10E5" w:rsidRPr="006B75D8">
        <w:rPr>
          <w:sz w:val="22"/>
          <w:szCs w:val="22"/>
        </w:rPr>
        <w:t>ervice planning</w:t>
      </w:r>
      <w:r w:rsidR="00635B63">
        <w:rPr>
          <w:sz w:val="22"/>
          <w:szCs w:val="22"/>
        </w:rPr>
        <w:t>,</w:t>
      </w:r>
      <w:r w:rsidR="00BB10E5" w:rsidRPr="006B75D8">
        <w:rPr>
          <w:sz w:val="22"/>
          <w:szCs w:val="22"/>
        </w:rPr>
        <w:t xml:space="preserve"> </w:t>
      </w:r>
      <w:r w:rsidRPr="006B75D8">
        <w:rPr>
          <w:sz w:val="22"/>
          <w:szCs w:val="22"/>
        </w:rPr>
        <w:t>and its effective integration with the organisation’s s</w:t>
      </w:r>
      <w:r w:rsidR="00BB10E5" w:rsidRPr="006B75D8">
        <w:rPr>
          <w:sz w:val="22"/>
          <w:szCs w:val="22"/>
        </w:rPr>
        <w:t>trategy</w:t>
      </w:r>
      <w:r w:rsidR="00635B63">
        <w:rPr>
          <w:sz w:val="22"/>
          <w:szCs w:val="22"/>
        </w:rPr>
        <w:t>.</w:t>
      </w:r>
    </w:p>
    <w:p w14:paraId="5D92CC0B" w14:textId="27BF88AB" w:rsidR="00BB10E5" w:rsidRPr="006B75D8" w:rsidRDefault="00BB10E5" w:rsidP="00C034EE">
      <w:pPr>
        <w:pStyle w:val="NormalWeb"/>
        <w:numPr>
          <w:ilvl w:val="0"/>
          <w:numId w:val="19"/>
        </w:numPr>
        <w:shd w:val="clear" w:color="auto" w:fill="FFFFFF"/>
        <w:rPr>
          <w:sz w:val="22"/>
          <w:szCs w:val="22"/>
        </w:rPr>
      </w:pPr>
      <w:r w:rsidRPr="006B75D8">
        <w:rPr>
          <w:sz w:val="22"/>
          <w:szCs w:val="22"/>
        </w:rPr>
        <w:t xml:space="preserve">Alignment </w:t>
      </w:r>
      <w:r w:rsidR="005B7587" w:rsidRPr="006B75D8">
        <w:rPr>
          <w:sz w:val="22"/>
          <w:szCs w:val="22"/>
        </w:rPr>
        <w:t xml:space="preserve">of GIA work with </w:t>
      </w:r>
      <w:r w:rsidRPr="006B75D8">
        <w:rPr>
          <w:sz w:val="22"/>
          <w:szCs w:val="22"/>
        </w:rPr>
        <w:t>other legislative, regulatory</w:t>
      </w:r>
      <w:r w:rsidR="00635B63">
        <w:rPr>
          <w:sz w:val="22"/>
          <w:szCs w:val="22"/>
        </w:rPr>
        <w:t>,</w:t>
      </w:r>
      <w:r w:rsidRPr="006B75D8">
        <w:rPr>
          <w:sz w:val="22"/>
          <w:szCs w:val="22"/>
        </w:rPr>
        <w:t xml:space="preserve"> and strategic drivers</w:t>
      </w:r>
      <w:r w:rsidR="005B7587" w:rsidRPr="006B75D8">
        <w:rPr>
          <w:sz w:val="22"/>
          <w:szCs w:val="22"/>
        </w:rPr>
        <w:t xml:space="preserve"> and </w:t>
      </w:r>
      <w:r w:rsidRPr="006B75D8">
        <w:rPr>
          <w:sz w:val="22"/>
          <w:szCs w:val="22"/>
        </w:rPr>
        <w:t>frameworks</w:t>
      </w:r>
      <w:r w:rsidR="00635B63">
        <w:rPr>
          <w:sz w:val="22"/>
          <w:szCs w:val="22"/>
        </w:rPr>
        <w:t>.</w:t>
      </w:r>
      <w:r w:rsidRPr="006B75D8">
        <w:rPr>
          <w:sz w:val="22"/>
          <w:szCs w:val="22"/>
        </w:rPr>
        <w:t xml:space="preserve"> </w:t>
      </w:r>
    </w:p>
    <w:p w14:paraId="26FD6651" w14:textId="714B32B3" w:rsidR="00BB10E5" w:rsidRPr="006B75D8" w:rsidRDefault="00BB10E5" w:rsidP="00C034EE">
      <w:pPr>
        <w:pStyle w:val="NormalWeb"/>
        <w:numPr>
          <w:ilvl w:val="0"/>
          <w:numId w:val="19"/>
        </w:numPr>
        <w:shd w:val="clear" w:color="auto" w:fill="FFFFFF"/>
        <w:rPr>
          <w:sz w:val="22"/>
          <w:szCs w:val="22"/>
        </w:rPr>
      </w:pPr>
      <w:r w:rsidRPr="006B75D8">
        <w:rPr>
          <w:sz w:val="22"/>
          <w:szCs w:val="22"/>
        </w:rPr>
        <w:t>Minimal environmental pressures</w:t>
      </w:r>
      <w:r w:rsidR="00BD2EF9" w:rsidRPr="006B75D8">
        <w:rPr>
          <w:sz w:val="22"/>
          <w:szCs w:val="22"/>
        </w:rPr>
        <w:t xml:space="preserve"> and </w:t>
      </w:r>
      <w:r w:rsidRPr="006B75D8">
        <w:rPr>
          <w:sz w:val="22"/>
          <w:szCs w:val="22"/>
        </w:rPr>
        <w:t xml:space="preserve">strategic risk factors </w:t>
      </w:r>
      <w:r w:rsidR="00BD2EF9" w:rsidRPr="006B75D8">
        <w:rPr>
          <w:sz w:val="22"/>
          <w:szCs w:val="22"/>
        </w:rPr>
        <w:t xml:space="preserve">that </w:t>
      </w:r>
      <w:r w:rsidRPr="006B75D8">
        <w:rPr>
          <w:sz w:val="22"/>
          <w:szCs w:val="22"/>
        </w:rPr>
        <w:t>impact</w:t>
      </w:r>
      <w:r w:rsidR="00BD2EF9" w:rsidRPr="006B75D8">
        <w:rPr>
          <w:sz w:val="22"/>
          <w:szCs w:val="22"/>
        </w:rPr>
        <w:t xml:space="preserve"> the</w:t>
      </w:r>
      <w:r w:rsidRPr="006B75D8">
        <w:rPr>
          <w:sz w:val="22"/>
          <w:szCs w:val="22"/>
        </w:rPr>
        <w:t xml:space="preserve"> entity</w:t>
      </w:r>
      <w:r w:rsidR="00B10A65">
        <w:rPr>
          <w:sz w:val="22"/>
          <w:szCs w:val="22"/>
        </w:rPr>
        <w:t>.</w:t>
      </w:r>
      <w:r w:rsidR="003D03F4" w:rsidRPr="006B75D8">
        <w:rPr>
          <w:sz w:val="22"/>
          <w:szCs w:val="22"/>
        </w:rPr>
        <w:t xml:space="preserve"> </w:t>
      </w:r>
    </w:p>
    <w:p w14:paraId="624AF29D" w14:textId="41561E46" w:rsidR="00BB10E5" w:rsidRPr="006B75D8" w:rsidRDefault="00CC4CF2" w:rsidP="00BB10E5">
      <w:pPr>
        <w:pStyle w:val="NormalWeb"/>
        <w:shd w:val="clear" w:color="auto" w:fill="FFFFFF"/>
        <w:rPr>
          <w:sz w:val="22"/>
          <w:szCs w:val="22"/>
        </w:rPr>
      </w:pPr>
      <w:r w:rsidRPr="006B75D8">
        <w:rPr>
          <w:sz w:val="22"/>
          <w:szCs w:val="22"/>
        </w:rPr>
        <w:t>Defined entities that are successfully delivering GIA</w:t>
      </w:r>
      <w:r w:rsidR="00635B63">
        <w:rPr>
          <w:sz w:val="22"/>
          <w:szCs w:val="22"/>
        </w:rPr>
        <w:t>s</w:t>
      </w:r>
      <w:r w:rsidRPr="006B75D8">
        <w:rPr>
          <w:b/>
          <w:bCs/>
          <w:sz w:val="22"/>
          <w:szCs w:val="22"/>
        </w:rPr>
        <w:t xml:space="preserve"> </w:t>
      </w:r>
      <w:r w:rsidRPr="006B75D8">
        <w:rPr>
          <w:sz w:val="22"/>
          <w:szCs w:val="22"/>
        </w:rPr>
        <w:t>request educational support that is</w:t>
      </w:r>
      <w:r w:rsidR="00BB10E5" w:rsidRPr="006B75D8">
        <w:rPr>
          <w:sz w:val="22"/>
          <w:szCs w:val="22"/>
        </w:rPr>
        <w:t xml:space="preserve"> strategic a</w:t>
      </w:r>
      <w:r w:rsidR="007C35AF" w:rsidRPr="006B75D8">
        <w:rPr>
          <w:sz w:val="22"/>
          <w:szCs w:val="22"/>
        </w:rPr>
        <w:t xml:space="preserve">nd that further builds their </w:t>
      </w:r>
      <w:r w:rsidR="00BB10E5" w:rsidRPr="006B75D8">
        <w:rPr>
          <w:sz w:val="22"/>
          <w:szCs w:val="22"/>
        </w:rPr>
        <w:t>internal skills and capability</w:t>
      </w:r>
      <w:r w:rsidRPr="006B75D8">
        <w:rPr>
          <w:sz w:val="22"/>
          <w:szCs w:val="22"/>
        </w:rPr>
        <w:t>. The</w:t>
      </w:r>
      <w:r w:rsidR="007C35AF" w:rsidRPr="006B75D8">
        <w:rPr>
          <w:sz w:val="22"/>
          <w:szCs w:val="22"/>
        </w:rPr>
        <w:t>se entities</w:t>
      </w:r>
      <w:r w:rsidRPr="006B75D8">
        <w:rPr>
          <w:sz w:val="22"/>
          <w:szCs w:val="22"/>
        </w:rPr>
        <w:t xml:space="preserve"> are requesting</w:t>
      </w:r>
      <w:r w:rsidR="00BB10E5" w:rsidRPr="006B75D8">
        <w:rPr>
          <w:sz w:val="22"/>
          <w:szCs w:val="22"/>
        </w:rPr>
        <w:t xml:space="preserve"> advice and case studies on how </w:t>
      </w:r>
      <w:r w:rsidRPr="006B75D8">
        <w:rPr>
          <w:sz w:val="22"/>
          <w:szCs w:val="22"/>
        </w:rPr>
        <w:t xml:space="preserve">to advance </w:t>
      </w:r>
      <w:r w:rsidR="00BB10E5" w:rsidRPr="006B75D8">
        <w:rPr>
          <w:sz w:val="22"/>
          <w:szCs w:val="22"/>
        </w:rPr>
        <w:t>systems</w:t>
      </w:r>
      <w:r w:rsidRPr="006B75D8">
        <w:rPr>
          <w:sz w:val="22"/>
          <w:szCs w:val="22"/>
        </w:rPr>
        <w:t>,</w:t>
      </w:r>
      <w:r w:rsidR="00BB10E5" w:rsidRPr="006B75D8">
        <w:rPr>
          <w:sz w:val="22"/>
          <w:szCs w:val="22"/>
        </w:rPr>
        <w:t xml:space="preserve"> structures</w:t>
      </w:r>
      <w:r w:rsidR="00635B63">
        <w:rPr>
          <w:sz w:val="22"/>
          <w:szCs w:val="22"/>
        </w:rPr>
        <w:t>,</w:t>
      </w:r>
      <w:r w:rsidR="00BB10E5" w:rsidRPr="006B75D8">
        <w:rPr>
          <w:sz w:val="22"/>
          <w:szCs w:val="22"/>
        </w:rPr>
        <w:t xml:space="preserve"> and leadership</w:t>
      </w:r>
      <w:r w:rsidRPr="006B75D8">
        <w:rPr>
          <w:sz w:val="22"/>
          <w:szCs w:val="22"/>
        </w:rPr>
        <w:t xml:space="preserve"> that promotes GIA</w:t>
      </w:r>
      <w:r w:rsidR="00BB10E5" w:rsidRPr="006B75D8">
        <w:rPr>
          <w:sz w:val="22"/>
          <w:szCs w:val="22"/>
        </w:rPr>
        <w:t xml:space="preserve"> and align</w:t>
      </w:r>
      <w:r w:rsidRPr="006B75D8">
        <w:rPr>
          <w:sz w:val="22"/>
          <w:szCs w:val="22"/>
        </w:rPr>
        <w:t>s with</w:t>
      </w:r>
      <w:r w:rsidR="00BB10E5" w:rsidRPr="006B75D8">
        <w:rPr>
          <w:sz w:val="22"/>
          <w:szCs w:val="22"/>
        </w:rPr>
        <w:t xml:space="preserve"> the external legislative environment. </w:t>
      </w:r>
      <w:r w:rsidR="00741656">
        <w:rPr>
          <w:sz w:val="22"/>
          <w:szCs w:val="22"/>
        </w:rPr>
        <w:t xml:space="preserve">This </w:t>
      </w:r>
      <w:r w:rsidR="00BB10E5" w:rsidRPr="006B75D8">
        <w:rPr>
          <w:sz w:val="22"/>
          <w:szCs w:val="22"/>
        </w:rPr>
        <w:t>consultation</w:t>
      </w:r>
      <w:r w:rsidR="00741656">
        <w:rPr>
          <w:sz w:val="22"/>
          <w:szCs w:val="22"/>
        </w:rPr>
        <w:t xml:space="preserve"> reveals</w:t>
      </w:r>
      <w:r w:rsidR="00BB10E5" w:rsidRPr="006B75D8">
        <w:rPr>
          <w:sz w:val="22"/>
          <w:szCs w:val="22"/>
        </w:rPr>
        <w:t xml:space="preserve"> there </w:t>
      </w:r>
      <w:r w:rsidR="00951C3C" w:rsidRPr="006B75D8">
        <w:rPr>
          <w:sz w:val="22"/>
          <w:szCs w:val="22"/>
        </w:rPr>
        <w:t>were</w:t>
      </w:r>
      <w:r w:rsidR="00BB10E5" w:rsidRPr="006B75D8">
        <w:rPr>
          <w:sz w:val="22"/>
          <w:szCs w:val="22"/>
        </w:rPr>
        <w:t xml:space="preserve"> few entities that are displaying these characteristics.</w:t>
      </w:r>
    </w:p>
    <w:p w14:paraId="704A4BEC" w14:textId="0ADC27E1" w:rsidR="00BB10E5" w:rsidRPr="006B75D8" w:rsidRDefault="00951C3C" w:rsidP="00BB10E5">
      <w:pPr>
        <w:pStyle w:val="NormalWeb"/>
        <w:shd w:val="clear" w:color="auto" w:fill="FFFFFF"/>
        <w:rPr>
          <w:sz w:val="22"/>
          <w:szCs w:val="22"/>
        </w:rPr>
      </w:pPr>
      <w:r w:rsidRPr="006B75D8">
        <w:rPr>
          <w:sz w:val="22"/>
          <w:szCs w:val="22"/>
        </w:rPr>
        <w:t>D</w:t>
      </w:r>
      <w:r w:rsidR="00BB10E5" w:rsidRPr="006B75D8">
        <w:rPr>
          <w:sz w:val="22"/>
          <w:szCs w:val="22"/>
        </w:rPr>
        <w:t xml:space="preserve">efined entities that are struggling to implement GIA </w:t>
      </w:r>
      <w:r w:rsidRPr="006B75D8">
        <w:rPr>
          <w:sz w:val="22"/>
          <w:szCs w:val="22"/>
        </w:rPr>
        <w:t xml:space="preserve">are </w:t>
      </w:r>
      <w:r w:rsidR="00BB10E5" w:rsidRPr="006B75D8">
        <w:rPr>
          <w:sz w:val="22"/>
          <w:szCs w:val="22"/>
        </w:rPr>
        <w:t>characterised as having:</w:t>
      </w:r>
    </w:p>
    <w:p w14:paraId="6D4F833C" w14:textId="1FD44284" w:rsidR="00BB10E5" w:rsidRPr="00951C3C" w:rsidRDefault="00BB10E5" w:rsidP="00C034EE">
      <w:pPr>
        <w:pStyle w:val="ListParagraph"/>
        <w:numPr>
          <w:ilvl w:val="0"/>
          <w:numId w:val="20"/>
        </w:numPr>
        <w:rPr>
          <w:lang w:eastAsia="en-AU"/>
        </w:rPr>
      </w:pPr>
      <w:r w:rsidRPr="00951C3C">
        <w:rPr>
          <w:lang w:eastAsia="en-AU"/>
        </w:rPr>
        <w:t xml:space="preserve">GIA work </w:t>
      </w:r>
      <w:r w:rsidR="002856C1">
        <w:rPr>
          <w:lang w:eastAsia="en-AU"/>
        </w:rPr>
        <w:t>centralised and often</w:t>
      </w:r>
      <w:r w:rsidRPr="00951C3C">
        <w:rPr>
          <w:lang w:eastAsia="en-AU"/>
        </w:rPr>
        <w:t xml:space="preserve"> located in</w:t>
      </w:r>
      <w:r w:rsidR="002856C1">
        <w:rPr>
          <w:lang w:eastAsia="en-AU"/>
        </w:rPr>
        <w:t xml:space="preserve"> their human resource team</w:t>
      </w:r>
      <w:r w:rsidR="00635B63">
        <w:rPr>
          <w:lang w:eastAsia="en-AU"/>
        </w:rPr>
        <w:t>.</w:t>
      </w:r>
    </w:p>
    <w:p w14:paraId="1E6A8138" w14:textId="2D0888B0" w:rsidR="00BB10E5" w:rsidRPr="00951C3C" w:rsidRDefault="00BB10E5" w:rsidP="00C034EE">
      <w:pPr>
        <w:pStyle w:val="ListParagraph"/>
        <w:numPr>
          <w:ilvl w:val="0"/>
          <w:numId w:val="20"/>
        </w:numPr>
        <w:rPr>
          <w:lang w:eastAsia="en-AU"/>
        </w:rPr>
      </w:pPr>
      <w:r w:rsidRPr="00951C3C">
        <w:rPr>
          <w:lang w:eastAsia="en-AU"/>
        </w:rPr>
        <w:t xml:space="preserve">Minimal </w:t>
      </w:r>
      <w:r w:rsidR="002856C1">
        <w:rPr>
          <w:lang w:eastAsia="en-AU"/>
        </w:rPr>
        <w:t>e</w:t>
      </w:r>
      <w:r w:rsidRPr="00951C3C">
        <w:rPr>
          <w:lang w:eastAsia="en-AU"/>
        </w:rPr>
        <w:t xml:space="preserve">xecutive </w:t>
      </w:r>
      <w:r w:rsidR="002856C1">
        <w:rPr>
          <w:lang w:eastAsia="en-AU"/>
        </w:rPr>
        <w:t xml:space="preserve">leadership </w:t>
      </w:r>
      <w:r w:rsidRPr="00951C3C">
        <w:rPr>
          <w:lang w:eastAsia="en-AU"/>
        </w:rPr>
        <w:t>support</w:t>
      </w:r>
      <w:r w:rsidR="002856C1">
        <w:rPr>
          <w:lang w:eastAsia="en-AU"/>
        </w:rPr>
        <w:t>, including leaders who are a</w:t>
      </w:r>
      <w:r w:rsidRPr="00951C3C">
        <w:rPr>
          <w:lang w:eastAsia="en-AU"/>
        </w:rPr>
        <w:t>bsent, low</w:t>
      </w:r>
      <w:r w:rsidR="002856C1">
        <w:rPr>
          <w:lang w:eastAsia="en-AU"/>
        </w:rPr>
        <w:t xml:space="preserve"> levels of</w:t>
      </w:r>
      <w:r w:rsidRPr="00951C3C">
        <w:rPr>
          <w:lang w:eastAsia="en-AU"/>
        </w:rPr>
        <w:t xml:space="preserve"> buy-in and advocacy </w:t>
      </w:r>
      <w:r w:rsidR="00B10A65">
        <w:rPr>
          <w:lang w:eastAsia="en-AU"/>
        </w:rPr>
        <w:t>for</w:t>
      </w:r>
      <w:r w:rsidRPr="00951C3C">
        <w:rPr>
          <w:lang w:eastAsia="en-AU"/>
        </w:rPr>
        <w:t xml:space="preserve"> GIA</w:t>
      </w:r>
      <w:r w:rsidR="00635B63">
        <w:rPr>
          <w:lang w:eastAsia="en-AU"/>
        </w:rPr>
        <w:t>.</w:t>
      </w:r>
      <w:r w:rsidRPr="00951C3C">
        <w:rPr>
          <w:lang w:eastAsia="en-AU"/>
        </w:rPr>
        <w:t xml:space="preserve"> </w:t>
      </w:r>
    </w:p>
    <w:p w14:paraId="76EC14E3" w14:textId="67ED4424" w:rsidR="00BB10E5" w:rsidRPr="00951C3C" w:rsidRDefault="00BB10E5" w:rsidP="00C034EE">
      <w:pPr>
        <w:pStyle w:val="ListParagraph"/>
        <w:numPr>
          <w:ilvl w:val="0"/>
          <w:numId w:val="20"/>
        </w:numPr>
        <w:rPr>
          <w:lang w:eastAsia="en-AU"/>
        </w:rPr>
      </w:pPr>
      <w:r w:rsidRPr="00951C3C">
        <w:rPr>
          <w:lang w:eastAsia="en-AU"/>
        </w:rPr>
        <w:t xml:space="preserve">No access to </w:t>
      </w:r>
      <w:r w:rsidR="002856C1">
        <w:rPr>
          <w:lang w:eastAsia="en-AU"/>
        </w:rPr>
        <w:t>g</w:t>
      </w:r>
      <w:r w:rsidRPr="00951C3C">
        <w:rPr>
          <w:lang w:eastAsia="en-AU"/>
        </w:rPr>
        <w:t xml:space="preserve">ender </w:t>
      </w:r>
      <w:r w:rsidR="002856C1">
        <w:rPr>
          <w:lang w:eastAsia="en-AU"/>
        </w:rPr>
        <w:t>e</w:t>
      </w:r>
      <w:r w:rsidRPr="00951C3C">
        <w:rPr>
          <w:lang w:eastAsia="en-AU"/>
        </w:rPr>
        <w:t xml:space="preserve">quality expertise </w:t>
      </w:r>
      <w:r w:rsidR="002856C1">
        <w:rPr>
          <w:lang w:eastAsia="en-AU"/>
        </w:rPr>
        <w:t xml:space="preserve">internally or externally that includes low gender equality </w:t>
      </w:r>
      <w:r w:rsidRPr="00951C3C">
        <w:rPr>
          <w:lang w:eastAsia="en-AU"/>
        </w:rPr>
        <w:t>capability</w:t>
      </w:r>
      <w:r w:rsidR="002856C1">
        <w:rPr>
          <w:lang w:eastAsia="en-AU"/>
        </w:rPr>
        <w:t>,</w:t>
      </w:r>
      <w:r w:rsidRPr="00951C3C">
        <w:rPr>
          <w:lang w:eastAsia="en-AU"/>
        </w:rPr>
        <w:t xml:space="preserve"> knowledge</w:t>
      </w:r>
      <w:r w:rsidR="00635B63">
        <w:rPr>
          <w:lang w:eastAsia="en-AU"/>
        </w:rPr>
        <w:t>,</w:t>
      </w:r>
      <w:r w:rsidRPr="00951C3C">
        <w:rPr>
          <w:lang w:eastAsia="en-AU"/>
        </w:rPr>
        <w:t xml:space="preserve"> and skills</w:t>
      </w:r>
      <w:r w:rsidR="002856C1">
        <w:rPr>
          <w:lang w:eastAsia="en-AU"/>
        </w:rPr>
        <w:t xml:space="preserve"> among staff and leaders</w:t>
      </w:r>
      <w:r w:rsidR="00635B63">
        <w:rPr>
          <w:lang w:eastAsia="en-AU"/>
        </w:rPr>
        <w:t>.</w:t>
      </w:r>
    </w:p>
    <w:p w14:paraId="59EA369C" w14:textId="145BFADD" w:rsidR="00BB10E5" w:rsidRPr="00951C3C" w:rsidRDefault="002856C1" w:rsidP="00C034EE">
      <w:pPr>
        <w:pStyle w:val="ListParagraph"/>
        <w:numPr>
          <w:ilvl w:val="0"/>
          <w:numId w:val="20"/>
        </w:numPr>
        <w:rPr>
          <w:lang w:eastAsia="en-AU"/>
        </w:rPr>
      </w:pPr>
      <w:r>
        <w:rPr>
          <w:lang w:eastAsia="en-AU"/>
        </w:rPr>
        <w:t>The use of generic r</w:t>
      </w:r>
      <w:r w:rsidR="00BB10E5" w:rsidRPr="00951C3C">
        <w:rPr>
          <w:lang w:eastAsia="en-AU"/>
        </w:rPr>
        <w:t>esources</w:t>
      </w:r>
      <w:r>
        <w:rPr>
          <w:lang w:eastAsia="en-AU"/>
        </w:rPr>
        <w:t xml:space="preserve"> and guidance that are not</w:t>
      </w:r>
      <w:r w:rsidR="00BB10E5" w:rsidRPr="00951C3C">
        <w:rPr>
          <w:lang w:eastAsia="en-AU"/>
        </w:rPr>
        <w:t xml:space="preserve"> </w:t>
      </w:r>
      <w:r w:rsidR="00203571" w:rsidRPr="00951C3C">
        <w:rPr>
          <w:lang w:eastAsia="en-AU"/>
        </w:rPr>
        <w:t>contextualis</w:t>
      </w:r>
      <w:r w:rsidR="00203571">
        <w:rPr>
          <w:lang w:eastAsia="en-AU"/>
        </w:rPr>
        <w:t>ed</w:t>
      </w:r>
      <w:r w:rsidR="00203571" w:rsidRPr="00951C3C">
        <w:rPr>
          <w:lang w:eastAsia="en-AU"/>
        </w:rPr>
        <w:t xml:space="preserve"> </w:t>
      </w:r>
      <w:r w:rsidR="00BB10E5" w:rsidRPr="00951C3C">
        <w:rPr>
          <w:lang w:eastAsia="en-AU"/>
        </w:rPr>
        <w:t>to the sector</w:t>
      </w:r>
      <w:r>
        <w:rPr>
          <w:lang w:eastAsia="en-AU"/>
        </w:rPr>
        <w:t xml:space="preserve"> or </w:t>
      </w:r>
      <w:r w:rsidR="00BB10E5" w:rsidRPr="00951C3C">
        <w:rPr>
          <w:lang w:eastAsia="en-AU"/>
        </w:rPr>
        <w:t>organisation</w:t>
      </w:r>
      <w:r>
        <w:rPr>
          <w:lang w:eastAsia="en-AU"/>
        </w:rPr>
        <w:t>al</w:t>
      </w:r>
      <w:r w:rsidR="00BB10E5" w:rsidRPr="00951C3C">
        <w:rPr>
          <w:lang w:eastAsia="en-AU"/>
        </w:rPr>
        <w:t xml:space="preserve"> context</w:t>
      </w:r>
      <w:r w:rsidR="00635B63">
        <w:rPr>
          <w:lang w:eastAsia="en-AU"/>
        </w:rPr>
        <w:t>.</w:t>
      </w:r>
    </w:p>
    <w:p w14:paraId="093DD91D" w14:textId="27B3A556" w:rsidR="00BB10E5" w:rsidRPr="00951C3C" w:rsidRDefault="00BB10E5" w:rsidP="00C034EE">
      <w:pPr>
        <w:pStyle w:val="ListParagraph"/>
        <w:numPr>
          <w:ilvl w:val="0"/>
          <w:numId w:val="20"/>
        </w:numPr>
        <w:rPr>
          <w:lang w:eastAsia="en-AU"/>
        </w:rPr>
      </w:pPr>
      <w:r w:rsidRPr="00951C3C">
        <w:rPr>
          <w:lang w:eastAsia="en-AU"/>
        </w:rPr>
        <w:t xml:space="preserve">Minimal </w:t>
      </w:r>
      <w:r w:rsidR="0055007A">
        <w:rPr>
          <w:lang w:eastAsia="en-AU"/>
        </w:rPr>
        <w:t>or</w:t>
      </w:r>
      <w:r w:rsidRPr="00951C3C">
        <w:rPr>
          <w:lang w:eastAsia="en-AU"/>
        </w:rPr>
        <w:t xml:space="preserve"> no </w:t>
      </w:r>
      <w:r w:rsidR="002856C1">
        <w:rPr>
          <w:lang w:eastAsia="en-AU"/>
        </w:rPr>
        <w:t xml:space="preserve">staff </w:t>
      </w:r>
      <w:r w:rsidRPr="00951C3C">
        <w:rPr>
          <w:lang w:eastAsia="en-AU"/>
        </w:rPr>
        <w:t>training</w:t>
      </w:r>
      <w:r w:rsidR="002856C1">
        <w:rPr>
          <w:lang w:eastAsia="en-AU"/>
        </w:rPr>
        <w:t xml:space="preserve"> o</w:t>
      </w:r>
      <w:r w:rsidR="0055007A">
        <w:rPr>
          <w:lang w:eastAsia="en-AU"/>
        </w:rPr>
        <w:t>r</w:t>
      </w:r>
      <w:r w:rsidR="002856C1">
        <w:rPr>
          <w:lang w:eastAsia="en-AU"/>
        </w:rPr>
        <w:t xml:space="preserve"> development</w:t>
      </w:r>
      <w:r w:rsidR="00635B63">
        <w:rPr>
          <w:lang w:eastAsia="en-AU"/>
        </w:rPr>
        <w:t>.</w:t>
      </w:r>
    </w:p>
    <w:p w14:paraId="5ADB9826" w14:textId="31DA9ECC" w:rsidR="002856C1" w:rsidRDefault="00BB10E5" w:rsidP="008C10D9">
      <w:pPr>
        <w:pStyle w:val="ListParagraph"/>
        <w:numPr>
          <w:ilvl w:val="0"/>
          <w:numId w:val="20"/>
        </w:numPr>
        <w:rPr>
          <w:lang w:eastAsia="en-AU"/>
        </w:rPr>
      </w:pPr>
      <w:r w:rsidRPr="00951C3C">
        <w:rPr>
          <w:lang w:eastAsia="en-AU"/>
        </w:rPr>
        <w:t>Officers</w:t>
      </w:r>
      <w:r w:rsidR="002856C1">
        <w:rPr>
          <w:lang w:eastAsia="en-AU"/>
        </w:rPr>
        <w:t xml:space="preserve"> and p</w:t>
      </w:r>
      <w:r w:rsidRPr="00951C3C">
        <w:rPr>
          <w:lang w:eastAsia="en-AU"/>
        </w:rPr>
        <w:t xml:space="preserve">roject </w:t>
      </w:r>
      <w:r w:rsidR="002856C1">
        <w:rPr>
          <w:lang w:eastAsia="en-AU"/>
        </w:rPr>
        <w:t>l</w:t>
      </w:r>
      <w:r w:rsidRPr="00951C3C">
        <w:rPr>
          <w:lang w:eastAsia="en-AU"/>
        </w:rPr>
        <w:t>eads</w:t>
      </w:r>
      <w:r w:rsidR="002856C1">
        <w:rPr>
          <w:lang w:eastAsia="en-AU"/>
        </w:rPr>
        <w:t xml:space="preserve"> who</w:t>
      </w:r>
      <w:r w:rsidRPr="00951C3C">
        <w:rPr>
          <w:lang w:eastAsia="en-AU"/>
        </w:rPr>
        <w:t xml:space="preserve"> are isolated from whole</w:t>
      </w:r>
      <w:r w:rsidR="002856C1">
        <w:rPr>
          <w:lang w:eastAsia="en-AU"/>
        </w:rPr>
        <w:t>-</w:t>
      </w:r>
      <w:r w:rsidRPr="00951C3C">
        <w:rPr>
          <w:lang w:eastAsia="en-AU"/>
        </w:rPr>
        <w:t>of</w:t>
      </w:r>
      <w:r w:rsidR="002856C1">
        <w:rPr>
          <w:lang w:eastAsia="en-AU"/>
        </w:rPr>
        <w:t>-</w:t>
      </w:r>
      <w:r w:rsidRPr="00951C3C">
        <w:rPr>
          <w:lang w:eastAsia="en-AU"/>
        </w:rPr>
        <w:t xml:space="preserve">business knowledge </w:t>
      </w:r>
      <w:r w:rsidR="002856C1">
        <w:rPr>
          <w:lang w:eastAsia="en-AU"/>
        </w:rPr>
        <w:t>and therefore</w:t>
      </w:r>
      <w:r w:rsidRPr="00951C3C">
        <w:rPr>
          <w:lang w:eastAsia="en-AU"/>
        </w:rPr>
        <w:t xml:space="preserve"> unaware of </w:t>
      </w:r>
      <w:r w:rsidR="00B10A65">
        <w:rPr>
          <w:lang w:eastAsia="en-AU"/>
        </w:rPr>
        <w:t xml:space="preserve">emerging </w:t>
      </w:r>
      <w:r w:rsidR="002856C1">
        <w:rPr>
          <w:lang w:eastAsia="en-AU"/>
        </w:rPr>
        <w:t xml:space="preserve">GIA </w:t>
      </w:r>
      <w:r w:rsidRPr="00951C3C">
        <w:rPr>
          <w:lang w:eastAsia="en-AU"/>
        </w:rPr>
        <w:t>opportunities</w:t>
      </w:r>
      <w:r w:rsidR="00635B63">
        <w:rPr>
          <w:lang w:eastAsia="en-AU"/>
        </w:rPr>
        <w:t>.</w:t>
      </w:r>
      <w:r w:rsidRPr="00951C3C">
        <w:rPr>
          <w:lang w:eastAsia="en-AU"/>
        </w:rPr>
        <w:t xml:space="preserve"> </w:t>
      </w:r>
    </w:p>
    <w:p w14:paraId="4B2C91DB" w14:textId="2B0AC7AF" w:rsidR="00BB10E5" w:rsidRPr="00951C3C" w:rsidRDefault="00B10A65">
      <w:pPr>
        <w:pStyle w:val="ListParagraph"/>
        <w:numPr>
          <w:ilvl w:val="0"/>
          <w:numId w:val="20"/>
        </w:numPr>
        <w:rPr>
          <w:lang w:eastAsia="en-AU"/>
        </w:rPr>
      </w:pPr>
      <w:r>
        <w:rPr>
          <w:lang w:eastAsia="en-AU"/>
        </w:rPr>
        <w:t>Lack of a</w:t>
      </w:r>
      <w:r w:rsidR="00BB10E5" w:rsidRPr="00951C3C">
        <w:rPr>
          <w:lang w:eastAsia="en-AU"/>
        </w:rPr>
        <w:t>lignment to other legislative and strategic frameworks</w:t>
      </w:r>
      <w:r w:rsidR="00635B63">
        <w:rPr>
          <w:lang w:eastAsia="en-AU"/>
        </w:rPr>
        <w:t>.</w:t>
      </w:r>
      <w:r w:rsidR="00BB10E5" w:rsidRPr="00951C3C">
        <w:rPr>
          <w:lang w:eastAsia="en-AU"/>
        </w:rPr>
        <w:t xml:space="preserve"> </w:t>
      </w:r>
    </w:p>
    <w:p w14:paraId="669E7BF2" w14:textId="579B5AAA" w:rsidR="00B10A65" w:rsidRDefault="00B10A65" w:rsidP="00C034EE">
      <w:pPr>
        <w:pStyle w:val="ListParagraph"/>
        <w:numPr>
          <w:ilvl w:val="0"/>
          <w:numId w:val="20"/>
        </w:numPr>
        <w:rPr>
          <w:lang w:eastAsia="en-AU"/>
        </w:rPr>
      </w:pPr>
      <w:r>
        <w:t xml:space="preserve">Significant </w:t>
      </w:r>
      <w:r w:rsidRPr="004946C0">
        <w:t>environmental pressures and strategic risk factors</w:t>
      </w:r>
      <w:r>
        <w:t xml:space="preserve"> </w:t>
      </w:r>
      <w:r w:rsidRPr="004946C0">
        <w:t xml:space="preserve">(i.e. </w:t>
      </w:r>
      <w:r w:rsidR="001F12DB">
        <w:t xml:space="preserve">the </w:t>
      </w:r>
      <w:r w:rsidRPr="004946C0">
        <w:t>COVID-19</w:t>
      </w:r>
      <w:r w:rsidR="001F12DB">
        <w:t xml:space="preserve"> pandemic</w:t>
      </w:r>
      <w:r w:rsidRPr="004946C0">
        <w:t>, state and local government elections, large organisational restructures)</w:t>
      </w:r>
      <w:r w:rsidR="00635B63">
        <w:t>.</w:t>
      </w:r>
    </w:p>
    <w:p w14:paraId="5CD58199" w14:textId="5001D8A8" w:rsidR="00BB10E5" w:rsidRPr="00951C3C" w:rsidRDefault="00BB10E5" w:rsidP="00C034EE">
      <w:pPr>
        <w:pStyle w:val="ListParagraph"/>
        <w:numPr>
          <w:ilvl w:val="0"/>
          <w:numId w:val="20"/>
        </w:numPr>
        <w:rPr>
          <w:lang w:eastAsia="en-AU"/>
        </w:rPr>
      </w:pPr>
      <w:r w:rsidRPr="00951C3C">
        <w:rPr>
          <w:lang w:eastAsia="en-AU"/>
        </w:rPr>
        <w:t xml:space="preserve">Structural </w:t>
      </w:r>
      <w:r w:rsidR="00B10A65">
        <w:rPr>
          <w:lang w:eastAsia="en-AU"/>
        </w:rPr>
        <w:t>b</w:t>
      </w:r>
      <w:r w:rsidRPr="00951C3C">
        <w:rPr>
          <w:lang w:eastAsia="en-AU"/>
        </w:rPr>
        <w:t xml:space="preserve">arriers </w:t>
      </w:r>
      <w:r w:rsidR="00B10A65">
        <w:rPr>
          <w:lang w:eastAsia="en-AU"/>
        </w:rPr>
        <w:t xml:space="preserve">including </w:t>
      </w:r>
      <w:r w:rsidRPr="00951C3C">
        <w:rPr>
          <w:lang w:eastAsia="en-AU"/>
        </w:rPr>
        <w:t xml:space="preserve">poor </w:t>
      </w:r>
      <w:r w:rsidR="00B10A65">
        <w:rPr>
          <w:lang w:eastAsia="en-AU"/>
        </w:rPr>
        <w:t xml:space="preserve">organisational </w:t>
      </w:r>
      <w:r w:rsidRPr="00951C3C">
        <w:rPr>
          <w:lang w:eastAsia="en-AU"/>
        </w:rPr>
        <w:t>structures t</w:t>
      </w:r>
      <w:r w:rsidR="0055007A">
        <w:rPr>
          <w:lang w:eastAsia="en-AU"/>
        </w:rPr>
        <w:t>hat</w:t>
      </w:r>
      <w:r w:rsidRPr="00951C3C">
        <w:rPr>
          <w:lang w:eastAsia="en-AU"/>
        </w:rPr>
        <w:t xml:space="preserve"> support GIA, lack of management and leadership </w:t>
      </w:r>
      <w:r w:rsidR="00B10A65">
        <w:rPr>
          <w:lang w:eastAsia="en-AU"/>
        </w:rPr>
        <w:t xml:space="preserve">consideration for </w:t>
      </w:r>
      <w:r w:rsidRPr="00951C3C">
        <w:rPr>
          <w:lang w:eastAsia="en-AU"/>
        </w:rPr>
        <w:t xml:space="preserve">how GIAs will </w:t>
      </w:r>
      <w:r w:rsidR="00B10A65">
        <w:rPr>
          <w:lang w:eastAsia="en-AU"/>
        </w:rPr>
        <w:t xml:space="preserve">occur </w:t>
      </w:r>
      <w:r w:rsidRPr="00951C3C">
        <w:rPr>
          <w:lang w:eastAsia="en-AU"/>
        </w:rPr>
        <w:t>across organisational models</w:t>
      </w:r>
      <w:r w:rsidR="00635B63">
        <w:rPr>
          <w:lang w:eastAsia="en-AU"/>
        </w:rPr>
        <w:t>.</w:t>
      </w:r>
    </w:p>
    <w:p w14:paraId="05D9B18A" w14:textId="2B8CCF7F" w:rsidR="00BB10E5" w:rsidRPr="00951C3C" w:rsidRDefault="00BB10E5" w:rsidP="00C034EE">
      <w:pPr>
        <w:pStyle w:val="ListParagraph"/>
        <w:numPr>
          <w:ilvl w:val="0"/>
          <w:numId w:val="20"/>
        </w:numPr>
        <w:rPr>
          <w:lang w:eastAsia="en-AU"/>
        </w:rPr>
      </w:pPr>
      <w:r w:rsidRPr="00951C3C">
        <w:rPr>
          <w:lang w:eastAsia="en-AU"/>
        </w:rPr>
        <w:t xml:space="preserve">Geographic location </w:t>
      </w:r>
      <w:r w:rsidR="00094263">
        <w:rPr>
          <w:lang w:eastAsia="en-AU"/>
        </w:rPr>
        <w:t xml:space="preserve">as an </w:t>
      </w:r>
      <w:r w:rsidRPr="00951C3C">
        <w:rPr>
          <w:lang w:eastAsia="en-AU"/>
        </w:rPr>
        <w:t>additional barrier</w:t>
      </w:r>
      <w:r w:rsidR="00094263">
        <w:rPr>
          <w:lang w:eastAsia="en-AU"/>
        </w:rPr>
        <w:t xml:space="preserve"> for rural and remote organisations.  </w:t>
      </w:r>
    </w:p>
    <w:p w14:paraId="0B7C9E47" w14:textId="0A67E587" w:rsidR="00BB10E5" w:rsidRPr="00951C3C" w:rsidRDefault="001A0CFC" w:rsidP="00BB10E5">
      <w:pPr>
        <w:rPr>
          <w:lang w:eastAsia="en-AU"/>
        </w:rPr>
      </w:pPr>
      <w:r w:rsidRPr="004946C0">
        <w:t>Defined entities that are s</w:t>
      </w:r>
      <w:r>
        <w:t xml:space="preserve">truggling </w:t>
      </w:r>
      <w:r w:rsidR="0055007A">
        <w:t>or yet to commence</w:t>
      </w:r>
      <w:r>
        <w:t xml:space="preserve"> their </w:t>
      </w:r>
      <w:r w:rsidRPr="004946C0">
        <w:t>GIA</w:t>
      </w:r>
      <w:r>
        <w:t xml:space="preserve"> journey</w:t>
      </w:r>
      <w:r w:rsidRPr="004946C0">
        <w:rPr>
          <w:b/>
          <w:bCs/>
        </w:rPr>
        <w:t xml:space="preserve"> </w:t>
      </w:r>
      <w:r w:rsidRPr="004946C0">
        <w:t>request educational support</w:t>
      </w:r>
      <w:r>
        <w:rPr>
          <w:lang w:eastAsia="en-AU"/>
        </w:rPr>
        <w:t xml:space="preserve"> in the form of </w:t>
      </w:r>
      <w:r w:rsidR="00BB10E5" w:rsidRPr="00951C3C">
        <w:rPr>
          <w:lang w:eastAsia="en-AU"/>
        </w:rPr>
        <w:t>training, resources that</w:t>
      </w:r>
      <w:r>
        <w:rPr>
          <w:lang w:eastAsia="en-AU"/>
        </w:rPr>
        <w:t xml:space="preserve"> provide</w:t>
      </w:r>
      <w:r w:rsidR="0055007A">
        <w:rPr>
          <w:lang w:eastAsia="en-AU"/>
        </w:rPr>
        <w:t xml:space="preserve"> </w:t>
      </w:r>
      <w:r>
        <w:rPr>
          <w:lang w:eastAsia="en-AU"/>
        </w:rPr>
        <w:t xml:space="preserve">prescriptive </w:t>
      </w:r>
      <w:r w:rsidR="00BB10E5" w:rsidRPr="00951C3C">
        <w:rPr>
          <w:lang w:eastAsia="en-AU"/>
        </w:rPr>
        <w:t>step</w:t>
      </w:r>
      <w:r>
        <w:rPr>
          <w:lang w:eastAsia="en-AU"/>
        </w:rPr>
        <w:t>-</w:t>
      </w:r>
      <w:r w:rsidR="00BB10E5" w:rsidRPr="00951C3C">
        <w:rPr>
          <w:lang w:eastAsia="en-AU"/>
        </w:rPr>
        <w:t>by</w:t>
      </w:r>
      <w:r>
        <w:rPr>
          <w:lang w:eastAsia="en-AU"/>
        </w:rPr>
        <w:t>-</w:t>
      </w:r>
      <w:r w:rsidR="00BB10E5" w:rsidRPr="00951C3C">
        <w:rPr>
          <w:lang w:eastAsia="en-AU"/>
        </w:rPr>
        <w:t>step procedures o</w:t>
      </w:r>
      <w:r>
        <w:rPr>
          <w:lang w:eastAsia="en-AU"/>
        </w:rPr>
        <w:t>n</w:t>
      </w:r>
      <w:r w:rsidR="00BB10E5" w:rsidRPr="00951C3C">
        <w:rPr>
          <w:lang w:eastAsia="en-AU"/>
        </w:rPr>
        <w:t xml:space="preserve"> how to</w:t>
      </w:r>
      <w:r>
        <w:rPr>
          <w:lang w:eastAsia="en-AU"/>
        </w:rPr>
        <w:t xml:space="preserve"> undertake </w:t>
      </w:r>
      <w:r w:rsidR="00BB10E5" w:rsidRPr="00951C3C">
        <w:rPr>
          <w:lang w:eastAsia="en-AU"/>
        </w:rPr>
        <w:t>a GIA</w:t>
      </w:r>
      <w:r>
        <w:rPr>
          <w:lang w:eastAsia="en-AU"/>
        </w:rPr>
        <w:t>,</w:t>
      </w:r>
      <w:r w:rsidR="00BB10E5" w:rsidRPr="00951C3C">
        <w:rPr>
          <w:lang w:eastAsia="en-AU"/>
        </w:rPr>
        <w:t xml:space="preserve"> a</w:t>
      </w:r>
      <w:r>
        <w:rPr>
          <w:lang w:eastAsia="en-AU"/>
        </w:rPr>
        <w:t>s well as</w:t>
      </w:r>
      <w:r w:rsidR="00BB10E5" w:rsidRPr="00951C3C">
        <w:rPr>
          <w:lang w:eastAsia="en-AU"/>
        </w:rPr>
        <w:t xml:space="preserve"> funding to resource the work. </w:t>
      </w:r>
      <w:r>
        <w:rPr>
          <w:lang w:eastAsia="en-AU"/>
        </w:rPr>
        <w:t>The consultation finding</w:t>
      </w:r>
      <w:r w:rsidR="00203571">
        <w:rPr>
          <w:lang w:eastAsia="en-AU"/>
        </w:rPr>
        <w:t>s</w:t>
      </w:r>
      <w:r>
        <w:rPr>
          <w:lang w:eastAsia="en-AU"/>
        </w:rPr>
        <w:t xml:space="preserve"> suggest </w:t>
      </w:r>
      <w:r w:rsidR="00BB10E5" w:rsidRPr="00951C3C">
        <w:rPr>
          <w:lang w:eastAsia="en-AU"/>
        </w:rPr>
        <w:t>th</w:t>
      </w:r>
      <w:r>
        <w:rPr>
          <w:lang w:eastAsia="en-AU"/>
        </w:rPr>
        <w:t>at these</w:t>
      </w:r>
      <w:r w:rsidR="00BB10E5" w:rsidRPr="00951C3C">
        <w:rPr>
          <w:lang w:eastAsia="en-AU"/>
        </w:rPr>
        <w:t xml:space="preserve"> entities are the majority.</w:t>
      </w:r>
    </w:p>
    <w:p w14:paraId="0CD76990" w14:textId="2CF2C1CC" w:rsidR="00CB06BB" w:rsidRDefault="00CB06BB" w:rsidP="00182D78">
      <w:pPr>
        <w:pStyle w:val="Heading1"/>
      </w:pPr>
      <w:bookmarkStart w:id="23" w:name="_Toc96348289"/>
      <w:r w:rsidRPr="005B535E">
        <w:t xml:space="preserve">Foundations of </w:t>
      </w:r>
      <w:r w:rsidR="00DE557A" w:rsidRPr="005B535E">
        <w:t>r</w:t>
      </w:r>
      <w:r w:rsidRPr="005B535E">
        <w:t>ecommendations</w:t>
      </w:r>
      <w:bookmarkEnd w:id="23"/>
    </w:p>
    <w:p w14:paraId="2ACD9B60" w14:textId="2902DAE1" w:rsidR="00173833" w:rsidRDefault="004F529E" w:rsidP="00EC6F43">
      <w:r w:rsidRPr="006B75D8">
        <w:t xml:space="preserve">There </w:t>
      </w:r>
      <w:r w:rsidR="00624D85">
        <w:t>is</w:t>
      </w:r>
      <w:r w:rsidRPr="006B75D8">
        <w:t xml:space="preserve"> a set of underpinning factors and relationships t</w:t>
      </w:r>
      <w:r w:rsidR="00263BA1">
        <w:t>hat</w:t>
      </w:r>
      <w:r w:rsidRPr="006B75D8">
        <w:t xml:space="preserve"> </w:t>
      </w:r>
      <w:r w:rsidR="009331AF" w:rsidRPr="00263BA1">
        <w:t>identify characteristics of defined entities that are succeeding and struggling</w:t>
      </w:r>
      <w:r w:rsidR="00263BA1">
        <w:t xml:space="preserve"> with GIA</w:t>
      </w:r>
      <w:r w:rsidR="001F12DB">
        <w:t xml:space="preserve"> implementation</w:t>
      </w:r>
      <w:r w:rsidR="006F6D37" w:rsidRPr="00263BA1">
        <w:t>.</w:t>
      </w:r>
      <w:r w:rsidRPr="006B75D8">
        <w:t xml:space="preserve"> </w:t>
      </w:r>
      <w:r w:rsidR="00263BA1">
        <w:t>T</w:t>
      </w:r>
      <w:r w:rsidR="006F6D37" w:rsidRPr="00263BA1">
        <w:t>hese factors need to be considered</w:t>
      </w:r>
      <w:r w:rsidRPr="006B75D8">
        <w:t xml:space="preserve"> as central</w:t>
      </w:r>
      <w:r w:rsidR="00263BA1">
        <w:t xml:space="preserve"> in the design of the</w:t>
      </w:r>
      <w:r w:rsidRPr="006B75D8">
        <w:t xml:space="preserve"> GIA education strategy</w:t>
      </w:r>
      <w:r w:rsidR="00263BA1">
        <w:t xml:space="preserve"> for the public sector</w:t>
      </w:r>
      <w:r w:rsidR="006F6D37" w:rsidRPr="00263BA1">
        <w:t>.</w:t>
      </w:r>
      <w:r w:rsidR="006F6D37">
        <w:t xml:space="preserve"> </w:t>
      </w:r>
    </w:p>
    <w:p w14:paraId="34AAD396" w14:textId="3DC81DB6" w:rsidR="00A07B0B" w:rsidRDefault="00A633FE" w:rsidP="00EC6F43">
      <w:r>
        <w:t xml:space="preserve">The three </w:t>
      </w:r>
      <w:r w:rsidR="00263BA1">
        <w:t xml:space="preserve">interconnected </w:t>
      </w:r>
      <w:r>
        <w:t xml:space="preserve">aspects are </w:t>
      </w:r>
      <w:r w:rsidR="006F6D37">
        <w:t>define</w:t>
      </w:r>
      <w:r w:rsidR="00263BA1">
        <w:t>d</w:t>
      </w:r>
      <w:r w:rsidR="006F6D37">
        <w:t xml:space="preserve"> as:</w:t>
      </w:r>
    </w:p>
    <w:p w14:paraId="75BB1658" w14:textId="4C8EE5B3" w:rsidR="00A90511" w:rsidRDefault="00A90511" w:rsidP="00EC6F43">
      <w:r>
        <w:rPr>
          <w:noProof/>
        </w:rPr>
        <w:lastRenderedPageBreak/>
        <w:drawing>
          <wp:inline distT="0" distB="0" distL="0" distR="0" wp14:anchorId="210ED733" wp14:editId="329A7880">
            <wp:extent cx="5044440" cy="26670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B6EFEF7" w14:textId="5254FF23" w:rsidR="00A90511" w:rsidRDefault="00A90511" w:rsidP="00EC6F43">
      <w:r>
        <w:t xml:space="preserve"> </w:t>
      </w:r>
    </w:p>
    <w:p w14:paraId="0369C299" w14:textId="2FFC1F8D" w:rsidR="000210AA" w:rsidRDefault="000210AA" w:rsidP="00C90801">
      <w:pPr>
        <w:pStyle w:val="Heading2"/>
      </w:pPr>
      <w:bookmarkStart w:id="24" w:name="_Toc96348290"/>
      <w:r>
        <w:t xml:space="preserve">Continuum of </w:t>
      </w:r>
      <w:r w:rsidR="00263BA1">
        <w:t>r</w:t>
      </w:r>
      <w:r>
        <w:t>eadiness for a GIA</w:t>
      </w:r>
      <w:r w:rsidR="008F0700">
        <w:t xml:space="preserve"> and </w:t>
      </w:r>
      <w:r w:rsidR="00263BA1">
        <w:t>t</w:t>
      </w:r>
      <w:r w:rsidR="008F0700">
        <w:t xml:space="preserve">ransformational </w:t>
      </w:r>
      <w:r w:rsidR="00263BA1">
        <w:t>c</w:t>
      </w:r>
      <w:r w:rsidR="008F0700">
        <w:t>hange</w:t>
      </w:r>
      <w:bookmarkEnd w:id="24"/>
    </w:p>
    <w:p w14:paraId="52EDDD00" w14:textId="3CD20F97" w:rsidR="00215331" w:rsidRPr="00F52B3D" w:rsidRDefault="008A7006" w:rsidP="000210AA">
      <w:pPr>
        <w:pStyle w:val="NormalWeb"/>
        <w:shd w:val="clear" w:color="auto" w:fill="FFFFFF"/>
        <w:rPr>
          <w:sz w:val="22"/>
          <w:szCs w:val="22"/>
        </w:rPr>
      </w:pPr>
      <w:r w:rsidRPr="00F52B3D">
        <w:rPr>
          <w:sz w:val="22"/>
          <w:szCs w:val="22"/>
        </w:rPr>
        <w:t>A d</w:t>
      </w:r>
      <w:r w:rsidR="00C525F6" w:rsidRPr="00F52B3D">
        <w:rPr>
          <w:sz w:val="22"/>
          <w:szCs w:val="22"/>
        </w:rPr>
        <w:t>efined entit</w:t>
      </w:r>
      <w:r w:rsidRPr="00F52B3D">
        <w:rPr>
          <w:sz w:val="22"/>
          <w:szCs w:val="22"/>
        </w:rPr>
        <w:t>y’s</w:t>
      </w:r>
      <w:r w:rsidR="00C525F6" w:rsidRPr="00F52B3D">
        <w:rPr>
          <w:sz w:val="22"/>
          <w:szCs w:val="22"/>
        </w:rPr>
        <w:t xml:space="preserve"> </w:t>
      </w:r>
      <w:r w:rsidR="00215331" w:rsidRPr="00F52B3D">
        <w:rPr>
          <w:sz w:val="22"/>
          <w:szCs w:val="22"/>
        </w:rPr>
        <w:t xml:space="preserve">readiness for transformational change can be seen </w:t>
      </w:r>
      <w:r w:rsidR="00C525F6" w:rsidRPr="00F52B3D">
        <w:rPr>
          <w:sz w:val="22"/>
          <w:szCs w:val="22"/>
        </w:rPr>
        <w:t>on</w:t>
      </w:r>
      <w:r w:rsidR="00215331" w:rsidRPr="00F52B3D">
        <w:rPr>
          <w:sz w:val="22"/>
          <w:szCs w:val="22"/>
        </w:rPr>
        <w:t xml:space="preserve"> a continuum of behaviours in relation to </w:t>
      </w:r>
      <w:r w:rsidR="003B0C03" w:rsidRPr="00F52B3D">
        <w:rPr>
          <w:sz w:val="22"/>
          <w:szCs w:val="22"/>
        </w:rPr>
        <w:t xml:space="preserve">GIA. </w:t>
      </w:r>
      <w:r w:rsidR="00C525F6" w:rsidRPr="00F52B3D">
        <w:rPr>
          <w:sz w:val="22"/>
          <w:szCs w:val="22"/>
        </w:rPr>
        <w:t>Consultation f</w:t>
      </w:r>
      <w:r w:rsidR="003B0C03" w:rsidRPr="00F52B3D">
        <w:rPr>
          <w:sz w:val="22"/>
          <w:szCs w:val="22"/>
        </w:rPr>
        <w:t xml:space="preserve">eedback demonstrates that </w:t>
      </w:r>
      <w:r w:rsidR="00F97551" w:rsidRPr="00F52B3D">
        <w:rPr>
          <w:sz w:val="22"/>
          <w:szCs w:val="22"/>
        </w:rPr>
        <w:t xml:space="preserve">greater </w:t>
      </w:r>
      <w:r w:rsidR="00C525F6" w:rsidRPr="00F52B3D">
        <w:rPr>
          <w:sz w:val="22"/>
          <w:szCs w:val="22"/>
        </w:rPr>
        <w:t xml:space="preserve">organisational </w:t>
      </w:r>
      <w:r w:rsidR="003B0C03" w:rsidRPr="00F52B3D">
        <w:rPr>
          <w:sz w:val="22"/>
          <w:szCs w:val="22"/>
        </w:rPr>
        <w:t xml:space="preserve">readiness </w:t>
      </w:r>
      <w:r w:rsidR="00C525F6" w:rsidRPr="00F52B3D">
        <w:rPr>
          <w:sz w:val="22"/>
          <w:szCs w:val="22"/>
        </w:rPr>
        <w:t>broadly translates to</w:t>
      </w:r>
      <w:r w:rsidR="003B0C03" w:rsidRPr="00F52B3D">
        <w:rPr>
          <w:sz w:val="22"/>
          <w:szCs w:val="22"/>
        </w:rPr>
        <w:t xml:space="preserve"> </w:t>
      </w:r>
      <w:r w:rsidR="00F97551" w:rsidRPr="00F52B3D">
        <w:rPr>
          <w:sz w:val="22"/>
          <w:szCs w:val="22"/>
        </w:rPr>
        <w:t xml:space="preserve">greater </w:t>
      </w:r>
      <w:r w:rsidR="003B0C03" w:rsidRPr="00F52B3D">
        <w:rPr>
          <w:sz w:val="22"/>
          <w:szCs w:val="22"/>
        </w:rPr>
        <w:t xml:space="preserve">alignment </w:t>
      </w:r>
      <w:r w:rsidR="00F97551" w:rsidRPr="00F52B3D">
        <w:rPr>
          <w:sz w:val="22"/>
          <w:szCs w:val="22"/>
        </w:rPr>
        <w:t>with</w:t>
      </w:r>
      <w:r w:rsidR="003B0C03" w:rsidRPr="00F52B3D">
        <w:rPr>
          <w:sz w:val="22"/>
          <w:szCs w:val="22"/>
        </w:rPr>
        <w:t xml:space="preserve"> the objectives of the Act.</w:t>
      </w:r>
    </w:p>
    <w:p w14:paraId="42633206" w14:textId="71736F7B" w:rsidR="000210AA" w:rsidRPr="00F52B3D" w:rsidRDefault="000210AA" w:rsidP="1137305B">
      <w:pPr>
        <w:pStyle w:val="NormalWeb"/>
        <w:numPr>
          <w:ilvl w:val="0"/>
          <w:numId w:val="22"/>
        </w:numPr>
        <w:shd w:val="clear" w:color="auto" w:fill="FFFFFF" w:themeFill="background1"/>
        <w:rPr>
          <w:b/>
          <w:bCs/>
          <w:sz w:val="22"/>
          <w:szCs w:val="22"/>
        </w:rPr>
      </w:pPr>
      <w:r w:rsidRPr="00F52B3D">
        <w:rPr>
          <w:b/>
          <w:bCs/>
          <w:sz w:val="22"/>
          <w:szCs w:val="22"/>
        </w:rPr>
        <w:t xml:space="preserve">GIA </w:t>
      </w:r>
      <w:r w:rsidR="00203571">
        <w:rPr>
          <w:b/>
          <w:bCs/>
          <w:sz w:val="22"/>
          <w:szCs w:val="22"/>
        </w:rPr>
        <w:t>is</w:t>
      </w:r>
      <w:r w:rsidR="00203571" w:rsidRPr="00F52B3D">
        <w:rPr>
          <w:b/>
          <w:bCs/>
          <w:sz w:val="22"/>
          <w:szCs w:val="22"/>
        </w:rPr>
        <w:t xml:space="preserve"> </w:t>
      </w:r>
      <w:r w:rsidRPr="00F52B3D">
        <w:rPr>
          <w:b/>
          <w:bCs/>
          <w:sz w:val="22"/>
          <w:szCs w:val="22"/>
        </w:rPr>
        <w:t xml:space="preserve">a prescriptive process for compliance vs GIA </w:t>
      </w:r>
      <w:r w:rsidR="00203571">
        <w:rPr>
          <w:b/>
          <w:bCs/>
          <w:sz w:val="22"/>
          <w:szCs w:val="22"/>
        </w:rPr>
        <w:t>is</w:t>
      </w:r>
      <w:r w:rsidR="00203571" w:rsidRPr="00F52B3D">
        <w:rPr>
          <w:b/>
          <w:bCs/>
          <w:sz w:val="22"/>
          <w:szCs w:val="22"/>
        </w:rPr>
        <w:t xml:space="preserve"> </w:t>
      </w:r>
      <w:r w:rsidRPr="00F52B3D">
        <w:rPr>
          <w:b/>
          <w:bCs/>
          <w:sz w:val="22"/>
          <w:szCs w:val="22"/>
        </w:rPr>
        <w:t>a guiding process to help enable cultural change and continuous improvement</w:t>
      </w:r>
    </w:p>
    <w:p w14:paraId="7282F4BB" w14:textId="2A58D9C2" w:rsidR="000210AA" w:rsidRPr="00F52B3D" w:rsidRDefault="000210AA" w:rsidP="006B75D8">
      <w:pPr>
        <w:pStyle w:val="NormalWeb"/>
        <w:shd w:val="clear" w:color="auto" w:fill="FFFFFF"/>
        <w:rPr>
          <w:sz w:val="22"/>
          <w:szCs w:val="22"/>
        </w:rPr>
      </w:pPr>
      <w:r w:rsidRPr="00F52B3D">
        <w:rPr>
          <w:sz w:val="22"/>
          <w:szCs w:val="22"/>
        </w:rPr>
        <w:t xml:space="preserve">At one end, the prescriptive approach employed by defined entities (as reported by participants) is often described as a </w:t>
      </w:r>
      <w:r w:rsidR="00624D85">
        <w:rPr>
          <w:sz w:val="22"/>
          <w:szCs w:val="22"/>
        </w:rPr>
        <w:t>‘</w:t>
      </w:r>
      <w:r w:rsidRPr="00F52B3D">
        <w:rPr>
          <w:sz w:val="22"/>
          <w:szCs w:val="22"/>
        </w:rPr>
        <w:t>tick and flick</w:t>
      </w:r>
      <w:r w:rsidR="00624D85">
        <w:rPr>
          <w:sz w:val="22"/>
          <w:szCs w:val="22"/>
        </w:rPr>
        <w:t>’</w:t>
      </w:r>
      <w:r w:rsidRPr="00F52B3D">
        <w:rPr>
          <w:sz w:val="22"/>
          <w:szCs w:val="22"/>
        </w:rPr>
        <w:t xml:space="preserve"> activity</w:t>
      </w:r>
      <w:r w:rsidR="00B935E0" w:rsidRPr="00F52B3D">
        <w:rPr>
          <w:sz w:val="22"/>
          <w:szCs w:val="22"/>
        </w:rPr>
        <w:t xml:space="preserve"> to ensure </w:t>
      </w:r>
      <w:r w:rsidRPr="00F52B3D">
        <w:rPr>
          <w:sz w:val="22"/>
          <w:szCs w:val="22"/>
        </w:rPr>
        <w:t>compl</w:t>
      </w:r>
      <w:r w:rsidR="00B935E0" w:rsidRPr="00F52B3D">
        <w:rPr>
          <w:sz w:val="22"/>
          <w:szCs w:val="22"/>
        </w:rPr>
        <w:t xml:space="preserve">iance </w:t>
      </w:r>
      <w:r w:rsidRPr="00F52B3D">
        <w:rPr>
          <w:sz w:val="22"/>
          <w:szCs w:val="22"/>
        </w:rPr>
        <w:t>with the</w:t>
      </w:r>
      <w:r w:rsidR="001F12DB">
        <w:rPr>
          <w:sz w:val="22"/>
          <w:szCs w:val="22"/>
        </w:rPr>
        <w:t xml:space="preserve"> GE</w:t>
      </w:r>
      <w:r w:rsidRPr="00F52B3D">
        <w:rPr>
          <w:sz w:val="22"/>
          <w:szCs w:val="22"/>
        </w:rPr>
        <w:t xml:space="preserve"> Act. GIA</w:t>
      </w:r>
      <w:r w:rsidR="00203571">
        <w:rPr>
          <w:sz w:val="22"/>
          <w:szCs w:val="22"/>
        </w:rPr>
        <w:t>s</w:t>
      </w:r>
      <w:r w:rsidRPr="00F52B3D">
        <w:rPr>
          <w:sz w:val="22"/>
          <w:szCs w:val="22"/>
        </w:rPr>
        <w:t xml:space="preserve"> </w:t>
      </w:r>
      <w:r w:rsidR="001F12DB">
        <w:rPr>
          <w:sz w:val="22"/>
          <w:szCs w:val="22"/>
        </w:rPr>
        <w:t>are</w:t>
      </w:r>
      <w:r w:rsidRPr="00F52B3D">
        <w:rPr>
          <w:sz w:val="22"/>
          <w:szCs w:val="22"/>
        </w:rPr>
        <w:t xml:space="preserve"> undertaken to mitigate risk of no</w:t>
      </w:r>
      <w:r w:rsidR="00B935E0" w:rsidRPr="00F52B3D">
        <w:rPr>
          <w:sz w:val="22"/>
          <w:szCs w:val="22"/>
        </w:rPr>
        <w:t>n-compliance</w:t>
      </w:r>
      <w:r w:rsidRPr="00F52B3D">
        <w:rPr>
          <w:sz w:val="22"/>
          <w:szCs w:val="22"/>
        </w:rPr>
        <w:t xml:space="preserve"> with</w:t>
      </w:r>
      <w:r w:rsidR="00B935E0" w:rsidRPr="00F52B3D">
        <w:rPr>
          <w:sz w:val="22"/>
          <w:szCs w:val="22"/>
        </w:rPr>
        <w:t xml:space="preserve"> the</w:t>
      </w:r>
      <w:r w:rsidRPr="00F52B3D">
        <w:rPr>
          <w:sz w:val="22"/>
          <w:szCs w:val="22"/>
        </w:rPr>
        <w:t xml:space="preserve"> legislation. This </w:t>
      </w:r>
      <w:r w:rsidR="00B935E0" w:rsidRPr="00F52B3D">
        <w:rPr>
          <w:sz w:val="22"/>
          <w:szCs w:val="22"/>
        </w:rPr>
        <w:t xml:space="preserve">approach </w:t>
      </w:r>
      <w:r w:rsidRPr="00F52B3D">
        <w:rPr>
          <w:sz w:val="22"/>
          <w:szCs w:val="22"/>
        </w:rPr>
        <w:t>is not transformative. At the other end of the continuum</w:t>
      </w:r>
      <w:r w:rsidR="00B935E0" w:rsidRPr="00F52B3D">
        <w:rPr>
          <w:sz w:val="22"/>
          <w:szCs w:val="22"/>
        </w:rPr>
        <w:t>,</w:t>
      </w:r>
      <w:r w:rsidRPr="00F52B3D">
        <w:rPr>
          <w:sz w:val="22"/>
          <w:szCs w:val="22"/>
        </w:rPr>
        <w:t xml:space="preserve"> defined entit</w:t>
      </w:r>
      <w:r w:rsidR="00B935E0" w:rsidRPr="00F52B3D">
        <w:rPr>
          <w:sz w:val="22"/>
          <w:szCs w:val="22"/>
        </w:rPr>
        <w:t xml:space="preserve">ies are </w:t>
      </w:r>
      <w:r w:rsidRPr="00F52B3D">
        <w:rPr>
          <w:sz w:val="22"/>
          <w:szCs w:val="22"/>
        </w:rPr>
        <w:t xml:space="preserve">deliberate </w:t>
      </w:r>
      <w:r w:rsidR="00B935E0" w:rsidRPr="00F52B3D">
        <w:rPr>
          <w:sz w:val="22"/>
          <w:szCs w:val="22"/>
        </w:rPr>
        <w:t xml:space="preserve">in applying </w:t>
      </w:r>
      <w:r w:rsidRPr="00F52B3D">
        <w:rPr>
          <w:sz w:val="22"/>
          <w:szCs w:val="22"/>
        </w:rPr>
        <w:t>GIA</w:t>
      </w:r>
      <w:r w:rsidR="00B935E0" w:rsidRPr="00F52B3D">
        <w:rPr>
          <w:sz w:val="22"/>
          <w:szCs w:val="22"/>
        </w:rPr>
        <w:t xml:space="preserve"> </w:t>
      </w:r>
      <w:r w:rsidRPr="00F52B3D">
        <w:rPr>
          <w:sz w:val="22"/>
          <w:szCs w:val="22"/>
        </w:rPr>
        <w:t>as a mechanism to creat</w:t>
      </w:r>
      <w:r w:rsidR="00B935E0" w:rsidRPr="00F52B3D">
        <w:rPr>
          <w:sz w:val="22"/>
          <w:szCs w:val="22"/>
        </w:rPr>
        <w:t>e</w:t>
      </w:r>
      <w:r w:rsidRPr="00F52B3D">
        <w:rPr>
          <w:sz w:val="22"/>
          <w:szCs w:val="22"/>
        </w:rPr>
        <w:t xml:space="preserve"> social and community change</w:t>
      </w:r>
      <w:r w:rsidR="00B935E0" w:rsidRPr="00F52B3D">
        <w:rPr>
          <w:sz w:val="22"/>
          <w:szCs w:val="22"/>
        </w:rPr>
        <w:t xml:space="preserve">. In this approach, </w:t>
      </w:r>
      <w:r w:rsidRPr="00F52B3D">
        <w:rPr>
          <w:sz w:val="22"/>
          <w:szCs w:val="22"/>
        </w:rPr>
        <w:t>GIA</w:t>
      </w:r>
      <w:r w:rsidR="00203571">
        <w:rPr>
          <w:sz w:val="22"/>
          <w:szCs w:val="22"/>
        </w:rPr>
        <w:t>s</w:t>
      </w:r>
      <w:r w:rsidR="00B935E0" w:rsidRPr="00F52B3D">
        <w:rPr>
          <w:sz w:val="22"/>
          <w:szCs w:val="22"/>
        </w:rPr>
        <w:t xml:space="preserve"> </w:t>
      </w:r>
      <w:r w:rsidR="001F12DB">
        <w:rPr>
          <w:sz w:val="22"/>
          <w:szCs w:val="22"/>
        </w:rPr>
        <w:t>are</w:t>
      </w:r>
      <w:r w:rsidR="00B935E0" w:rsidRPr="00F52B3D">
        <w:rPr>
          <w:sz w:val="22"/>
          <w:szCs w:val="22"/>
        </w:rPr>
        <w:t xml:space="preserve"> </w:t>
      </w:r>
      <w:r w:rsidRPr="00F52B3D">
        <w:rPr>
          <w:sz w:val="22"/>
          <w:szCs w:val="22"/>
        </w:rPr>
        <w:t>deliberately undertake</w:t>
      </w:r>
      <w:r w:rsidR="00B935E0" w:rsidRPr="00F52B3D">
        <w:rPr>
          <w:sz w:val="22"/>
          <w:szCs w:val="22"/>
        </w:rPr>
        <w:t>n</w:t>
      </w:r>
      <w:r w:rsidRPr="00F52B3D">
        <w:rPr>
          <w:sz w:val="22"/>
          <w:szCs w:val="22"/>
        </w:rPr>
        <w:t xml:space="preserve"> to identify and </w:t>
      </w:r>
      <w:r w:rsidR="00B935E0" w:rsidRPr="00F52B3D">
        <w:rPr>
          <w:sz w:val="22"/>
          <w:szCs w:val="22"/>
        </w:rPr>
        <w:t>re</w:t>
      </w:r>
      <w:r w:rsidRPr="00F52B3D">
        <w:rPr>
          <w:sz w:val="22"/>
          <w:szCs w:val="22"/>
        </w:rPr>
        <w:t>dress intersectional gender inequality within the organisation that has led to the design of inequitable polic</w:t>
      </w:r>
      <w:r w:rsidR="00203571">
        <w:rPr>
          <w:sz w:val="22"/>
          <w:szCs w:val="22"/>
        </w:rPr>
        <w:t>ies</w:t>
      </w:r>
      <w:r w:rsidR="00B935E0" w:rsidRPr="00F52B3D">
        <w:rPr>
          <w:sz w:val="22"/>
          <w:szCs w:val="22"/>
        </w:rPr>
        <w:t>,</w:t>
      </w:r>
      <w:r w:rsidRPr="00F52B3D">
        <w:rPr>
          <w:sz w:val="22"/>
          <w:szCs w:val="22"/>
        </w:rPr>
        <w:t xml:space="preserve"> program</w:t>
      </w:r>
      <w:r w:rsidR="00B935E0" w:rsidRPr="00F52B3D">
        <w:rPr>
          <w:sz w:val="22"/>
          <w:szCs w:val="22"/>
        </w:rPr>
        <w:t>s</w:t>
      </w:r>
      <w:r w:rsidR="00624D85">
        <w:rPr>
          <w:sz w:val="22"/>
          <w:szCs w:val="22"/>
        </w:rPr>
        <w:t>,</w:t>
      </w:r>
      <w:r w:rsidRPr="00F52B3D">
        <w:rPr>
          <w:sz w:val="22"/>
          <w:szCs w:val="22"/>
        </w:rPr>
        <w:t xml:space="preserve"> and services. </w:t>
      </w:r>
    </w:p>
    <w:p w14:paraId="24F3A0FF" w14:textId="46DB50D1" w:rsidR="000210AA" w:rsidRPr="00F52B3D" w:rsidRDefault="000210AA" w:rsidP="00C034EE">
      <w:pPr>
        <w:pStyle w:val="NormalWeb"/>
        <w:numPr>
          <w:ilvl w:val="0"/>
          <w:numId w:val="22"/>
        </w:numPr>
        <w:shd w:val="clear" w:color="auto" w:fill="FFFFFF"/>
        <w:rPr>
          <w:b/>
          <w:bCs/>
          <w:sz w:val="22"/>
          <w:szCs w:val="22"/>
        </w:rPr>
      </w:pPr>
      <w:r w:rsidRPr="00F52B3D">
        <w:rPr>
          <w:b/>
          <w:bCs/>
          <w:sz w:val="22"/>
          <w:szCs w:val="22"/>
        </w:rPr>
        <w:t xml:space="preserve">Implementation is driven by </w:t>
      </w:r>
      <w:r w:rsidR="006E4926" w:rsidRPr="00F52B3D">
        <w:rPr>
          <w:b/>
          <w:bCs/>
          <w:sz w:val="22"/>
          <w:szCs w:val="22"/>
        </w:rPr>
        <w:t xml:space="preserve">frontline </w:t>
      </w:r>
      <w:r w:rsidRPr="00F52B3D">
        <w:rPr>
          <w:b/>
          <w:bCs/>
          <w:sz w:val="22"/>
          <w:szCs w:val="22"/>
        </w:rPr>
        <w:t xml:space="preserve">project leads vs GIA </w:t>
      </w:r>
      <w:r w:rsidR="00203571">
        <w:rPr>
          <w:b/>
          <w:bCs/>
          <w:sz w:val="22"/>
          <w:szCs w:val="22"/>
        </w:rPr>
        <w:t>is</w:t>
      </w:r>
      <w:r w:rsidR="00203571" w:rsidRPr="00F52B3D">
        <w:rPr>
          <w:b/>
          <w:bCs/>
          <w:sz w:val="22"/>
          <w:szCs w:val="22"/>
        </w:rPr>
        <w:t xml:space="preserve"> </w:t>
      </w:r>
      <w:r w:rsidRPr="00F52B3D">
        <w:rPr>
          <w:b/>
          <w:bCs/>
          <w:sz w:val="22"/>
          <w:szCs w:val="22"/>
        </w:rPr>
        <w:t>owned across the organisation</w:t>
      </w:r>
    </w:p>
    <w:p w14:paraId="3174223E" w14:textId="6D93AEF8" w:rsidR="000210AA" w:rsidRPr="00F52B3D" w:rsidRDefault="000210AA" w:rsidP="006B75D8">
      <w:pPr>
        <w:pStyle w:val="NormalWeb"/>
        <w:shd w:val="clear" w:color="auto" w:fill="FFFFFF" w:themeFill="background1"/>
        <w:rPr>
          <w:sz w:val="22"/>
          <w:szCs w:val="22"/>
        </w:rPr>
      </w:pPr>
      <w:r w:rsidRPr="00F52B3D">
        <w:rPr>
          <w:sz w:val="22"/>
          <w:szCs w:val="22"/>
        </w:rPr>
        <w:t>At one end of the continuum</w:t>
      </w:r>
      <w:r w:rsidR="006E4926" w:rsidRPr="00F52B3D">
        <w:rPr>
          <w:sz w:val="22"/>
          <w:szCs w:val="22"/>
        </w:rPr>
        <w:t xml:space="preserve"> </w:t>
      </w:r>
      <w:r w:rsidRPr="00F52B3D">
        <w:rPr>
          <w:sz w:val="22"/>
          <w:szCs w:val="22"/>
        </w:rPr>
        <w:t xml:space="preserve">are practices whereby the </w:t>
      </w:r>
      <w:r w:rsidR="006E4926" w:rsidRPr="00F52B3D">
        <w:rPr>
          <w:sz w:val="22"/>
          <w:szCs w:val="22"/>
        </w:rPr>
        <w:t xml:space="preserve">GIA </w:t>
      </w:r>
      <w:r w:rsidRPr="00F52B3D">
        <w:rPr>
          <w:sz w:val="22"/>
          <w:szCs w:val="22"/>
        </w:rPr>
        <w:t xml:space="preserve">implementation is seen as the responsibility of an individual frontline </w:t>
      </w:r>
      <w:r w:rsidR="006E4926" w:rsidRPr="00F52B3D">
        <w:rPr>
          <w:sz w:val="22"/>
          <w:szCs w:val="22"/>
        </w:rPr>
        <w:t>practitioner</w:t>
      </w:r>
      <w:r w:rsidRPr="00F52B3D">
        <w:rPr>
          <w:sz w:val="22"/>
          <w:szCs w:val="22"/>
        </w:rPr>
        <w:t xml:space="preserve">. The approach often </w:t>
      </w:r>
      <w:r w:rsidR="006E4926" w:rsidRPr="00F52B3D">
        <w:rPr>
          <w:sz w:val="22"/>
          <w:szCs w:val="22"/>
        </w:rPr>
        <w:t xml:space="preserve">sees </w:t>
      </w:r>
      <w:r w:rsidRPr="00F52B3D">
        <w:rPr>
          <w:sz w:val="22"/>
          <w:szCs w:val="22"/>
        </w:rPr>
        <w:t>GIA</w:t>
      </w:r>
      <w:r w:rsidR="00624D85">
        <w:rPr>
          <w:sz w:val="22"/>
          <w:szCs w:val="22"/>
        </w:rPr>
        <w:t>s</w:t>
      </w:r>
      <w:r w:rsidRPr="00F52B3D">
        <w:rPr>
          <w:sz w:val="22"/>
          <w:szCs w:val="22"/>
        </w:rPr>
        <w:t xml:space="preserve"> driven by a frontline officer who does not have the delegation or role jurisdiction to mandate significant procedural change for organisation</w:t>
      </w:r>
      <w:r w:rsidR="00203571">
        <w:rPr>
          <w:sz w:val="22"/>
          <w:szCs w:val="22"/>
        </w:rPr>
        <w:t>-</w:t>
      </w:r>
      <w:r w:rsidRPr="00F52B3D">
        <w:rPr>
          <w:sz w:val="22"/>
          <w:szCs w:val="22"/>
        </w:rPr>
        <w:t>wide GIA activity</w:t>
      </w:r>
      <w:r w:rsidR="006E4926" w:rsidRPr="00F52B3D">
        <w:rPr>
          <w:sz w:val="22"/>
          <w:szCs w:val="22"/>
        </w:rPr>
        <w:t>.</w:t>
      </w:r>
      <w:r w:rsidRPr="00F52B3D">
        <w:rPr>
          <w:sz w:val="22"/>
          <w:szCs w:val="22"/>
        </w:rPr>
        <w:t xml:space="preserve"> </w:t>
      </w:r>
      <w:r w:rsidR="006E4926" w:rsidRPr="00F52B3D">
        <w:rPr>
          <w:sz w:val="22"/>
          <w:szCs w:val="22"/>
        </w:rPr>
        <w:t>N</w:t>
      </w:r>
      <w:r w:rsidRPr="00F52B3D">
        <w:rPr>
          <w:sz w:val="22"/>
          <w:szCs w:val="22"/>
        </w:rPr>
        <w:t xml:space="preserve">or </w:t>
      </w:r>
      <w:r w:rsidR="006E4926" w:rsidRPr="00F52B3D">
        <w:rPr>
          <w:sz w:val="22"/>
          <w:szCs w:val="22"/>
        </w:rPr>
        <w:t xml:space="preserve">does this worker have </w:t>
      </w:r>
      <w:r w:rsidRPr="00F52B3D">
        <w:rPr>
          <w:sz w:val="22"/>
          <w:szCs w:val="22"/>
        </w:rPr>
        <w:t xml:space="preserve">the authority to implement </w:t>
      </w:r>
      <w:r w:rsidR="006E4926" w:rsidRPr="00F52B3D">
        <w:rPr>
          <w:sz w:val="22"/>
          <w:szCs w:val="22"/>
        </w:rPr>
        <w:t>or influence the outcomes of GIA</w:t>
      </w:r>
      <w:r w:rsidR="00624D85">
        <w:rPr>
          <w:sz w:val="22"/>
          <w:szCs w:val="22"/>
        </w:rPr>
        <w:t>s</w:t>
      </w:r>
      <w:r w:rsidR="006E4926" w:rsidRPr="00F52B3D">
        <w:rPr>
          <w:sz w:val="22"/>
          <w:szCs w:val="22"/>
        </w:rPr>
        <w:t xml:space="preserve"> </w:t>
      </w:r>
      <w:r w:rsidRPr="00F52B3D">
        <w:rPr>
          <w:sz w:val="22"/>
          <w:szCs w:val="22"/>
        </w:rPr>
        <w:t>within</w:t>
      </w:r>
      <w:r w:rsidR="006E4926" w:rsidRPr="00F52B3D">
        <w:rPr>
          <w:sz w:val="22"/>
          <w:szCs w:val="22"/>
        </w:rPr>
        <w:t xml:space="preserve"> and </w:t>
      </w:r>
      <w:r w:rsidRPr="00F52B3D">
        <w:rPr>
          <w:sz w:val="22"/>
          <w:szCs w:val="22"/>
        </w:rPr>
        <w:t xml:space="preserve">across the organisation. At the other end, the </w:t>
      </w:r>
      <w:r w:rsidR="006E4926" w:rsidRPr="00F52B3D">
        <w:rPr>
          <w:sz w:val="22"/>
          <w:szCs w:val="22"/>
        </w:rPr>
        <w:t xml:space="preserve">GIA </w:t>
      </w:r>
      <w:r w:rsidRPr="00F52B3D">
        <w:rPr>
          <w:sz w:val="22"/>
          <w:szCs w:val="22"/>
        </w:rPr>
        <w:t>process is embedded through systemic and structural organisational procedures and policies and there is a distributed ownership of GIA implementation.</w:t>
      </w:r>
    </w:p>
    <w:p w14:paraId="4F526290" w14:textId="6646F9E9" w:rsidR="000210AA" w:rsidRPr="00F52B3D" w:rsidRDefault="000210AA" w:rsidP="00C034EE">
      <w:pPr>
        <w:pStyle w:val="NormalWeb"/>
        <w:numPr>
          <w:ilvl w:val="0"/>
          <w:numId w:val="22"/>
        </w:numPr>
        <w:shd w:val="clear" w:color="auto" w:fill="FFFFFF"/>
        <w:rPr>
          <w:b/>
          <w:bCs/>
          <w:sz w:val="22"/>
          <w:szCs w:val="22"/>
        </w:rPr>
      </w:pPr>
      <w:r w:rsidRPr="00F52B3D">
        <w:rPr>
          <w:b/>
          <w:bCs/>
          <w:sz w:val="22"/>
          <w:szCs w:val="22"/>
        </w:rPr>
        <w:t>The defined entity is fearful of gender equity work v</w:t>
      </w:r>
      <w:r w:rsidR="000A0B5C" w:rsidRPr="00F52B3D">
        <w:rPr>
          <w:b/>
          <w:bCs/>
          <w:sz w:val="22"/>
          <w:szCs w:val="22"/>
        </w:rPr>
        <w:t>s there is a</w:t>
      </w:r>
      <w:r w:rsidRPr="00F52B3D">
        <w:rPr>
          <w:b/>
          <w:bCs/>
          <w:sz w:val="22"/>
          <w:szCs w:val="22"/>
        </w:rPr>
        <w:t xml:space="preserve"> positive view of gender equ</w:t>
      </w:r>
      <w:r w:rsidR="000A0B5C" w:rsidRPr="00F52B3D">
        <w:rPr>
          <w:b/>
          <w:bCs/>
          <w:sz w:val="22"/>
          <w:szCs w:val="22"/>
        </w:rPr>
        <w:t>ality</w:t>
      </w:r>
      <w:r w:rsidRPr="00F52B3D">
        <w:rPr>
          <w:b/>
          <w:bCs/>
          <w:sz w:val="22"/>
          <w:szCs w:val="22"/>
        </w:rPr>
        <w:t xml:space="preserve"> reform</w:t>
      </w:r>
    </w:p>
    <w:p w14:paraId="269C1770" w14:textId="2FB3092C" w:rsidR="000210AA" w:rsidRPr="00F52B3D" w:rsidRDefault="000210AA" w:rsidP="006B75D8">
      <w:pPr>
        <w:pStyle w:val="NormalWeb"/>
        <w:shd w:val="clear" w:color="auto" w:fill="FFFFFF" w:themeFill="background1"/>
        <w:rPr>
          <w:sz w:val="22"/>
          <w:szCs w:val="22"/>
        </w:rPr>
      </w:pPr>
      <w:r w:rsidRPr="00F52B3D">
        <w:rPr>
          <w:sz w:val="22"/>
          <w:szCs w:val="22"/>
        </w:rPr>
        <w:lastRenderedPageBreak/>
        <w:t xml:space="preserve">At the </w:t>
      </w:r>
      <w:r w:rsidR="00624D85">
        <w:rPr>
          <w:sz w:val="22"/>
          <w:szCs w:val="22"/>
        </w:rPr>
        <w:t>‘</w:t>
      </w:r>
      <w:r w:rsidRPr="00F52B3D">
        <w:rPr>
          <w:sz w:val="22"/>
          <w:szCs w:val="22"/>
        </w:rPr>
        <w:t>transformational gender equality</w:t>
      </w:r>
      <w:r w:rsidR="00624D85">
        <w:rPr>
          <w:sz w:val="22"/>
          <w:szCs w:val="22"/>
        </w:rPr>
        <w:t>’</w:t>
      </w:r>
      <w:r w:rsidRPr="00F52B3D">
        <w:rPr>
          <w:sz w:val="22"/>
          <w:szCs w:val="22"/>
        </w:rPr>
        <w:t xml:space="preserve"> end of the</w:t>
      </w:r>
      <w:r w:rsidR="000A0B5C" w:rsidRPr="00F52B3D">
        <w:rPr>
          <w:sz w:val="22"/>
          <w:szCs w:val="22"/>
        </w:rPr>
        <w:t xml:space="preserve"> continuum</w:t>
      </w:r>
      <w:r w:rsidRPr="00F52B3D">
        <w:rPr>
          <w:sz w:val="22"/>
          <w:szCs w:val="22"/>
        </w:rPr>
        <w:t>, GIA</w:t>
      </w:r>
      <w:r w:rsidR="00624D85">
        <w:rPr>
          <w:sz w:val="22"/>
          <w:szCs w:val="22"/>
        </w:rPr>
        <w:t>s</w:t>
      </w:r>
      <w:r w:rsidRPr="00F52B3D">
        <w:rPr>
          <w:sz w:val="22"/>
          <w:szCs w:val="22"/>
        </w:rPr>
        <w:t xml:space="preserve"> are implemented in a context </w:t>
      </w:r>
      <w:r w:rsidR="001E76EB" w:rsidRPr="00F52B3D">
        <w:rPr>
          <w:sz w:val="22"/>
          <w:szCs w:val="22"/>
        </w:rPr>
        <w:t>whereby</w:t>
      </w:r>
      <w:r w:rsidRPr="00F52B3D">
        <w:rPr>
          <w:sz w:val="22"/>
          <w:szCs w:val="22"/>
        </w:rPr>
        <w:t xml:space="preserve"> intersectional gender equality is viewed by leadership and the organisation as an enabler to be</w:t>
      </w:r>
      <w:r w:rsidR="000A0B5C" w:rsidRPr="00F52B3D">
        <w:rPr>
          <w:sz w:val="22"/>
          <w:szCs w:val="22"/>
        </w:rPr>
        <w:t>com</w:t>
      </w:r>
      <w:r w:rsidR="001E76EB" w:rsidRPr="00F52B3D">
        <w:rPr>
          <w:sz w:val="22"/>
          <w:szCs w:val="22"/>
        </w:rPr>
        <w:t>ing</w:t>
      </w:r>
      <w:r w:rsidRPr="00F52B3D">
        <w:rPr>
          <w:sz w:val="22"/>
          <w:szCs w:val="22"/>
        </w:rPr>
        <w:t xml:space="preserve"> a better provider of public services and to ensure that the organisation align</w:t>
      </w:r>
      <w:r w:rsidR="000A0B5C" w:rsidRPr="00F52B3D">
        <w:rPr>
          <w:sz w:val="22"/>
          <w:szCs w:val="22"/>
        </w:rPr>
        <w:t>s it</w:t>
      </w:r>
      <w:r w:rsidRPr="00F52B3D">
        <w:rPr>
          <w:sz w:val="22"/>
          <w:szCs w:val="22"/>
        </w:rPr>
        <w:t xml:space="preserve"> resources with public need. At the other end of the </w:t>
      </w:r>
      <w:r w:rsidR="000A0B5C" w:rsidRPr="00F52B3D">
        <w:rPr>
          <w:sz w:val="22"/>
          <w:szCs w:val="22"/>
        </w:rPr>
        <w:t>continuum</w:t>
      </w:r>
      <w:r w:rsidRPr="00F52B3D">
        <w:rPr>
          <w:sz w:val="22"/>
          <w:szCs w:val="22"/>
        </w:rPr>
        <w:t>, organisations have no or limited language around gender or intersectionality</w:t>
      </w:r>
      <w:r w:rsidR="000A0B5C" w:rsidRPr="00F52B3D">
        <w:rPr>
          <w:sz w:val="22"/>
          <w:szCs w:val="22"/>
        </w:rPr>
        <w:t>. T</w:t>
      </w:r>
      <w:r w:rsidRPr="00F52B3D">
        <w:rPr>
          <w:sz w:val="22"/>
          <w:szCs w:val="22"/>
        </w:rPr>
        <w:t>here is a concern about gender equality work</w:t>
      </w:r>
      <w:r w:rsidR="001E76EB" w:rsidRPr="00F52B3D">
        <w:rPr>
          <w:sz w:val="22"/>
          <w:szCs w:val="22"/>
        </w:rPr>
        <w:t xml:space="preserve"> that </w:t>
      </w:r>
      <w:r w:rsidR="000A0B5C" w:rsidRPr="00F52B3D">
        <w:rPr>
          <w:sz w:val="22"/>
          <w:szCs w:val="22"/>
        </w:rPr>
        <w:t>is</w:t>
      </w:r>
      <w:r w:rsidRPr="00F52B3D">
        <w:rPr>
          <w:sz w:val="22"/>
          <w:szCs w:val="22"/>
        </w:rPr>
        <w:t xml:space="preserve"> driven by a lack of understanding about its benefits. Gender </w:t>
      </w:r>
      <w:r w:rsidR="000A0B5C" w:rsidRPr="00F52B3D">
        <w:rPr>
          <w:sz w:val="22"/>
          <w:szCs w:val="22"/>
        </w:rPr>
        <w:t>e</w:t>
      </w:r>
      <w:r w:rsidRPr="00F52B3D">
        <w:rPr>
          <w:sz w:val="22"/>
          <w:szCs w:val="22"/>
        </w:rPr>
        <w:t>quality work is seen as a specialised skill</w:t>
      </w:r>
      <w:r w:rsidR="000A0B5C" w:rsidRPr="00F52B3D">
        <w:rPr>
          <w:sz w:val="22"/>
          <w:szCs w:val="22"/>
        </w:rPr>
        <w:t xml:space="preserve"> set</w:t>
      </w:r>
      <w:r w:rsidRPr="00F52B3D">
        <w:rPr>
          <w:sz w:val="22"/>
          <w:szCs w:val="22"/>
        </w:rPr>
        <w:t xml:space="preserve"> that is limited in its distribution across the organisation</w:t>
      </w:r>
      <w:r w:rsidR="000A0B5C" w:rsidRPr="00F52B3D">
        <w:rPr>
          <w:sz w:val="22"/>
          <w:szCs w:val="22"/>
        </w:rPr>
        <w:t>. I</w:t>
      </w:r>
      <w:r w:rsidRPr="00F52B3D">
        <w:rPr>
          <w:sz w:val="22"/>
          <w:szCs w:val="22"/>
        </w:rPr>
        <w:t xml:space="preserve">n extreme cases, gender equality is </w:t>
      </w:r>
      <w:r w:rsidR="000A0B5C" w:rsidRPr="00F52B3D">
        <w:rPr>
          <w:sz w:val="22"/>
          <w:szCs w:val="22"/>
        </w:rPr>
        <w:t>seen as</w:t>
      </w:r>
      <w:r w:rsidRPr="00F52B3D">
        <w:rPr>
          <w:sz w:val="22"/>
          <w:szCs w:val="22"/>
        </w:rPr>
        <w:t xml:space="preserve"> punitive and about controlling behaviour</w:t>
      </w:r>
      <w:r w:rsidR="000A0B5C" w:rsidRPr="00F52B3D">
        <w:rPr>
          <w:sz w:val="22"/>
          <w:szCs w:val="22"/>
        </w:rPr>
        <w:t>,</w:t>
      </w:r>
      <w:r w:rsidRPr="00F52B3D">
        <w:rPr>
          <w:sz w:val="22"/>
          <w:szCs w:val="22"/>
        </w:rPr>
        <w:t xml:space="preserve"> rather than enabling</w:t>
      </w:r>
      <w:r w:rsidR="000A0B5C" w:rsidRPr="00F52B3D">
        <w:rPr>
          <w:sz w:val="22"/>
          <w:szCs w:val="22"/>
        </w:rPr>
        <w:t xml:space="preserve"> and </w:t>
      </w:r>
      <w:r w:rsidRPr="00F52B3D">
        <w:rPr>
          <w:sz w:val="22"/>
          <w:szCs w:val="22"/>
        </w:rPr>
        <w:t xml:space="preserve">empowering. </w:t>
      </w:r>
    </w:p>
    <w:p w14:paraId="4D3BF775" w14:textId="52A44AFB" w:rsidR="000210AA" w:rsidRPr="00F52B3D" w:rsidRDefault="000210AA" w:rsidP="00C034EE">
      <w:pPr>
        <w:pStyle w:val="NormalWeb"/>
        <w:numPr>
          <w:ilvl w:val="0"/>
          <w:numId w:val="22"/>
        </w:numPr>
        <w:shd w:val="clear" w:color="auto" w:fill="FFFFFF"/>
        <w:rPr>
          <w:b/>
          <w:bCs/>
          <w:sz w:val="22"/>
          <w:szCs w:val="22"/>
        </w:rPr>
      </w:pPr>
      <w:r w:rsidRPr="00F52B3D">
        <w:rPr>
          <w:b/>
          <w:bCs/>
          <w:sz w:val="22"/>
          <w:szCs w:val="22"/>
        </w:rPr>
        <w:t xml:space="preserve">GIA </w:t>
      </w:r>
      <w:r w:rsidR="001F12DB">
        <w:rPr>
          <w:b/>
          <w:bCs/>
          <w:sz w:val="22"/>
          <w:szCs w:val="22"/>
        </w:rPr>
        <w:t xml:space="preserve">implementation </w:t>
      </w:r>
      <w:r w:rsidRPr="00F52B3D">
        <w:rPr>
          <w:b/>
          <w:bCs/>
          <w:sz w:val="22"/>
          <w:szCs w:val="22"/>
        </w:rPr>
        <w:t>is centralised with coordination of the implementation held in a unit vs GIA implementation</w:t>
      </w:r>
      <w:r w:rsidR="001F12DB">
        <w:rPr>
          <w:b/>
          <w:bCs/>
          <w:sz w:val="22"/>
          <w:szCs w:val="22"/>
        </w:rPr>
        <w:t xml:space="preserve"> is</w:t>
      </w:r>
      <w:r w:rsidRPr="00F52B3D">
        <w:rPr>
          <w:b/>
          <w:bCs/>
          <w:sz w:val="22"/>
          <w:szCs w:val="22"/>
        </w:rPr>
        <w:t xml:space="preserve"> distributed through to localised units and teams that are accountable for their own outcomes</w:t>
      </w:r>
      <w:r w:rsidR="00DF12C6" w:rsidRPr="00F52B3D">
        <w:rPr>
          <w:b/>
          <w:bCs/>
          <w:sz w:val="22"/>
          <w:szCs w:val="22"/>
        </w:rPr>
        <w:t>.</w:t>
      </w:r>
    </w:p>
    <w:p w14:paraId="10912032" w14:textId="0273AA64" w:rsidR="000210AA" w:rsidRPr="00F52B3D" w:rsidRDefault="00B825AD" w:rsidP="006B75D8">
      <w:pPr>
        <w:pStyle w:val="NormalWeb"/>
        <w:shd w:val="clear" w:color="auto" w:fill="FFFFFF" w:themeFill="background1"/>
        <w:rPr>
          <w:sz w:val="22"/>
          <w:szCs w:val="22"/>
        </w:rPr>
      </w:pPr>
      <w:r w:rsidRPr="00F52B3D">
        <w:rPr>
          <w:sz w:val="22"/>
          <w:szCs w:val="22"/>
        </w:rPr>
        <w:t xml:space="preserve">At one end of the continuum </w:t>
      </w:r>
      <w:r w:rsidR="000210AA" w:rsidRPr="00F52B3D">
        <w:rPr>
          <w:sz w:val="22"/>
          <w:szCs w:val="22"/>
        </w:rPr>
        <w:t xml:space="preserve">GIA work </w:t>
      </w:r>
      <w:r w:rsidRPr="00F52B3D">
        <w:rPr>
          <w:sz w:val="22"/>
          <w:szCs w:val="22"/>
        </w:rPr>
        <w:t xml:space="preserve">is </w:t>
      </w:r>
      <w:r w:rsidR="000210AA" w:rsidRPr="00F52B3D">
        <w:rPr>
          <w:sz w:val="22"/>
          <w:szCs w:val="22"/>
        </w:rPr>
        <w:t>centralised within a department, which</w:t>
      </w:r>
      <w:r w:rsidR="00DF12C6" w:rsidRPr="00F52B3D">
        <w:rPr>
          <w:sz w:val="22"/>
          <w:szCs w:val="22"/>
        </w:rPr>
        <w:t xml:space="preserve"> </w:t>
      </w:r>
      <w:r w:rsidR="000210AA" w:rsidRPr="00F52B3D">
        <w:rPr>
          <w:sz w:val="22"/>
          <w:szCs w:val="22"/>
        </w:rPr>
        <w:t xml:space="preserve">is </w:t>
      </w:r>
      <w:r w:rsidR="00DF12C6" w:rsidRPr="00F52B3D">
        <w:rPr>
          <w:sz w:val="22"/>
          <w:szCs w:val="22"/>
        </w:rPr>
        <w:t xml:space="preserve">often human </w:t>
      </w:r>
      <w:r w:rsidR="000210AA" w:rsidRPr="00F52B3D">
        <w:rPr>
          <w:sz w:val="22"/>
          <w:szCs w:val="22"/>
        </w:rPr>
        <w:t>resources or a centralised policy unit</w:t>
      </w:r>
      <w:r w:rsidR="00DF12C6" w:rsidRPr="00F52B3D">
        <w:rPr>
          <w:sz w:val="22"/>
          <w:szCs w:val="22"/>
        </w:rPr>
        <w:t>.</w:t>
      </w:r>
      <w:r w:rsidR="000210AA" w:rsidRPr="00F52B3D">
        <w:rPr>
          <w:sz w:val="22"/>
          <w:szCs w:val="22"/>
        </w:rPr>
        <w:t xml:space="preserve"> The centralised approach </w:t>
      </w:r>
      <w:r w:rsidR="00DA7433" w:rsidRPr="00F52B3D">
        <w:rPr>
          <w:sz w:val="22"/>
          <w:szCs w:val="22"/>
        </w:rPr>
        <w:t xml:space="preserve">can </w:t>
      </w:r>
      <w:r w:rsidR="000210AA" w:rsidRPr="00F52B3D">
        <w:rPr>
          <w:sz w:val="22"/>
          <w:szCs w:val="22"/>
        </w:rPr>
        <w:t>impact the ability for GIA</w:t>
      </w:r>
      <w:r w:rsidR="00624D85">
        <w:rPr>
          <w:sz w:val="22"/>
          <w:szCs w:val="22"/>
        </w:rPr>
        <w:t>s</w:t>
      </w:r>
      <w:r w:rsidR="000210AA" w:rsidRPr="00F52B3D">
        <w:rPr>
          <w:sz w:val="22"/>
          <w:szCs w:val="22"/>
        </w:rPr>
        <w:t xml:space="preserve"> to access the range of skills required for an effective assessment</w:t>
      </w:r>
      <w:r w:rsidR="00DA7433" w:rsidRPr="00F52B3D">
        <w:rPr>
          <w:sz w:val="22"/>
          <w:szCs w:val="22"/>
        </w:rPr>
        <w:t>.</w:t>
      </w:r>
      <w:r w:rsidR="00B81BDD" w:rsidRPr="00F52B3D">
        <w:rPr>
          <w:sz w:val="22"/>
          <w:szCs w:val="22"/>
        </w:rPr>
        <w:t xml:space="preserve"> This includes </w:t>
      </w:r>
      <w:r w:rsidR="000210AA" w:rsidRPr="00F52B3D">
        <w:rPr>
          <w:sz w:val="22"/>
          <w:szCs w:val="22"/>
        </w:rPr>
        <w:t>service design knowledge, client</w:t>
      </w:r>
      <w:r w:rsidR="00DA7433" w:rsidRPr="00F52B3D">
        <w:rPr>
          <w:sz w:val="22"/>
          <w:szCs w:val="22"/>
        </w:rPr>
        <w:t xml:space="preserve"> and </w:t>
      </w:r>
      <w:r w:rsidR="000210AA" w:rsidRPr="00F52B3D">
        <w:rPr>
          <w:sz w:val="22"/>
          <w:szCs w:val="22"/>
        </w:rPr>
        <w:t>customer feedback and usage data, resource requirements</w:t>
      </w:r>
      <w:r w:rsidR="00B81BDD" w:rsidRPr="00F52B3D">
        <w:rPr>
          <w:sz w:val="22"/>
          <w:szCs w:val="22"/>
        </w:rPr>
        <w:t>,</w:t>
      </w:r>
      <w:r w:rsidR="000210AA" w:rsidRPr="00F52B3D">
        <w:rPr>
          <w:sz w:val="22"/>
          <w:szCs w:val="22"/>
        </w:rPr>
        <w:t xml:space="preserve"> </w:t>
      </w:r>
      <w:r w:rsidR="00DA7433" w:rsidRPr="00F52B3D">
        <w:rPr>
          <w:sz w:val="22"/>
          <w:szCs w:val="22"/>
        </w:rPr>
        <w:t>and</w:t>
      </w:r>
      <w:r w:rsidR="000210AA" w:rsidRPr="00F52B3D">
        <w:rPr>
          <w:sz w:val="22"/>
          <w:szCs w:val="22"/>
        </w:rPr>
        <w:t xml:space="preserve"> gender equ</w:t>
      </w:r>
      <w:r w:rsidR="00DA7433" w:rsidRPr="00F52B3D">
        <w:rPr>
          <w:sz w:val="22"/>
          <w:szCs w:val="22"/>
        </w:rPr>
        <w:t xml:space="preserve">ality </w:t>
      </w:r>
      <w:r w:rsidR="000210AA" w:rsidRPr="00F52B3D">
        <w:rPr>
          <w:sz w:val="22"/>
          <w:szCs w:val="22"/>
        </w:rPr>
        <w:t>skills and know</w:t>
      </w:r>
      <w:r w:rsidR="00DA7433" w:rsidRPr="00F52B3D">
        <w:rPr>
          <w:sz w:val="22"/>
          <w:szCs w:val="22"/>
        </w:rPr>
        <w:t>ledge</w:t>
      </w:r>
      <w:r w:rsidR="000210AA" w:rsidRPr="00F52B3D">
        <w:rPr>
          <w:sz w:val="22"/>
          <w:szCs w:val="22"/>
        </w:rPr>
        <w:t>. At the other</w:t>
      </w:r>
      <w:r w:rsidR="00B81BDD" w:rsidRPr="00F52B3D">
        <w:rPr>
          <w:sz w:val="22"/>
          <w:szCs w:val="22"/>
        </w:rPr>
        <w:t xml:space="preserve"> end of the continuum</w:t>
      </w:r>
      <w:r w:rsidR="000210AA" w:rsidRPr="00F52B3D">
        <w:rPr>
          <w:sz w:val="22"/>
          <w:szCs w:val="22"/>
        </w:rPr>
        <w:t>, GIA</w:t>
      </w:r>
      <w:r w:rsidR="00405EAA">
        <w:rPr>
          <w:sz w:val="22"/>
          <w:szCs w:val="22"/>
        </w:rPr>
        <w:t>s</w:t>
      </w:r>
      <w:r w:rsidR="000210AA" w:rsidRPr="00F52B3D">
        <w:rPr>
          <w:sz w:val="22"/>
          <w:szCs w:val="22"/>
        </w:rPr>
        <w:t xml:space="preserve"> </w:t>
      </w:r>
      <w:r w:rsidR="001F12DB">
        <w:rPr>
          <w:sz w:val="22"/>
          <w:szCs w:val="22"/>
        </w:rPr>
        <w:t>are</w:t>
      </w:r>
      <w:r w:rsidR="000210AA" w:rsidRPr="00F52B3D">
        <w:rPr>
          <w:sz w:val="22"/>
          <w:szCs w:val="22"/>
        </w:rPr>
        <w:t xml:space="preserve"> delegated to different units and divisions that are held accountable by</w:t>
      </w:r>
      <w:r w:rsidR="00B81BDD" w:rsidRPr="00F52B3D">
        <w:rPr>
          <w:sz w:val="22"/>
          <w:szCs w:val="22"/>
        </w:rPr>
        <w:t xml:space="preserve"> </w:t>
      </w:r>
      <w:r w:rsidR="000210AA" w:rsidRPr="00F52B3D">
        <w:rPr>
          <w:sz w:val="22"/>
          <w:szCs w:val="22"/>
        </w:rPr>
        <w:t>central leadership</w:t>
      </w:r>
      <w:r w:rsidR="00B81BDD" w:rsidRPr="00F52B3D">
        <w:rPr>
          <w:sz w:val="22"/>
          <w:szCs w:val="22"/>
        </w:rPr>
        <w:t xml:space="preserve"> </w:t>
      </w:r>
      <w:r w:rsidR="000210AA" w:rsidRPr="00F52B3D">
        <w:rPr>
          <w:sz w:val="22"/>
          <w:szCs w:val="22"/>
        </w:rPr>
        <w:t xml:space="preserve">for the </w:t>
      </w:r>
      <w:r w:rsidR="00B81BDD" w:rsidRPr="00F52B3D">
        <w:rPr>
          <w:sz w:val="22"/>
          <w:szCs w:val="22"/>
        </w:rPr>
        <w:t xml:space="preserve">process and its </w:t>
      </w:r>
      <w:r w:rsidR="000210AA" w:rsidRPr="00F52B3D">
        <w:rPr>
          <w:sz w:val="22"/>
          <w:szCs w:val="22"/>
        </w:rPr>
        <w:t>outcomes. Th</w:t>
      </w:r>
      <w:r w:rsidR="00B81BDD" w:rsidRPr="00F52B3D">
        <w:rPr>
          <w:sz w:val="22"/>
          <w:szCs w:val="22"/>
        </w:rPr>
        <w:t>is</w:t>
      </w:r>
      <w:r w:rsidR="000210AA" w:rsidRPr="00F52B3D">
        <w:rPr>
          <w:sz w:val="22"/>
          <w:szCs w:val="22"/>
        </w:rPr>
        <w:t xml:space="preserve"> approach enables closer access to the knowledge and impact of the service under review, builds capability at the local</w:t>
      </w:r>
      <w:r w:rsidR="005B1D64" w:rsidRPr="00F52B3D">
        <w:rPr>
          <w:sz w:val="22"/>
          <w:szCs w:val="22"/>
        </w:rPr>
        <w:t xml:space="preserve"> </w:t>
      </w:r>
      <w:r w:rsidR="000210AA" w:rsidRPr="00F52B3D">
        <w:rPr>
          <w:sz w:val="22"/>
          <w:szCs w:val="22"/>
        </w:rPr>
        <w:t xml:space="preserve">unit level </w:t>
      </w:r>
      <w:r w:rsidRPr="00F52B3D">
        <w:rPr>
          <w:sz w:val="22"/>
          <w:szCs w:val="22"/>
        </w:rPr>
        <w:t xml:space="preserve">and promotes </w:t>
      </w:r>
      <w:r w:rsidR="000210AA" w:rsidRPr="00F52B3D">
        <w:rPr>
          <w:sz w:val="22"/>
          <w:szCs w:val="22"/>
        </w:rPr>
        <w:t xml:space="preserve">organisational transformation. </w:t>
      </w:r>
    </w:p>
    <w:p w14:paraId="2A8CC5BA" w14:textId="02E0659B" w:rsidR="000210AA" w:rsidRPr="00F52B3D" w:rsidRDefault="00C91FBB" w:rsidP="00C034EE">
      <w:pPr>
        <w:pStyle w:val="NormalWeb"/>
        <w:numPr>
          <w:ilvl w:val="0"/>
          <w:numId w:val="22"/>
        </w:numPr>
        <w:shd w:val="clear" w:color="auto" w:fill="FFFFFF"/>
        <w:rPr>
          <w:b/>
          <w:bCs/>
          <w:sz w:val="22"/>
          <w:szCs w:val="22"/>
        </w:rPr>
      </w:pPr>
      <w:r w:rsidRPr="00F52B3D">
        <w:rPr>
          <w:b/>
          <w:bCs/>
          <w:sz w:val="22"/>
          <w:szCs w:val="22"/>
        </w:rPr>
        <w:t xml:space="preserve">GIA advice is sought through the Commission </w:t>
      </w:r>
      <w:r>
        <w:rPr>
          <w:b/>
          <w:bCs/>
          <w:sz w:val="22"/>
          <w:szCs w:val="22"/>
        </w:rPr>
        <w:t>vs t</w:t>
      </w:r>
      <w:r w:rsidR="000210AA" w:rsidRPr="00F52B3D">
        <w:rPr>
          <w:b/>
          <w:bCs/>
          <w:sz w:val="22"/>
          <w:szCs w:val="22"/>
        </w:rPr>
        <w:t xml:space="preserve">here are localised gender equity skills </w:t>
      </w:r>
    </w:p>
    <w:p w14:paraId="758A46CF" w14:textId="33843894" w:rsidR="000210AA" w:rsidRPr="00F52B3D" w:rsidRDefault="004A4CF6" w:rsidP="006B75D8">
      <w:pPr>
        <w:pStyle w:val="NormalWeb"/>
        <w:shd w:val="clear" w:color="auto" w:fill="FFFFFF" w:themeFill="background1"/>
        <w:rPr>
          <w:sz w:val="22"/>
          <w:szCs w:val="22"/>
        </w:rPr>
      </w:pPr>
      <w:r w:rsidRPr="00F52B3D">
        <w:rPr>
          <w:sz w:val="22"/>
          <w:szCs w:val="22"/>
        </w:rPr>
        <w:t>A</w:t>
      </w:r>
      <w:r w:rsidR="000210AA" w:rsidRPr="00F52B3D">
        <w:rPr>
          <w:sz w:val="22"/>
          <w:szCs w:val="22"/>
        </w:rPr>
        <w:t xml:space="preserve">ccess to </w:t>
      </w:r>
      <w:r w:rsidRPr="00F52B3D">
        <w:rPr>
          <w:sz w:val="22"/>
          <w:szCs w:val="22"/>
        </w:rPr>
        <w:t xml:space="preserve">gender equality </w:t>
      </w:r>
      <w:r w:rsidR="000210AA" w:rsidRPr="00F52B3D">
        <w:rPr>
          <w:sz w:val="22"/>
          <w:szCs w:val="22"/>
        </w:rPr>
        <w:t>skills and knowledge is</w:t>
      </w:r>
      <w:r w:rsidRPr="00F52B3D">
        <w:rPr>
          <w:sz w:val="22"/>
          <w:szCs w:val="22"/>
        </w:rPr>
        <w:t xml:space="preserve"> required </w:t>
      </w:r>
      <w:r w:rsidR="000210AA" w:rsidRPr="00F52B3D">
        <w:rPr>
          <w:sz w:val="22"/>
          <w:szCs w:val="22"/>
        </w:rPr>
        <w:t xml:space="preserve">to deliver transformational gender equity outcomes. </w:t>
      </w:r>
      <w:r w:rsidR="00624D85">
        <w:rPr>
          <w:sz w:val="22"/>
          <w:szCs w:val="22"/>
        </w:rPr>
        <w:t xml:space="preserve">At one end of </w:t>
      </w:r>
      <w:r w:rsidR="000210AA" w:rsidRPr="00F52B3D">
        <w:rPr>
          <w:sz w:val="22"/>
          <w:szCs w:val="22"/>
        </w:rPr>
        <w:t>the continuum</w:t>
      </w:r>
      <w:r w:rsidR="00624D85">
        <w:rPr>
          <w:sz w:val="22"/>
          <w:szCs w:val="22"/>
        </w:rPr>
        <w:t>,</w:t>
      </w:r>
      <w:r w:rsidR="000210AA" w:rsidRPr="00F52B3D">
        <w:rPr>
          <w:sz w:val="22"/>
          <w:szCs w:val="22"/>
        </w:rPr>
        <w:t xml:space="preserve"> investment </w:t>
      </w:r>
      <w:r w:rsidRPr="00F52B3D">
        <w:rPr>
          <w:sz w:val="22"/>
          <w:szCs w:val="22"/>
        </w:rPr>
        <w:t>i</w:t>
      </w:r>
      <w:r w:rsidR="000210AA" w:rsidRPr="00F52B3D">
        <w:rPr>
          <w:sz w:val="22"/>
          <w:szCs w:val="22"/>
        </w:rPr>
        <w:t>s made</w:t>
      </w:r>
      <w:r w:rsidRPr="00F52B3D">
        <w:rPr>
          <w:sz w:val="22"/>
          <w:szCs w:val="22"/>
        </w:rPr>
        <w:t xml:space="preserve"> by the organisation to</w:t>
      </w:r>
      <w:r w:rsidR="000210AA" w:rsidRPr="00F52B3D">
        <w:rPr>
          <w:sz w:val="22"/>
          <w:szCs w:val="22"/>
        </w:rPr>
        <w:t xml:space="preserve"> develop</w:t>
      </w:r>
      <w:r w:rsidRPr="00F52B3D">
        <w:rPr>
          <w:sz w:val="22"/>
          <w:szCs w:val="22"/>
        </w:rPr>
        <w:t xml:space="preserve"> and </w:t>
      </w:r>
      <w:r w:rsidR="000210AA" w:rsidRPr="00F52B3D">
        <w:rPr>
          <w:sz w:val="22"/>
          <w:szCs w:val="22"/>
        </w:rPr>
        <w:t>acquir</w:t>
      </w:r>
      <w:r w:rsidRPr="00F52B3D">
        <w:rPr>
          <w:sz w:val="22"/>
          <w:szCs w:val="22"/>
        </w:rPr>
        <w:t>e</w:t>
      </w:r>
      <w:r w:rsidR="000210AA" w:rsidRPr="00F52B3D">
        <w:rPr>
          <w:sz w:val="22"/>
          <w:szCs w:val="22"/>
        </w:rPr>
        <w:t xml:space="preserve"> gender equality skills</w:t>
      </w:r>
      <w:r w:rsidRPr="00F52B3D">
        <w:rPr>
          <w:sz w:val="22"/>
          <w:szCs w:val="22"/>
        </w:rPr>
        <w:t>, knowledge</w:t>
      </w:r>
      <w:r w:rsidR="00624D85">
        <w:rPr>
          <w:sz w:val="22"/>
          <w:szCs w:val="22"/>
        </w:rPr>
        <w:t>,</w:t>
      </w:r>
      <w:r w:rsidRPr="00F52B3D">
        <w:rPr>
          <w:sz w:val="22"/>
          <w:szCs w:val="22"/>
        </w:rPr>
        <w:t xml:space="preserve"> and</w:t>
      </w:r>
      <w:r w:rsidR="000210AA" w:rsidRPr="00F52B3D">
        <w:rPr>
          <w:sz w:val="22"/>
          <w:szCs w:val="22"/>
        </w:rPr>
        <w:t xml:space="preserve"> practice</w:t>
      </w:r>
      <w:r w:rsidRPr="00F52B3D">
        <w:rPr>
          <w:sz w:val="22"/>
          <w:szCs w:val="22"/>
        </w:rPr>
        <w:t xml:space="preserve"> to shift </w:t>
      </w:r>
      <w:r w:rsidR="000210AA" w:rsidRPr="00F52B3D">
        <w:rPr>
          <w:sz w:val="22"/>
          <w:szCs w:val="22"/>
        </w:rPr>
        <w:t xml:space="preserve">the </w:t>
      </w:r>
      <w:r w:rsidRPr="00F52B3D">
        <w:rPr>
          <w:sz w:val="22"/>
          <w:szCs w:val="22"/>
        </w:rPr>
        <w:t xml:space="preserve">entities </w:t>
      </w:r>
      <w:r w:rsidR="000210AA" w:rsidRPr="00F52B3D">
        <w:rPr>
          <w:sz w:val="22"/>
          <w:szCs w:val="22"/>
        </w:rPr>
        <w:t xml:space="preserve">systems and procedures. At the other end of the continuum, defined entities look to the Commission to provide access </w:t>
      </w:r>
      <w:r w:rsidRPr="00F52B3D">
        <w:rPr>
          <w:sz w:val="22"/>
          <w:szCs w:val="22"/>
        </w:rPr>
        <w:t xml:space="preserve">to </w:t>
      </w:r>
      <w:r w:rsidR="000210AA" w:rsidRPr="00F52B3D">
        <w:rPr>
          <w:sz w:val="22"/>
          <w:szCs w:val="22"/>
        </w:rPr>
        <w:t>gender equ</w:t>
      </w:r>
      <w:r w:rsidRPr="00F52B3D">
        <w:rPr>
          <w:sz w:val="22"/>
          <w:szCs w:val="22"/>
        </w:rPr>
        <w:t>ality</w:t>
      </w:r>
      <w:r w:rsidR="000210AA" w:rsidRPr="00F52B3D">
        <w:rPr>
          <w:sz w:val="22"/>
          <w:szCs w:val="22"/>
        </w:rPr>
        <w:t xml:space="preserve"> skills</w:t>
      </w:r>
      <w:r w:rsidRPr="00F52B3D">
        <w:rPr>
          <w:sz w:val="22"/>
          <w:szCs w:val="22"/>
        </w:rPr>
        <w:t xml:space="preserve">, </w:t>
      </w:r>
      <w:r w:rsidR="000210AA" w:rsidRPr="00F52B3D">
        <w:rPr>
          <w:sz w:val="22"/>
          <w:szCs w:val="22"/>
        </w:rPr>
        <w:t>knowledge</w:t>
      </w:r>
      <w:r w:rsidR="00624D85">
        <w:rPr>
          <w:sz w:val="22"/>
          <w:szCs w:val="22"/>
        </w:rPr>
        <w:t>,</w:t>
      </w:r>
      <w:r w:rsidRPr="00F52B3D">
        <w:rPr>
          <w:sz w:val="22"/>
          <w:szCs w:val="22"/>
        </w:rPr>
        <w:t xml:space="preserve"> and resourcing</w:t>
      </w:r>
      <w:r w:rsidR="00EE2566" w:rsidRPr="00F52B3D">
        <w:rPr>
          <w:sz w:val="22"/>
          <w:szCs w:val="22"/>
        </w:rPr>
        <w:t>,</w:t>
      </w:r>
      <w:r w:rsidRPr="00F52B3D">
        <w:rPr>
          <w:sz w:val="22"/>
          <w:szCs w:val="22"/>
        </w:rPr>
        <w:t xml:space="preserve"> as </w:t>
      </w:r>
      <w:r w:rsidR="000210AA" w:rsidRPr="00F52B3D">
        <w:rPr>
          <w:sz w:val="22"/>
          <w:szCs w:val="22"/>
        </w:rPr>
        <w:t>a public</w:t>
      </w:r>
      <w:r w:rsidR="00624D85">
        <w:rPr>
          <w:sz w:val="22"/>
          <w:szCs w:val="22"/>
        </w:rPr>
        <w:t>ly</w:t>
      </w:r>
      <w:r w:rsidR="000210AA" w:rsidRPr="00F52B3D">
        <w:rPr>
          <w:sz w:val="22"/>
          <w:szCs w:val="22"/>
        </w:rPr>
        <w:t xml:space="preserve"> funded entity</w:t>
      </w:r>
      <w:r w:rsidRPr="00F52B3D">
        <w:rPr>
          <w:sz w:val="22"/>
          <w:szCs w:val="22"/>
        </w:rPr>
        <w:t xml:space="preserve"> who is</w:t>
      </w:r>
      <w:r w:rsidR="000210AA" w:rsidRPr="00F52B3D">
        <w:rPr>
          <w:sz w:val="22"/>
          <w:szCs w:val="22"/>
        </w:rPr>
        <w:t xml:space="preserve"> seen as an </w:t>
      </w:r>
      <w:r w:rsidR="00624D85">
        <w:rPr>
          <w:sz w:val="22"/>
          <w:szCs w:val="22"/>
        </w:rPr>
        <w:t>‘</w:t>
      </w:r>
      <w:r w:rsidR="000210AA" w:rsidRPr="00F52B3D">
        <w:rPr>
          <w:sz w:val="22"/>
          <w:szCs w:val="22"/>
        </w:rPr>
        <w:t>information line</w:t>
      </w:r>
      <w:r w:rsidR="00624D85">
        <w:rPr>
          <w:sz w:val="22"/>
          <w:szCs w:val="22"/>
        </w:rPr>
        <w:t>’</w:t>
      </w:r>
      <w:r w:rsidR="000210AA" w:rsidRPr="00F52B3D">
        <w:rPr>
          <w:sz w:val="22"/>
          <w:szCs w:val="22"/>
        </w:rPr>
        <w:t xml:space="preserve"> and </w:t>
      </w:r>
      <w:r w:rsidRPr="00F52B3D">
        <w:rPr>
          <w:sz w:val="22"/>
          <w:szCs w:val="22"/>
        </w:rPr>
        <w:t>resource for the public sector</w:t>
      </w:r>
      <w:r w:rsidR="000210AA" w:rsidRPr="00F52B3D">
        <w:rPr>
          <w:sz w:val="22"/>
          <w:szCs w:val="22"/>
        </w:rPr>
        <w:t xml:space="preserve">. </w:t>
      </w:r>
    </w:p>
    <w:p w14:paraId="54CB7606" w14:textId="727B654C" w:rsidR="000210AA" w:rsidRPr="00F52B3D" w:rsidRDefault="00D779E5" w:rsidP="1137305B">
      <w:pPr>
        <w:pStyle w:val="NormalWeb"/>
        <w:shd w:val="clear" w:color="auto" w:fill="FFFFFF" w:themeFill="background1"/>
        <w:rPr>
          <w:sz w:val="22"/>
          <w:szCs w:val="22"/>
        </w:rPr>
      </w:pPr>
      <w:r w:rsidRPr="00F52B3D">
        <w:rPr>
          <w:sz w:val="22"/>
          <w:szCs w:val="22"/>
        </w:rPr>
        <w:t>A</w:t>
      </w:r>
      <w:r w:rsidR="000210AA" w:rsidRPr="00F52B3D">
        <w:rPr>
          <w:sz w:val="22"/>
          <w:szCs w:val="22"/>
        </w:rPr>
        <w:t xml:space="preserve">cross all the interviews and focus groups, different combinations of these continuums were </w:t>
      </w:r>
      <w:r w:rsidRPr="00F52B3D">
        <w:rPr>
          <w:sz w:val="22"/>
          <w:szCs w:val="22"/>
        </w:rPr>
        <w:t>observed</w:t>
      </w:r>
      <w:r w:rsidR="000210AA" w:rsidRPr="00F52B3D">
        <w:rPr>
          <w:sz w:val="22"/>
          <w:szCs w:val="22"/>
        </w:rPr>
        <w:t xml:space="preserve">. </w:t>
      </w:r>
      <w:r w:rsidRPr="00F52B3D">
        <w:rPr>
          <w:sz w:val="22"/>
          <w:szCs w:val="22"/>
        </w:rPr>
        <w:t>S</w:t>
      </w:r>
      <w:r w:rsidR="000210AA" w:rsidRPr="00F52B3D">
        <w:rPr>
          <w:sz w:val="22"/>
          <w:szCs w:val="22"/>
        </w:rPr>
        <w:t>ome entities sought advice from the Commission on gender equality but</w:t>
      </w:r>
      <w:r w:rsidRPr="00F52B3D">
        <w:rPr>
          <w:sz w:val="22"/>
          <w:szCs w:val="22"/>
        </w:rPr>
        <w:t xml:space="preserve"> also</w:t>
      </w:r>
      <w:r w:rsidR="000210AA" w:rsidRPr="00F52B3D">
        <w:rPr>
          <w:sz w:val="22"/>
          <w:szCs w:val="22"/>
        </w:rPr>
        <w:t xml:space="preserve"> ha</w:t>
      </w:r>
      <w:r w:rsidRPr="00F52B3D">
        <w:rPr>
          <w:sz w:val="22"/>
          <w:szCs w:val="22"/>
        </w:rPr>
        <w:t>d</w:t>
      </w:r>
      <w:r w:rsidR="000210AA" w:rsidRPr="00F52B3D">
        <w:rPr>
          <w:sz w:val="22"/>
          <w:szCs w:val="22"/>
        </w:rPr>
        <w:t xml:space="preserve"> </w:t>
      </w:r>
      <w:r w:rsidRPr="00F52B3D">
        <w:rPr>
          <w:sz w:val="22"/>
          <w:szCs w:val="22"/>
        </w:rPr>
        <w:t xml:space="preserve">a </w:t>
      </w:r>
      <w:r w:rsidR="000210AA" w:rsidRPr="00F52B3D">
        <w:rPr>
          <w:sz w:val="22"/>
          <w:szCs w:val="22"/>
        </w:rPr>
        <w:t>strong enabling view of gender equity, while delegating the work of GIA</w:t>
      </w:r>
      <w:r w:rsidR="00C91FBB">
        <w:rPr>
          <w:sz w:val="22"/>
          <w:szCs w:val="22"/>
        </w:rPr>
        <w:t>s</w:t>
      </w:r>
      <w:r w:rsidR="000210AA" w:rsidRPr="00F52B3D">
        <w:rPr>
          <w:sz w:val="22"/>
          <w:szCs w:val="22"/>
        </w:rPr>
        <w:t xml:space="preserve"> to frontline staff. Those entities that did have </w:t>
      </w:r>
      <w:r w:rsidR="00C91FBB">
        <w:rPr>
          <w:sz w:val="22"/>
          <w:szCs w:val="22"/>
        </w:rPr>
        <w:t>‘</w:t>
      </w:r>
      <w:r w:rsidR="000210AA" w:rsidRPr="00F52B3D">
        <w:rPr>
          <w:sz w:val="22"/>
          <w:szCs w:val="22"/>
        </w:rPr>
        <w:t>successful conditions</w:t>
      </w:r>
      <w:r w:rsidR="00C91FBB">
        <w:rPr>
          <w:sz w:val="22"/>
          <w:szCs w:val="22"/>
        </w:rPr>
        <w:t>’</w:t>
      </w:r>
      <w:r w:rsidR="000210AA" w:rsidRPr="00F52B3D">
        <w:rPr>
          <w:sz w:val="22"/>
          <w:szCs w:val="22"/>
        </w:rPr>
        <w:t xml:space="preserve"> for GIA</w:t>
      </w:r>
      <w:r w:rsidR="00C91FBB">
        <w:rPr>
          <w:sz w:val="22"/>
          <w:szCs w:val="22"/>
        </w:rPr>
        <w:t>s</w:t>
      </w:r>
      <w:r w:rsidRPr="00F52B3D">
        <w:rPr>
          <w:sz w:val="22"/>
          <w:szCs w:val="22"/>
        </w:rPr>
        <w:t xml:space="preserve"> often</w:t>
      </w:r>
      <w:r w:rsidR="000210AA" w:rsidRPr="00F52B3D">
        <w:rPr>
          <w:sz w:val="22"/>
          <w:szCs w:val="22"/>
        </w:rPr>
        <w:t xml:space="preserve"> ha</w:t>
      </w:r>
      <w:r w:rsidRPr="00F52B3D">
        <w:rPr>
          <w:sz w:val="22"/>
          <w:szCs w:val="22"/>
        </w:rPr>
        <w:t>d</w:t>
      </w:r>
      <w:r w:rsidR="000210AA" w:rsidRPr="00F52B3D">
        <w:rPr>
          <w:sz w:val="22"/>
          <w:szCs w:val="22"/>
        </w:rPr>
        <w:t xml:space="preserve"> invested in </w:t>
      </w:r>
      <w:r w:rsidRPr="00F52B3D">
        <w:rPr>
          <w:sz w:val="22"/>
          <w:szCs w:val="22"/>
        </w:rPr>
        <w:t xml:space="preserve">the development of </w:t>
      </w:r>
      <w:r w:rsidR="000210AA" w:rsidRPr="00F52B3D">
        <w:rPr>
          <w:sz w:val="22"/>
          <w:szCs w:val="22"/>
        </w:rPr>
        <w:t>in</w:t>
      </w:r>
      <w:r w:rsidRPr="00F52B3D">
        <w:rPr>
          <w:sz w:val="22"/>
          <w:szCs w:val="22"/>
        </w:rPr>
        <w:t>-</w:t>
      </w:r>
      <w:r w:rsidR="000210AA" w:rsidRPr="00F52B3D">
        <w:rPr>
          <w:sz w:val="22"/>
          <w:szCs w:val="22"/>
        </w:rPr>
        <w:t>house gender equality skills, had a balanced distribut</w:t>
      </w:r>
      <w:r w:rsidRPr="00F52B3D">
        <w:rPr>
          <w:sz w:val="22"/>
          <w:szCs w:val="22"/>
        </w:rPr>
        <w:t>ion of GIA</w:t>
      </w:r>
      <w:r w:rsidR="000210AA" w:rsidRPr="00F52B3D">
        <w:rPr>
          <w:sz w:val="22"/>
          <w:szCs w:val="22"/>
        </w:rPr>
        <w:t xml:space="preserve"> delegation</w:t>
      </w:r>
      <w:r w:rsidR="00C91FBB">
        <w:rPr>
          <w:sz w:val="22"/>
          <w:szCs w:val="22"/>
        </w:rPr>
        <w:t>,</w:t>
      </w:r>
      <w:r w:rsidR="000210AA" w:rsidRPr="00F52B3D">
        <w:rPr>
          <w:sz w:val="22"/>
          <w:szCs w:val="22"/>
        </w:rPr>
        <w:t xml:space="preserve"> </w:t>
      </w:r>
      <w:r w:rsidRPr="00F52B3D">
        <w:rPr>
          <w:sz w:val="22"/>
          <w:szCs w:val="22"/>
        </w:rPr>
        <w:t xml:space="preserve">and whole-of-organisation ownership of the process and outcomes. </w:t>
      </w:r>
      <w:r w:rsidR="000210AA" w:rsidRPr="00F52B3D">
        <w:rPr>
          <w:sz w:val="22"/>
          <w:szCs w:val="22"/>
        </w:rPr>
        <w:t>By contrast, entities that were struggling tended to</w:t>
      </w:r>
      <w:r w:rsidR="00F61FFA" w:rsidRPr="00F52B3D">
        <w:rPr>
          <w:sz w:val="22"/>
          <w:szCs w:val="22"/>
        </w:rPr>
        <w:t xml:space="preserve"> sit on the other end of the </w:t>
      </w:r>
      <w:r w:rsidR="000210AA" w:rsidRPr="00F52B3D">
        <w:rPr>
          <w:sz w:val="22"/>
          <w:szCs w:val="22"/>
        </w:rPr>
        <w:t>continuum</w:t>
      </w:r>
      <w:r w:rsidR="006C4BA9" w:rsidRPr="00F52B3D">
        <w:rPr>
          <w:sz w:val="22"/>
          <w:szCs w:val="22"/>
        </w:rPr>
        <w:t xml:space="preserve">. </w:t>
      </w:r>
    </w:p>
    <w:p w14:paraId="3CC4B98C" w14:textId="119A3B67" w:rsidR="009572FB" w:rsidRDefault="008F0700" w:rsidP="008F0700">
      <w:pPr>
        <w:pStyle w:val="Heading2"/>
      </w:pPr>
      <w:bookmarkStart w:id="25" w:name="_Toc96348291"/>
      <w:r>
        <w:t xml:space="preserve">The </w:t>
      </w:r>
      <w:r w:rsidR="00197387">
        <w:t>v</w:t>
      </w:r>
      <w:r>
        <w:t xml:space="preserve">alue placed on </w:t>
      </w:r>
      <w:r w:rsidR="00197387">
        <w:t>g</w:t>
      </w:r>
      <w:r>
        <w:t xml:space="preserve">ender </w:t>
      </w:r>
      <w:r w:rsidR="00197387">
        <w:t>e</w:t>
      </w:r>
      <w:r>
        <w:t xml:space="preserve">quality </w:t>
      </w:r>
      <w:r w:rsidR="00197387">
        <w:t>s</w:t>
      </w:r>
      <w:r>
        <w:t>kill</w:t>
      </w:r>
      <w:r w:rsidR="00390815">
        <w:t>s, knowledge</w:t>
      </w:r>
      <w:r w:rsidR="00C91FBB">
        <w:t>,</w:t>
      </w:r>
      <w:r>
        <w:t xml:space="preserve"> and </w:t>
      </w:r>
      <w:r w:rsidR="00197387">
        <w:t>a</w:t>
      </w:r>
      <w:r>
        <w:t>ctivity</w:t>
      </w:r>
      <w:bookmarkEnd w:id="25"/>
    </w:p>
    <w:p w14:paraId="2C318937" w14:textId="562C0F16" w:rsidR="000210AA" w:rsidRPr="00F52B3D" w:rsidRDefault="00390815" w:rsidP="1137305B">
      <w:pPr>
        <w:pStyle w:val="NormalWeb"/>
        <w:shd w:val="clear" w:color="auto" w:fill="FFFFFF" w:themeFill="background1"/>
        <w:rPr>
          <w:sz w:val="22"/>
          <w:szCs w:val="22"/>
        </w:rPr>
      </w:pPr>
      <w:r w:rsidRPr="00F52B3D">
        <w:rPr>
          <w:sz w:val="22"/>
          <w:szCs w:val="22"/>
        </w:rPr>
        <w:t>Defined entities</w:t>
      </w:r>
      <w:r w:rsidR="00405EAA">
        <w:rPr>
          <w:sz w:val="22"/>
          <w:szCs w:val="22"/>
        </w:rPr>
        <w:t>’</w:t>
      </w:r>
      <w:r w:rsidRPr="00F52B3D">
        <w:rPr>
          <w:sz w:val="22"/>
          <w:szCs w:val="22"/>
        </w:rPr>
        <w:t xml:space="preserve"> position on the </w:t>
      </w:r>
      <w:r w:rsidR="009572FB" w:rsidRPr="00F52B3D">
        <w:rPr>
          <w:sz w:val="22"/>
          <w:szCs w:val="22"/>
        </w:rPr>
        <w:t>continuums</w:t>
      </w:r>
      <w:r w:rsidRPr="00F52B3D">
        <w:rPr>
          <w:sz w:val="22"/>
          <w:szCs w:val="22"/>
        </w:rPr>
        <w:t xml:space="preserve"> as defined above</w:t>
      </w:r>
      <w:r w:rsidR="009572FB" w:rsidRPr="00F52B3D">
        <w:rPr>
          <w:sz w:val="22"/>
          <w:szCs w:val="22"/>
        </w:rPr>
        <w:t xml:space="preserve"> also</w:t>
      </w:r>
      <w:r w:rsidRPr="00F52B3D">
        <w:rPr>
          <w:sz w:val="22"/>
          <w:szCs w:val="22"/>
        </w:rPr>
        <w:t xml:space="preserve"> </w:t>
      </w:r>
      <w:r w:rsidR="009572FB" w:rsidRPr="00F52B3D">
        <w:rPr>
          <w:sz w:val="22"/>
          <w:szCs w:val="22"/>
        </w:rPr>
        <w:t>ha</w:t>
      </w:r>
      <w:r w:rsidRPr="00F52B3D">
        <w:rPr>
          <w:sz w:val="22"/>
          <w:szCs w:val="22"/>
        </w:rPr>
        <w:t>s</w:t>
      </w:r>
      <w:r w:rsidR="009572FB" w:rsidRPr="00F52B3D">
        <w:rPr>
          <w:sz w:val="22"/>
          <w:szCs w:val="22"/>
        </w:rPr>
        <w:t xml:space="preserve"> implications for the value that the</w:t>
      </w:r>
      <w:r w:rsidRPr="00F52B3D">
        <w:rPr>
          <w:sz w:val="22"/>
          <w:szCs w:val="22"/>
        </w:rPr>
        <w:t>y</w:t>
      </w:r>
      <w:r w:rsidR="009572FB" w:rsidRPr="00F52B3D">
        <w:rPr>
          <w:sz w:val="22"/>
          <w:szCs w:val="22"/>
        </w:rPr>
        <w:t xml:space="preserve"> p</w:t>
      </w:r>
      <w:r w:rsidRPr="00F52B3D">
        <w:rPr>
          <w:sz w:val="22"/>
          <w:szCs w:val="22"/>
        </w:rPr>
        <w:t>lace</w:t>
      </w:r>
      <w:r w:rsidR="009572FB" w:rsidRPr="00F52B3D">
        <w:rPr>
          <w:sz w:val="22"/>
          <w:szCs w:val="22"/>
        </w:rPr>
        <w:t xml:space="preserve"> </w:t>
      </w:r>
      <w:r w:rsidRPr="00F52B3D">
        <w:rPr>
          <w:sz w:val="22"/>
          <w:szCs w:val="22"/>
        </w:rPr>
        <w:t>o</w:t>
      </w:r>
      <w:r w:rsidR="009572FB" w:rsidRPr="00F52B3D">
        <w:rPr>
          <w:sz w:val="22"/>
          <w:szCs w:val="22"/>
        </w:rPr>
        <w:t>n gender equality skills</w:t>
      </w:r>
      <w:r w:rsidRPr="00F52B3D">
        <w:rPr>
          <w:sz w:val="22"/>
          <w:szCs w:val="22"/>
        </w:rPr>
        <w:t xml:space="preserve"> and knowledge</w:t>
      </w:r>
      <w:r w:rsidR="00C91FBB">
        <w:rPr>
          <w:sz w:val="22"/>
          <w:szCs w:val="22"/>
        </w:rPr>
        <w:t>,</w:t>
      </w:r>
      <w:r w:rsidRPr="00F52B3D">
        <w:rPr>
          <w:sz w:val="22"/>
          <w:szCs w:val="22"/>
        </w:rPr>
        <w:t xml:space="preserve"> and </w:t>
      </w:r>
      <w:r w:rsidR="009572FB" w:rsidRPr="00F52B3D">
        <w:rPr>
          <w:sz w:val="22"/>
          <w:szCs w:val="22"/>
        </w:rPr>
        <w:t>how willing</w:t>
      </w:r>
      <w:r w:rsidRPr="00F52B3D">
        <w:rPr>
          <w:sz w:val="22"/>
          <w:szCs w:val="22"/>
        </w:rPr>
        <w:t xml:space="preserve"> they are</w:t>
      </w:r>
      <w:r w:rsidR="009572FB" w:rsidRPr="00F52B3D">
        <w:rPr>
          <w:sz w:val="22"/>
          <w:szCs w:val="22"/>
        </w:rPr>
        <w:t xml:space="preserve"> to fund and resource</w:t>
      </w:r>
      <w:r w:rsidRPr="00F52B3D">
        <w:rPr>
          <w:sz w:val="22"/>
          <w:szCs w:val="22"/>
        </w:rPr>
        <w:t xml:space="preserve"> </w:t>
      </w:r>
      <w:r w:rsidR="009572FB" w:rsidRPr="00F52B3D">
        <w:rPr>
          <w:sz w:val="22"/>
          <w:szCs w:val="22"/>
        </w:rPr>
        <w:t>GIA</w:t>
      </w:r>
      <w:r w:rsidR="00C91FBB">
        <w:rPr>
          <w:sz w:val="22"/>
          <w:szCs w:val="22"/>
        </w:rPr>
        <w:t>s</w:t>
      </w:r>
      <w:r w:rsidR="009572FB" w:rsidRPr="00F52B3D">
        <w:rPr>
          <w:sz w:val="22"/>
          <w:szCs w:val="22"/>
        </w:rPr>
        <w:t>.</w:t>
      </w:r>
      <w:r w:rsidR="00154E6D" w:rsidRPr="00F52B3D">
        <w:rPr>
          <w:sz w:val="22"/>
          <w:szCs w:val="22"/>
        </w:rPr>
        <w:t xml:space="preserve"> Organisations that displayed </w:t>
      </w:r>
      <w:r w:rsidR="00AB3E6A" w:rsidRPr="00F52B3D">
        <w:rPr>
          <w:sz w:val="22"/>
          <w:szCs w:val="22"/>
        </w:rPr>
        <w:t xml:space="preserve">characteristics </w:t>
      </w:r>
      <w:r w:rsidRPr="00F52B3D">
        <w:rPr>
          <w:sz w:val="22"/>
          <w:szCs w:val="22"/>
        </w:rPr>
        <w:t xml:space="preserve">associated with the </w:t>
      </w:r>
      <w:r w:rsidR="00AB3E6A" w:rsidRPr="00F52B3D">
        <w:rPr>
          <w:sz w:val="22"/>
          <w:szCs w:val="22"/>
        </w:rPr>
        <w:t xml:space="preserve">transformational outcomes of the </w:t>
      </w:r>
      <w:r w:rsidR="001F12DB">
        <w:rPr>
          <w:sz w:val="22"/>
          <w:szCs w:val="22"/>
        </w:rPr>
        <w:t xml:space="preserve">GE </w:t>
      </w:r>
      <w:r w:rsidR="00AB3E6A" w:rsidRPr="00F52B3D">
        <w:rPr>
          <w:sz w:val="22"/>
          <w:szCs w:val="22"/>
        </w:rPr>
        <w:t>Act</w:t>
      </w:r>
      <w:r w:rsidRPr="00F52B3D">
        <w:rPr>
          <w:sz w:val="22"/>
          <w:szCs w:val="22"/>
        </w:rPr>
        <w:t xml:space="preserve"> are more likely </w:t>
      </w:r>
      <w:r w:rsidR="00AB3E6A" w:rsidRPr="00F52B3D">
        <w:rPr>
          <w:sz w:val="22"/>
          <w:szCs w:val="22"/>
        </w:rPr>
        <w:t xml:space="preserve">to invest in gender equality skills and expertise. </w:t>
      </w:r>
      <w:r w:rsidR="00D94C1A" w:rsidRPr="00F52B3D">
        <w:rPr>
          <w:sz w:val="22"/>
          <w:szCs w:val="22"/>
        </w:rPr>
        <w:t>Th</w:t>
      </w:r>
      <w:r w:rsidRPr="00F52B3D">
        <w:rPr>
          <w:sz w:val="22"/>
          <w:szCs w:val="22"/>
        </w:rPr>
        <w:t xml:space="preserve">ese organisations </w:t>
      </w:r>
      <w:r w:rsidR="00D94C1A" w:rsidRPr="00F52B3D">
        <w:rPr>
          <w:sz w:val="22"/>
          <w:szCs w:val="22"/>
        </w:rPr>
        <w:t xml:space="preserve">acknowledge that to achieve the outcomes and benefits </w:t>
      </w:r>
      <w:r w:rsidRPr="00F52B3D">
        <w:rPr>
          <w:sz w:val="22"/>
          <w:szCs w:val="22"/>
        </w:rPr>
        <w:t>of</w:t>
      </w:r>
      <w:r w:rsidR="00D94C1A" w:rsidRPr="00F52B3D">
        <w:rPr>
          <w:sz w:val="22"/>
          <w:szCs w:val="22"/>
        </w:rPr>
        <w:t xml:space="preserve"> intersectional gender </w:t>
      </w:r>
      <w:r w:rsidR="00D94C1A" w:rsidRPr="00F52B3D">
        <w:rPr>
          <w:sz w:val="22"/>
          <w:szCs w:val="22"/>
        </w:rPr>
        <w:lastRenderedPageBreak/>
        <w:t>equality</w:t>
      </w:r>
      <w:r w:rsidRPr="00F52B3D">
        <w:rPr>
          <w:sz w:val="22"/>
          <w:szCs w:val="22"/>
        </w:rPr>
        <w:t xml:space="preserve">, this work </w:t>
      </w:r>
      <w:r w:rsidR="00D94C1A" w:rsidRPr="00F52B3D">
        <w:rPr>
          <w:sz w:val="22"/>
          <w:szCs w:val="22"/>
        </w:rPr>
        <w:t>need</w:t>
      </w:r>
      <w:r w:rsidRPr="00F52B3D">
        <w:rPr>
          <w:sz w:val="22"/>
          <w:szCs w:val="22"/>
        </w:rPr>
        <w:t>s</w:t>
      </w:r>
      <w:r w:rsidR="00D94C1A" w:rsidRPr="00F52B3D">
        <w:rPr>
          <w:sz w:val="22"/>
          <w:szCs w:val="22"/>
        </w:rPr>
        <w:t xml:space="preserve"> to be funded</w:t>
      </w:r>
      <w:r w:rsidRPr="00F52B3D">
        <w:rPr>
          <w:sz w:val="22"/>
          <w:szCs w:val="22"/>
        </w:rPr>
        <w:t xml:space="preserve"> via</w:t>
      </w:r>
      <w:r w:rsidR="00D94C1A" w:rsidRPr="00F52B3D">
        <w:rPr>
          <w:sz w:val="22"/>
          <w:szCs w:val="22"/>
        </w:rPr>
        <w:t xml:space="preserve"> whole</w:t>
      </w:r>
      <w:r w:rsidRPr="00F52B3D">
        <w:rPr>
          <w:sz w:val="22"/>
          <w:szCs w:val="22"/>
        </w:rPr>
        <w:t>-</w:t>
      </w:r>
      <w:r w:rsidR="00D94C1A" w:rsidRPr="00F52B3D">
        <w:rPr>
          <w:sz w:val="22"/>
          <w:szCs w:val="22"/>
        </w:rPr>
        <w:t>of</w:t>
      </w:r>
      <w:r w:rsidRPr="00F52B3D">
        <w:rPr>
          <w:sz w:val="22"/>
          <w:szCs w:val="22"/>
        </w:rPr>
        <w:t>-</w:t>
      </w:r>
      <w:r w:rsidR="00D94C1A" w:rsidRPr="00F52B3D">
        <w:rPr>
          <w:sz w:val="22"/>
          <w:szCs w:val="22"/>
        </w:rPr>
        <w:t xml:space="preserve">organisation training, </w:t>
      </w:r>
      <w:r w:rsidR="002817FE" w:rsidRPr="00F52B3D">
        <w:rPr>
          <w:sz w:val="22"/>
          <w:szCs w:val="22"/>
        </w:rPr>
        <w:t>in-house</w:t>
      </w:r>
      <w:r w:rsidRPr="00F52B3D">
        <w:rPr>
          <w:sz w:val="22"/>
          <w:szCs w:val="22"/>
        </w:rPr>
        <w:t xml:space="preserve"> gender equality expertise</w:t>
      </w:r>
      <w:r w:rsidR="003A3F5B" w:rsidRPr="00F52B3D">
        <w:rPr>
          <w:sz w:val="22"/>
          <w:szCs w:val="22"/>
        </w:rPr>
        <w:t>,</w:t>
      </w:r>
      <w:r w:rsidRPr="00F52B3D">
        <w:rPr>
          <w:sz w:val="22"/>
          <w:szCs w:val="22"/>
        </w:rPr>
        <w:t xml:space="preserve"> a</w:t>
      </w:r>
      <w:r w:rsidR="003A3F5B" w:rsidRPr="00F52B3D">
        <w:rPr>
          <w:sz w:val="22"/>
          <w:szCs w:val="22"/>
        </w:rPr>
        <w:t>nd</w:t>
      </w:r>
      <w:r w:rsidR="002817FE" w:rsidRPr="00F52B3D">
        <w:rPr>
          <w:sz w:val="22"/>
          <w:szCs w:val="22"/>
        </w:rPr>
        <w:t xml:space="preserve"> consultan</w:t>
      </w:r>
      <w:r w:rsidRPr="00F52B3D">
        <w:rPr>
          <w:sz w:val="22"/>
          <w:szCs w:val="22"/>
        </w:rPr>
        <w:t>t</w:t>
      </w:r>
      <w:r w:rsidR="002817FE" w:rsidRPr="00F52B3D">
        <w:rPr>
          <w:sz w:val="22"/>
          <w:szCs w:val="22"/>
        </w:rPr>
        <w:t>s</w:t>
      </w:r>
      <w:r w:rsidR="003A3F5B" w:rsidRPr="00F52B3D">
        <w:rPr>
          <w:sz w:val="22"/>
          <w:szCs w:val="22"/>
        </w:rPr>
        <w:t xml:space="preserve"> as they build internal expertise</w:t>
      </w:r>
      <w:r w:rsidR="002817FE" w:rsidRPr="00F52B3D">
        <w:rPr>
          <w:sz w:val="22"/>
          <w:szCs w:val="22"/>
        </w:rPr>
        <w:t xml:space="preserve">. </w:t>
      </w:r>
    </w:p>
    <w:p w14:paraId="35D93032" w14:textId="16DC7B71" w:rsidR="002817FE" w:rsidRPr="00F52B3D" w:rsidRDefault="00C12548" w:rsidP="1137305B">
      <w:pPr>
        <w:pStyle w:val="NormalWeb"/>
        <w:shd w:val="clear" w:color="auto" w:fill="FFFFFF" w:themeFill="background1"/>
        <w:rPr>
          <w:sz w:val="22"/>
          <w:szCs w:val="22"/>
        </w:rPr>
      </w:pPr>
      <w:r w:rsidRPr="00F52B3D">
        <w:rPr>
          <w:sz w:val="22"/>
          <w:szCs w:val="22"/>
        </w:rPr>
        <w:t>O</w:t>
      </w:r>
      <w:r w:rsidR="002817FE" w:rsidRPr="00F52B3D">
        <w:rPr>
          <w:sz w:val="22"/>
          <w:szCs w:val="22"/>
        </w:rPr>
        <w:t>rganisations</w:t>
      </w:r>
      <w:r w:rsidRPr="00F52B3D">
        <w:rPr>
          <w:sz w:val="22"/>
          <w:szCs w:val="22"/>
        </w:rPr>
        <w:t xml:space="preserve"> at the other </w:t>
      </w:r>
      <w:r w:rsidR="002817FE" w:rsidRPr="00F52B3D">
        <w:rPr>
          <w:sz w:val="22"/>
          <w:szCs w:val="22"/>
        </w:rPr>
        <w:t xml:space="preserve">end of the continuum </w:t>
      </w:r>
      <w:r w:rsidR="00673BF5" w:rsidRPr="00F52B3D">
        <w:rPr>
          <w:sz w:val="22"/>
          <w:szCs w:val="22"/>
        </w:rPr>
        <w:t>– where GIA</w:t>
      </w:r>
      <w:r w:rsidR="00405EAA">
        <w:rPr>
          <w:sz w:val="22"/>
          <w:szCs w:val="22"/>
        </w:rPr>
        <w:t>s</w:t>
      </w:r>
      <w:r w:rsidRPr="00F52B3D">
        <w:rPr>
          <w:sz w:val="22"/>
          <w:szCs w:val="22"/>
        </w:rPr>
        <w:t xml:space="preserve"> are</w:t>
      </w:r>
      <w:r w:rsidR="00673BF5" w:rsidRPr="00F52B3D">
        <w:rPr>
          <w:sz w:val="22"/>
          <w:szCs w:val="22"/>
        </w:rPr>
        <w:t xml:space="preserve"> prescriptive, compliance</w:t>
      </w:r>
      <w:r w:rsidR="00405EAA">
        <w:rPr>
          <w:sz w:val="22"/>
          <w:szCs w:val="22"/>
        </w:rPr>
        <w:t>-</w:t>
      </w:r>
      <w:r w:rsidR="00673BF5" w:rsidRPr="00F52B3D">
        <w:rPr>
          <w:sz w:val="22"/>
          <w:szCs w:val="22"/>
        </w:rPr>
        <w:t xml:space="preserve">driven activities and equality work </w:t>
      </w:r>
      <w:r w:rsidRPr="00F52B3D">
        <w:rPr>
          <w:sz w:val="22"/>
          <w:szCs w:val="22"/>
        </w:rPr>
        <w:t>i</w:t>
      </w:r>
      <w:r w:rsidR="00673BF5" w:rsidRPr="00F52B3D">
        <w:rPr>
          <w:sz w:val="22"/>
          <w:szCs w:val="22"/>
        </w:rPr>
        <w:t>s not</w:t>
      </w:r>
      <w:r w:rsidRPr="00F52B3D">
        <w:rPr>
          <w:sz w:val="22"/>
          <w:szCs w:val="22"/>
        </w:rPr>
        <w:t xml:space="preserve"> defined as an organisational</w:t>
      </w:r>
      <w:r w:rsidR="00673BF5" w:rsidRPr="00F52B3D">
        <w:rPr>
          <w:sz w:val="22"/>
          <w:szCs w:val="22"/>
        </w:rPr>
        <w:t xml:space="preserve"> enabl</w:t>
      </w:r>
      <w:r w:rsidRPr="00F52B3D">
        <w:rPr>
          <w:sz w:val="22"/>
          <w:szCs w:val="22"/>
        </w:rPr>
        <w:t>er</w:t>
      </w:r>
      <w:r w:rsidR="00673BF5" w:rsidRPr="00F52B3D">
        <w:rPr>
          <w:sz w:val="22"/>
          <w:szCs w:val="22"/>
        </w:rPr>
        <w:t xml:space="preserve"> – </w:t>
      </w:r>
      <w:r w:rsidRPr="00F52B3D">
        <w:rPr>
          <w:sz w:val="22"/>
          <w:szCs w:val="22"/>
        </w:rPr>
        <w:t>are less likely to</w:t>
      </w:r>
      <w:r w:rsidR="00673BF5" w:rsidRPr="00F52B3D">
        <w:rPr>
          <w:sz w:val="22"/>
          <w:szCs w:val="22"/>
        </w:rPr>
        <w:t xml:space="preserve"> invest in the resources and skills required to achieve the outcomes of the </w:t>
      </w:r>
      <w:r w:rsidR="00405EAA">
        <w:rPr>
          <w:sz w:val="22"/>
          <w:szCs w:val="22"/>
        </w:rPr>
        <w:t xml:space="preserve">GE </w:t>
      </w:r>
      <w:r w:rsidR="00673BF5" w:rsidRPr="00F52B3D">
        <w:rPr>
          <w:sz w:val="22"/>
          <w:szCs w:val="22"/>
        </w:rPr>
        <w:t>Act.</w:t>
      </w:r>
    </w:p>
    <w:p w14:paraId="25E35BBE" w14:textId="2DC6EA7E" w:rsidR="00C034EE" w:rsidRDefault="00C034EE" w:rsidP="003A3F5B">
      <w:pPr>
        <w:pStyle w:val="Heading3"/>
        <w:spacing w:before="0"/>
      </w:pPr>
      <w:r>
        <w:t>Gendered nature of gender equality work</w:t>
      </w:r>
    </w:p>
    <w:p w14:paraId="089B8D6F" w14:textId="77777777" w:rsidR="006B2330" w:rsidRPr="00F52B3D" w:rsidRDefault="00A757D9" w:rsidP="006B2330">
      <w:pPr>
        <w:pStyle w:val="NormalWeb"/>
        <w:shd w:val="clear" w:color="auto" w:fill="FFFFFF"/>
        <w:spacing w:before="0" w:beforeAutospacing="0"/>
        <w:rPr>
          <w:sz w:val="22"/>
          <w:szCs w:val="22"/>
        </w:rPr>
      </w:pPr>
      <w:r w:rsidRPr="00F52B3D">
        <w:rPr>
          <w:sz w:val="22"/>
          <w:szCs w:val="22"/>
        </w:rPr>
        <w:t>Throughout the interviews and focus group</w:t>
      </w:r>
      <w:r w:rsidR="00275DB4" w:rsidRPr="00F52B3D">
        <w:rPr>
          <w:sz w:val="22"/>
          <w:szCs w:val="22"/>
        </w:rPr>
        <w:t>s</w:t>
      </w:r>
      <w:r w:rsidRPr="00F52B3D">
        <w:rPr>
          <w:sz w:val="22"/>
          <w:szCs w:val="22"/>
        </w:rPr>
        <w:t xml:space="preserve">, another observation about the </w:t>
      </w:r>
      <w:r w:rsidR="00024445" w:rsidRPr="00F52B3D">
        <w:rPr>
          <w:sz w:val="22"/>
          <w:szCs w:val="22"/>
        </w:rPr>
        <w:t>value placed on gender equality skills and activity</w:t>
      </w:r>
      <w:r w:rsidRPr="00F52B3D">
        <w:rPr>
          <w:sz w:val="22"/>
          <w:szCs w:val="22"/>
        </w:rPr>
        <w:t xml:space="preserve"> was evident. Consultation participants </w:t>
      </w:r>
      <w:r w:rsidR="00AA0FAF" w:rsidRPr="00F52B3D">
        <w:rPr>
          <w:sz w:val="22"/>
          <w:szCs w:val="22"/>
        </w:rPr>
        <w:t>were</w:t>
      </w:r>
      <w:r w:rsidRPr="00F52B3D">
        <w:rPr>
          <w:sz w:val="22"/>
          <w:szCs w:val="22"/>
        </w:rPr>
        <w:t xml:space="preserve"> overwhelmingly women, i</w:t>
      </w:r>
      <w:r w:rsidR="00AA0FAF" w:rsidRPr="00F52B3D">
        <w:rPr>
          <w:sz w:val="22"/>
          <w:szCs w:val="22"/>
        </w:rPr>
        <w:t>n short</w:t>
      </w:r>
      <w:r w:rsidR="004D7658" w:rsidRPr="00F52B3D">
        <w:rPr>
          <w:sz w:val="22"/>
          <w:szCs w:val="22"/>
        </w:rPr>
        <w:t>-</w:t>
      </w:r>
      <w:r w:rsidR="00AA0FAF" w:rsidRPr="00F52B3D">
        <w:rPr>
          <w:sz w:val="22"/>
          <w:szCs w:val="22"/>
        </w:rPr>
        <w:t>term contracts or part</w:t>
      </w:r>
      <w:r w:rsidR="004D7658" w:rsidRPr="00F52B3D">
        <w:rPr>
          <w:sz w:val="22"/>
          <w:szCs w:val="22"/>
        </w:rPr>
        <w:t>-</w:t>
      </w:r>
      <w:r w:rsidR="00AA0FAF" w:rsidRPr="00F52B3D">
        <w:rPr>
          <w:sz w:val="22"/>
          <w:szCs w:val="22"/>
        </w:rPr>
        <w:t>time roles</w:t>
      </w:r>
      <w:r w:rsidRPr="00F52B3D">
        <w:rPr>
          <w:sz w:val="22"/>
          <w:szCs w:val="22"/>
        </w:rPr>
        <w:t>, did</w:t>
      </w:r>
      <w:r w:rsidR="00AA0FAF" w:rsidRPr="00F52B3D">
        <w:rPr>
          <w:sz w:val="22"/>
          <w:szCs w:val="22"/>
        </w:rPr>
        <w:t xml:space="preserve"> not have </w:t>
      </w:r>
      <w:r w:rsidR="000C15C2" w:rsidRPr="00F52B3D">
        <w:rPr>
          <w:sz w:val="22"/>
          <w:szCs w:val="22"/>
        </w:rPr>
        <w:t xml:space="preserve">the </w:t>
      </w:r>
      <w:r w:rsidR="00AA0FAF" w:rsidRPr="00F52B3D">
        <w:rPr>
          <w:sz w:val="22"/>
          <w:szCs w:val="22"/>
        </w:rPr>
        <w:t xml:space="preserve">authority to manage resources </w:t>
      </w:r>
      <w:r w:rsidRPr="00F52B3D">
        <w:rPr>
          <w:sz w:val="22"/>
          <w:szCs w:val="22"/>
        </w:rPr>
        <w:t>and were most commonly doing g</w:t>
      </w:r>
      <w:r w:rsidR="00AA0FAF" w:rsidRPr="00F52B3D">
        <w:rPr>
          <w:sz w:val="22"/>
          <w:szCs w:val="22"/>
        </w:rPr>
        <w:t xml:space="preserve">ender equality work in addition to </w:t>
      </w:r>
      <w:r w:rsidR="00EF0445" w:rsidRPr="00F52B3D">
        <w:rPr>
          <w:sz w:val="22"/>
          <w:szCs w:val="22"/>
        </w:rPr>
        <w:t>their</w:t>
      </w:r>
      <w:r w:rsidR="00AA0FAF" w:rsidRPr="00F52B3D">
        <w:rPr>
          <w:sz w:val="22"/>
          <w:szCs w:val="22"/>
        </w:rPr>
        <w:t xml:space="preserve"> current job</w:t>
      </w:r>
      <w:r w:rsidRPr="00F52B3D">
        <w:rPr>
          <w:sz w:val="22"/>
          <w:szCs w:val="22"/>
        </w:rPr>
        <w:t>.</w:t>
      </w:r>
      <w:r w:rsidR="006B2330" w:rsidRPr="00F52B3D">
        <w:rPr>
          <w:sz w:val="22"/>
          <w:szCs w:val="22"/>
        </w:rPr>
        <w:t xml:space="preserve"> </w:t>
      </w:r>
    </w:p>
    <w:p w14:paraId="21B724B9" w14:textId="734BA604" w:rsidR="006B2330" w:rsidRPr="00F52B3D" w:rsidRDefault="006B2330" w:rsidP="006B2330">
      <w:pPr>
        <w:pStyle w:val="NormalWeb"/>
        <w:shd w:val="clear" w:color="auto" w:fill="FFFFFF"/>
        <w:spacing w:before="0" w:beforeAutospacing="0"/>
        <w:rPr>
          <w:sz w:val="22"/>
          <w:szCs w:val="22"/>
        </w:rPr>
      </w:pPr>
      <w:r w:rsidRPr="00F52B3D">
        <w:rPr>
          <w:sz w:val="22"/>
          <w:szCs w:val="22"/>
        </w:rPr>
        <w:t>Indeed, t</w:t>
      </w:r>
      <w:r w:rsidR="00E87BEA" w:rsidRPr="00F52B3D">
        <w:rPr>
          <w:sz w:val="22"/>
          <w:szCs w:val="22"/>
        </w:rPr>
        <w:t>he workforce that driv</w:t>
      </w:r>
      <w:r w:rsidRPr="00F52B3D">
        <w:rPr>
          <w:sz w:val="22"/>
          <w:szCs w:val="22"/>
        </w:rPr>
        <w:t>es</w:t>
      </w:r>
      <w:r w:rsidR="00E87BEA" w:rsidRPr="00F52B3D">
        <w:rPr>
          <w:sz w:val="22"/>
          <w:szCs w:val="22"/>
        </w:rPr>
        <w:t xml:space="preserve"> the implement</w:t>
      </w:r>
      <w:r w:rsidR="00405EAA">
        <w:rPr>
          <w:sz w:val="22"/>
          <w:szCs w:val="22"/>
        </w:rPr>
        <w:t>ation</w:t>
      </w:r>
      <w:r w:rsidR="00E87BEA" w:rsidRPr="00F52B3D">
        <w:rPr>
          <w:sz w:val="22"/>
          <w:szCs w:val="22"/>
        </w:rPr>
        <w:t xml:space="preserve"> of the Act</w:t>
      </w:r>
      <w:r w:rsidRPr="00F52B3D">
        <w:rPr>
          <w:sz w:val="22"/>
          <w:szCs w:val="22"/>
        </w:rPr>
        <w:t xml:space="preserve"> </w:t>
      </w:r>
      <w:r w:rsidR="00405EAA">
        <w:rPr>
          <w:sz w:val="22"/>
          <w:szCs w:val="22"/>
        </w:rPr>
        <w:t>is</w:t>
      </w:r>
      <w:r w:rsidR="00405EAA" w:rsidRPr="00F52B3D">
        <w:rPr>
          <w:sz w:val="22"/>
          <w:szCs w:val="22"/>
        </w:rPr>
        <w:t xml:space="preserve"> </w:t>
      </w:r>
      <w:r w:rsidR="00E87BEA" w:rsidRPr="00F52B3D">
        <w:rPr>
          <w:sz w:val="22"/>
          <w:szCs w:val="22"/>
        </w:rPr>
        <w:t>subject to the same drivers of inequality that they are trying to redress – poor reward and recognition, low resourcing</w:t>
      </w:r>
      <w:r w:rsidR="00C91FBB">
        <w:rPr>
          <w:sz w:val="22"/>
          <w:szCs w:val="22"/>
        </w:rPr>
        <w:t>,</w:t>
      </w:r>
      <w:r w:rsidR="00E87BEA" w:rsidRPr="00F52B3D">
        <w:rPr>
          <w:sz w:val="22"/>
          <w:szCs w:val="22"/>
        </w:rPr>
        <w:t xml:space="preserve"> and assumption</w:t>
      </w:r>
      <w:r w:rsidRPr="00F52B3D">
        <w:rPr>
          <w:sz w:val="22"/>
          <w:szCs w:val="22"/>
        </w:rPr>
        <w:t>s</w:t>
      </w:r>
      <w:r w:rsidR="00E87BEA" w:rsidRPr="00F52B3D">
        <w:rPr>
          <w:sz w:val="22"/>
          <w:szCs w:val="22"/>
        </w:rPr>
        <w:t xml:space="preserve"> that this work does not require specialised skills or funding. </w:t>
      </w:r>
    </w:p>
    <w:p w14:paraId="31EDD06B" w14:textId="03C033D6" w:rsidR="00916991" w:rsidRPr="00F52B3D" w:rsidRDefault="00A757D9" w:rsidP="006B2330">
      <w:pPr>
        <w:pStyle w:val="NormalWeb"/>
        <w:shd w:val="clear" w:color="auto" w:fill="FFFFFF"/>
        <w:spacing w:before="0" w:beforeAutospacing="0"/>
        <w:rPr>
          <w:sz w:val="22"/>
          <w:szCs w:val="22"/>
        </w:rPr>
      </w:pPr>
      <w:r w:rsidRPr="00F52B3D">
        <w:rPr>
          <w:sz w:val="22"/>
          <w:szCs w:val="22"/>
        </w:rPr>
        <w:t xml:space="preserve">This project was not designed to </w:t>
      </w:r>
      <w:r w:rsidR="009502A6" w:rsidRPr="00F52B3D">
        <w:rPr>
          <w:sz w:val="22"/>
          <w:szCs w:val="22"/>
        </w:rPr>
        <w:t>undertak</w:t>
      </w:r>
      <w:r w:rsidRPr="00F52B3D">
        <w:rPr>
          <w:sz w:val="22"/>
          <w:szCs w:val="22"/>
        </w:rPr>
        <w:t>e</w:t>
      </w:r>
      <w:r w:rsidR="009502A6" w:rsidRPr="00F52B3D">
        <w:rPr>
          <w:sz w:val="22"/>
          <w:szCs w:val="22"/>
        </w:rPr>
        <w:t xml:space="preserve"> a workforce gender analysis of </w:t>
      </w:r>
      <w:r w:rsidR="007C30A4" w:rsidRPr="00F52B3D">
        <w:rPr>
          <w:sz w:val="22"/>
          <w:szCs w:val="22"/>
        </w:rPr>
        <w:t>gender equality workers</w:t>
      </w:r>
      <w:r w:rsidRPr="00F52B3D">
        <w:rPr>
          <w:sz w:val="22"/>
          <w:szCs w:val="22"/>
        </w:rPr>
        <w:t xml:space="preserve"> and </w:t>
      </w:r>
      <w:r w:rsidR="007C30A4" w:rsidRPr="00F52B3D">
        <w:rPr>
          <w:sz w:val="22"/>
          <w:szCs w:val="22"/>
        </w:rPr>
        <w:t>employees in public entities</w:t>
      </w:r>
      <w:r w:rsidRPr="00F52B3D">
        <w:rPr>
          <w:sz w:val="22"/>
          <w:szCs w:val="22"/>
        </w:rPr>
        <w:t xml:space="preserve">. However, if the </w:t>
      </w:r>
      <w:r w:rsidR="007C30A4" w:rsidRPr="00F52B3D">
        <w:rPr>
          <w:sz w:val="22"/>
          <w:szCs w:val="22"/>
        </w:rPr>
        <w:t>Commission</w:t>
      </w:r>
      <w:r w:rsidRPr="00F52B3D">
        <w:rPr>
          <w:sz w:val="22"/>
          <w:szCs w:val="22"/>
        </w:rPr>
        <w:t xml:space="preserve"> is to realise the intent of the</w:t>
      </w:r>
      <w:r w:rsidR="001F12DB">
        <w:rPr>
          <w:sz w:val="22"/>
          <w:szCs w:val="22"/>
        </w:rPr>
        <w:t xml:space="preserve"> GE</w:t>
      </w:r>
      <w:r w:rsidRPr="00F52B3D">
        <w:rPr>
          <w:sz w:val="22"/>
          <w:szCs w:val="22"/>
        </w:rPr>
        <w:t xml:space="preserve"> Act, </w:t>
      </w:r>
      <w:r w:rsidR="007C30A4" w:rsidRPr="00F52B3D">
        <w:rPr>
          <w:sz w:val="22"/>
          <w:szCs w:val="22"/>
        </w:rPr>
        <w:t>the gender segregation and composition of th</w:t>
      </w:r>
      <w:r w:rsidRPr="00F52B3D">
        <w:rPr>
          <w:sz w:val="22"/>
          <w:szCs w:val="22"/>
        </w:rPr>
        <w:t>is workforce</w:t>
      </w:r>
      <w:r w:rsidR="006A7257" w:rsidRPr="00F52B3D">
        <w:rPr>
          <w:sz w:val="22"/>
          <w:szCs w:val="22"/>
        </w:rPr>
        <w:t>, which reinforces inequality,</w:t>
      </w:r>
      <w:r w:rsidR="006A7257" w:rsidRPr="00F52B3D" w:rsidDel="00A757D9">
        <w:rPr>
          <w:sz w:val="22"/>
          <w:szCs w:val="22"/>
        </w:rPr>
        <w:t xml:space="preserve"> </w:t>
      </w:r>
      <w:r w:rsidRPr="00F52B3D">
        <w:rPr>
          <w:sz w:val="22"/>
          <w:szCs w:val="22"/>
        </w:rPr>
        <w:t>must be</w:t>
      </w:r>
      <w:r w:rsidR="00271F13" w:rsidRPr="00F52B3D">
        <w:rPr>
          <w:sz w:val="22"/>
          <w:szCs w:val="22"/>
        </w:rPr>
        <w:t xml:space="preserve"> </w:t>
      </w:r>
      <w:r w:rsidRPr="00F52B3D">
        <w:rPr>
          <w:sz w:val="22"/>
          <w:szCs w:val="22"/>
        </w:rPr>
        <w:t>ad</w:t>
      </w:r>
      <w:r w:rsidR="00271F13" w:rsidRPr="00F52B3D">
        <w:rPr>
          <w:sz w:val="22"/>
          <w:szCs w:val="22"/>
        </w:rPr>
        <w:t>dress</w:t>
      </w:r>
      <w:r w:rsidRPr="00F52B3D">
        <w:rPr>
          <w:sz w:val="22"/>
          <w:szCs w:val="22"/>
        </w:rPr>
        <w:t>ed</w:t>
      </w:r>
      <w:r w:rsidR="00916991" w:rsidRPr="00F52B3D">
        <w:rPr>
          <w:sz w:val="22"/>
          <w:szCs w:val="22"/>
        </w:rPr>
        <w:t xml:space="preserve">. </w:t>
      </w:r>
    </w:p>
    <w:p w14:paraId="0BDCB70B" w14:textId="529E2560" w:rsidR="00460BDC" w:rsidRPr="00540B70" w:rsidRDefault="00EF0445" w:rsidP="00C034EE">
      <w:pPr>
        <w:pStyle w:val="Heading2"/>
        <w:rPr>
          <w:rFonts w:eastAsia="Times New Roman"/>
        </w:rPr>
      </w:pPr>
      <w:bookmarkStart w:id="26" w:name="_Toc96348292"/>
      <w:r w:rsidRPr="00540B70">
        <w:rPr>
          <w:rFonts w:eastAsia="Times New Roman"/>
        </w:rPr>
        <w:t xml:space="preserve">Role of the </w:t>
      </w:r>
      <w:r w:rsidR="002058EB" w:rsidRPr="00540B70">
        <w:rPr>
          <w:rFonts w:eastAsia="Times New Roman"/>
        </w:rPr>
        <w:t>r</w:t>
      </w:r>
      <w:r w:rsidRPr="00540B70">
        <w:rPr>
          <w:rFonts w:eastAsia="Times New Roman"/>
        </w:rPr>
        <w:t xml:space="preserve">egulator </w:t>
      </w:r>
      <w:r w:rsidR="00C034EE" w:rsidRPr="00540B70">
        <w:rPr>
          <w:rFonts w:eastAsia="Times New Roman"/>
        </w:rPr>
        <w:t>–</w:t>
      </w:r>
      <w:r w:rsidRPr="00540B70">
        <w:rPr>
          <w:rFonts w:eastAsia="Times New Roman"/>
        </w:rPr>
        <w:t xml:space="preserve"> </w:t>
      </w:r>
      <w:r w:rsidR="00C034EE" w:rsidRPr="00540B70">
        <w:rPr>
          <w:rFonts w:eastAsia="Times New Roman"/>
        </w:rPr>
        <w:t>The Commission</w:t>
      </w:r>
      <w:r w:rsidR="00460BDC" w:rsidRPr="00540B70">
        <w:rPr>
          <w:rFonts w:eastAsia="Times New Roman"/>
        </w:rPr>
        <w:t xml:space="preserve"> and the Commissioner</w:t>
      </w:r>
      <w:bookmarkEnd w:id="26"/>
    </w:p>
    <w:p w14:paraId="456F8C6F" w14:textId="382CDE4A" w:rsidR="00325573" w:rsidRDefault="00483F02" w:rsidP="00635F96">
      <w:r w:rsidRPr="00540B70">
        <w:t>The Commission</w:t>
      </w:r>
      <w:r w:rsidR="002F410A" w:rsidRPr="00540B70">
        <w:t>’s role</w:t>
      </w:r>
      <w:r w:rsidRPr="00540B70">
        <w:t xml:space="preserve"> </w:t>
      </w:r>
      <w:r w:rsidR="006E107D" w:rsidRPr="00540B70">
        <w:t>was regularly raised</w:t>
      </w:r>
      <w:r w:rsidR="002F410A" w:rsidRPr="00540B70">
        <w:t xml:space="preserve"> throughout the consultation</w:t>
      </w:r>
      <w:r w:rsidR="006E107D" w:rsidRPr="00540B70">
        <w:t xml:space="preserve"> </w:t>
      </w:r>
      <w:r w:rsidR="00AE0737">
        <w:t>by those we interview</w:t>
      </w:r>
      <w:r w:rsidR="00777543">
        <w:t>ed</w:t>
      </w:r>
      <w:r w:rsidR="00AE0737">
        <w:t xml:space="preserve">. </w:t>
      </w:r>
      <w:r w:rsidR="002417E9">
        <w:t xml:space="preserve">Linked to the need for access to expertise and support, participants regularly talked about wanting </w:t>
      </w:r>
      <w:r w:rsidR="006E107D" w:rsidRPr="00540B70">
        <w:t xml:space="preserve">access to </w:t>
      </w:r>
      <w:r w:rsidR="002417E9">
        <w:t xml:space="preserve">the Commission for </w:t>
      </w:r>
      <w:r w:rsidR="006E107D" w:rsidRPr="00540B70">
        <w:t>gender equality knowledge</w:t>
      </w:r>
      <w:r w:rsidR="002F410A" w:rsidRPr="00540B70">
        <w:t>,</w:t>
      </w:r>
      <w:r w:rsidR="006E107D" w:rsidRPr="00540B70">
        <w:t xml:space="preserve"> skills</w:t>
      </w:r>
      <w:r w:rsidR="00C91FBB">
        <w:t>,</w:t>
      </w:r>
      <w:r w:rsidR="002F410A" w:rsidRPr="00540B70">
        <w:t xml:space="preserve"> and guidance</w:t>
      </w:r>
      <w:r w:rsidR="006E107D" w:rsidRPr="00540B70">
        <w:t>.</w:t>
      </w:r>
      <w:r w:rsidR="002F52A3" w:rsidRPr="00540B70">
        <w:t xml:space="preserve"> </w:t>
      </w:r>
      <w:r w:rsidR="003C5333" w:rsidRPr="00540B70">
        <w:t xml:space="preserve">Defined entities </w:t>
      </w:r>
      <w:r w:rsidR="002F52A3" w:rsidRPr="00540B70">
        <w:t>view the Commission</w:t>
      </w:r>
      <w:r w:rsidR="00FD31E0" w:rsidRPr="00540B70">
        <w:t>er and</w:t>
      </w:r>
      <w:r w:rsidR="001F12DB">
        <w:t xml:space="preserve"> the Commission </w:t>
      </w:r>
      <w:r w:rsidR="002F52A3" w:rsidRPr="00540B70">
        <w:t>as a highly</w:t>
      </w:r>
      <w:r w:rsidR="00325573" w:rsidRPr="00540B70">
        <w:t xml:space="preserve"> credib</w:t>
      </w:r>
      <w:r w:rsidR="002F52A3" w:rsidRPr="00540B70">
        <w:t>le source of information</w:t>
      </w:r>
      <w:r w:rsidR="00FD31E0" w:rsidRPr="00540B70">
        <w:t xml:space="preserve"> and</w:t>
      </w:r>
      <w:r w:rsidR="002F52A3" w:rsidRPr="00540B70">
        <w:t xml:space="preserve"> advice</w:t>
      </w:r>
      <w:r w:rsidR="00635F96" w:rsidRPr="00540B70">
        <w:t>.</w:t>
      </w:r>
    </w:p>
    <w:p w14:paraId="0EE64F22" w14:textId="2A997D3D" w:rsidR="0098012F" w:rsidRPr="00540B70" w:rsidRDefault="0098012F" w:rsidP="00635F96">
      <w:r>
        <w:t xml:space="preserve">This report does not seek to provide advice and direction to the Commission on what </w:t>
      </w:r>
      <w:r w:rsidR="001F12DB">
        <w:t xml:space="preserve">its </w:t>
      </w:r>
      <w:r>
        <w:t>role is or should be, only to highlight the feedback on the Commission’s work and resourcing</w:t>
      </w:r>
      <w:r w:rsidR="005049A0">
        <w:t xml:space="preserve"> and what opportunities there may be going forward</w:t>
      </w:r>
      <w:r>
        <w:t>.</w:t>
      </w:r>
    </w:p>
    <w:p w14:paraId="205A60BC" w14:textId="4A2C6A98" w:rsidR="00863CE0" w:rsidRPr="00540B70" w:rsidRDefault="00635F96" w:rsidP="00325573">
      <w:r w:rsidRPr="00540B70">
        <w:t xml:space="preserve">Defined </w:t>
      </w:r>
      <w:r w:rsidR="00C21B9C" w:rsidRPr="00540B70">
        <w:t xml:space="preserve">entities </w:t>
      </w:r>
      <w:r w:rsidR="00DD3451">
        <w:t>are seeking</w:t>
      </w:r>
      <w:r w:rsidR="00DD3451" w:rsidRPr="00540B70">
        <w:t xml:space="preserve"> </w:t>
      </w:r>
      <w:r w:rsidRPr="00540B70">
        <w:t>greater access to the Commission</w:t>
      </w:r>
      <w:r w:rsidR="00DD3451">
        <w:t>. The access that is being sought</w:t>
      </w:r>
      <w:r w:rsidRPr="00540B70">
        <w:t xml:space="preserve"> </w:t>
      </w:r>
      <w:r w:rsidR="00DD3451">
        <w:t xml:space="preserve">depends </w:t>
      </w:r>
      <w:r w:rsidR="00C21B9C" w:rsidRPr="00540B70">
        <w:t xml:space="preserve">upon </w:t>
      </w:r>
      <w:r w:rsidR="00863CE0" w:rsidRPr="00540B70">
        <w:t>where the entity is on the continuum of readiness</w:t>
      </w:r>
      <w:r w:rsidR="00C91FBB">
        <w:t>,</w:t>
      </w:r>
      <w:r w:rsidR="00863CE0" w:rsidRPr="00540B70">
        <w:t xml:space="preserve"> and</w:t>
      </w:r>
      <w:r w:rsidR="00DD3451">
        <w:t xml:space="preserve"> the</w:t>
      </w:r>
      <w:r w:rsidR="00863CE0" w:rsidRPr="00540B70">
        <w:t xml:space="preserve"> value that they place on gender equality skill</w:t>
      </w:r>
      <w:r w:rsidRPr="00540B70">
        <w:t>s and expertise</w:t>
      </w:r>
      <w:r w:rsidR="00DD3451">
        <w:t xml:space="preserve">. The </w:t>
      </w:r>
      <w:r w:rsidRPr="00540B70">
        <w:t xml:space="preserve">support needs </w:t>
      </w:r>
      <w:r w:rsidR="00DD3451">
        <w:t xml:space="preserve">that are being sought from the Commission </w:t>
      </w:r>
      <w:r w:rsidRPr="00540B70">
        <w:t xml:space="preserve">are either: </w:t>
      </w:r>
    </w:p>
    <w:p w14:paraId="78DA2849" w14:textId="4F6BE2E0" w:rsidR="00863CE0" w:rsidRPr="00540B70" w:rsidRDefault="00C91FBB" w:rsidP="00863CE0">
      <w:pPr>
        <w:pStyle w:val="ListParagraph"/>
        <w:numPr>
          <w:ilvl w:val="0"/>
          <w:numId w:val="25"/>
        </w:numPr>
      </w:pPr>
      <w:r>
        <w:t>m</w:t>
      </w:r>
      <w:r w:rsidR="00863CE0" w:rsidRPr="00540B70">
        <w:t>ore prescriptive advice and stepped</w:t>
      </w:r>
      <w:r>
        <w:t>-</w:t>
      </w:r>
      <w:r w:rsidR="00863CE0" w:rsidRPr="00540B70">
        <w:t xml:space="preserve">out resources </w:t>
      </w:r>
      <w:r w:rsidR="0032377D" w:rsidRPr="00540B70">
        <w:t>for the entit</w:t>
      </w:r>
      <w:r>
        <w:t>y’</w:t>
      </w:r>
      <w:r w:rsidR="0032377D" w:rsidRPr="00540B70">
        <w:t>s sector</w:t>
      </w:r>
      <w:r w:rsidR="00635F96" w:rsidRPr="00540B70">
        <w:t>, size and scale,</w:t>
      </w:r>
      <w:r w:rsidR="0032377D" w:rsidRPr="00540B70">
        <w:t xml:space="preserve"> and geographic location</w:t>
      </w:r>
      <w:r>
        <w:t>; or</w:t>
      </w:r>
      <w:r w:rsidR="0032377D" w:rsidRPr="00540B70">
        <w:t xml:space="preserve"> </w:t>
      </w:r>
    </w:p>
    <w:p w14:paraId="2B2F1128" w14:textId="78EB80CA" w:rsidR="009D7AE0" w:rsidRPr="00540B70" w:rsidRDefault="00C91FBB" w:rsidP="00863CE0">
      <w:pPr>
        <w:pStyle w:val="ListParagraph"/>
        <w:numPr>
          <w:ilvl w:val="0"/>
          <w:numId w:val="25"/>
        </w:numPr>
      </w:pPr>
      <w:r>
        <w:t>f</w:t>
      </w:r>
      <w:r w:rsidR="0032377D" w:rsidRPr="00540B70">
        <w:t xml:space="preserve">eedback and strategic advice on gender equality and its application to the </w:t>
      </w:r>
      <w:r w:rsidR="00601466" w:rsidRPr="00540B70">
        <w:t>entity’s</w:t>
      </w:r>
      <w:r w:rsidR="0032377D" w:rsidRPr="00540B70">
        <w:t xml:space="preserve"> specific context and goals</w:t>
      </w:r>
      <w:r w:rsidR="00635F96" w:rsidRPr="00540B70">
        <w:t>.</w:t>
      </w:r>
    </w:p>
    <w:p w14:paraId="6204BBBB" w14:textId="509B31A8" w:rsidR="00371ACF" w:rsidRPr="00540B70" w:rsidRDefault="009F2C76" w:rsidP="009D7AE0">
      <w:r w:rsidRPr="00540B70">
        <w:t xml:space="preserve">The Commissioner was established as a regulator of the </w:t>
      </w:r>
      <w:r w:rsidR="001F12DB">
        <w:t>GE</w:t>
      </w:r>
      <w:r w:rsidRPr="00540B70">
        <w:t xml:space="preserve"> Act and </w:t>
      </w:r>
      <w:r w:rsidR="004A36E1" w:rsidRPr="00540B70">
        <w:t>has</w:t>
      </w:r>
      <w:r w:rsidR="00FC2345" w:rsidRPr="00540B70">
        <w:t xml:space="preserve"> </w:t>
      </w:r>
      <w:r w:rsidR="004A36E1" w:rsidRPr="00540B70">
        <w:t xml:space="preserve">legislative </w:t>
      </w:r>
      <w:r w:rsidR="00FC2345" w:rsidRPr="00540B70">
        <w:t xml:space="preserve">powers </w:t>
      </w:r>
      <w:r w:rsidR="004A36E1" w:rsidRPr="00540B70">
        <w:t xml:space="preserve">to </w:t>
      </w:r>
      <w:r w:rsidR="00FC2345" w:rsidRPr="00540B70">
        <w:t>enabl</w:t>
      </w:r>
      <w:r w:rsidR="004A36E1" w:rsidRPr="00540B70">
        <w:t>e</w:t>
      </w:r>
      <w:r w:rsidR="00FC2345" w:rsidRPr="00540B70">
        <w:t xml:space="preserve"> and require</w:t>
      </w:r>
      <w:r w:rsidR="00604BB1" w:rsidRPr="00540B70">
        <w:t xml:space="preserve"> </w:t>
      </w:r>
      <w:r w:rsidR="004A36E1" w:rsidRPr="00540B70">
        <w:t>compliance with the Act</w:t>
      </w:r>
      <w:r w:rsidR="00371ACF" w:rsidRPr="00540B70">
        <w:t>.</w:t>
      </w:r>
    </w:p>
    <w:p w14:paraId="447565A0" w14:textId="6CCCD897" w:rsidR="00371ACF" w:rsidRPr="00540B70" w:rsidRDefault="00371ACF" w:rsidP="009D7AE0">
      <w:r w:rsidRPr="00540B70">
        <w:t>This report highlights that in the first instance, a number of the key functions of the Commissioner are about developing the public sector</w:t>
      </w:r>
      <w:r w:rsidR="00405EAA">
        <w:t>’</w:t>
      </w:r>
      <w:r w:rsidRPr="00540B70">
        <w:t>s capacity and capability when it comes to gender equality</w:t>
      </w:r>
      <w:r w:rsidR="006A4D40">
        <w:t>,</w:t>
      </w:r>
      <w:r w:rsidRPr="00540B70">
        <w:t xml:space="preserve"> and the</w:t>
      </w:r>
      <w:r w:rsidR="008646C8">
        <w:t xml:space="preserve"> GE</w:t>
      </w:r>
      <w:r w:rsidRPr="00540B70">
        <w:t xml:space="preserve"> Act uses such words as </w:t>
      </w:r>
      <w:r w:rsidRPr="00540B70">
        <w:rPr>
          <w:i/>
          <w:iCs/>
        </w:rPr>
        <w:t>promote</w:t>
      </w:r>
      <w:r w:rsidRPr="00540B70">
        <w:t xml:space="preserve">, </w:t>
      </w:r>
      <w:r w:rsidRPr="00540B70">
        <w:rPr>
          <w:i/>
          <w:iCs/>
        </w:rPr>
        <w:t>support</w:t>
      </w:r>
      <w:r w:rsidRPr="00540B70">
        <w:t xml:space="preserve">, </w:t>
      </w:r>
      <w:r w:rsidRPr="00540B70">
        <w:rPr>
          <w:i/>
          <w:iCs/>
        </w:rPr>
        <w:t>provide advice</w:t>
      </w:r>
      <w:r w:rsidRPr="00540B70">
        <w:t xml:space="preserve">, </w:t>
      </w:r>
      <w:r w:rsidR="00BF3299" w:rsidRPr="00540B70">
        <w:rPr>
          <w:i/>
          <w:iCs/>
        </w:rPr>
        <w:t>undertake information and education programs</w:t>
      </w:r>
      <w:r w:rsidR="00BF3299" w:rsidRPr="00540B70">
        <w:t xml:space="preserve">, </w:t>
      </w:r>
      <w:r w:rsidR="00BF3299" w:rsidRPr="00540B70">
        <w:rPr>
          <w:i/>
          <w:iCs/>
        </w:rPr>
        <w:t>encourage best practice</w:t>
      </w:r>
      <w:r w:rsidR="006A4D40">
        <w:t>,</w:t>
      </w:r>
      <w:r w:rsidR="00BF3299" w:rsidRPr="00540B70">
        <w:t xml:space="preserve"> and</w:t>
      </w:r>
      <w:r w:rsidR="00BF3299" w:rsidRPr="00540B70">
        <w:rPr>
          <w:i/>
          <w:iCs/>
        </w:rPr>
        <w:t xml:space="preserve"> facilitate compliance</w:t>
      </w:r>
      <w:r w:rsidR="00BF3299" w:rsidRPr="00540B70">
        <w:t xml:space="preserve">. </w:t>
      </w:r>
    </w:p>
    <w:p w14:paraId="5B3486ED" w14:textId="099DFB8A" w:rsidR="00211AFF" w:rsidRPr="00540B70" w:rsidRDefault="00A935C8" w:rsidP="009D7AE0">
      <w:r w:rsidRPr="00540B70">
        <w:lastRenderedPageBreak/>
        <w:t>The capacity</w:t>
      </w:r>
      <w:r w:rsidR="00777543">
        <w:t xml:space="preserve"> and </w:t>
      </w:r>
      <w:r w:rsidRPr="00540B70">
        <w:t>capability of the Commission</w:t>
      </w:r>
      <w:r w:rsidR="008646C8">
        <w:t>er</w:t>
      </w:r>
      <w:r w:rsidR="006A4D40">
        <w:t>,</w:t>
      </w:r>
      <w:r w:rsidRPr="00540B70">
        <w:t xml:space="preserve"> and the </w:t>
      </w:r>
      <w:r w:rsidR="00252733">
        <w:t xml:space="preserve">resources available to </w:t>
      </w:r>
      <w:r w:rsidR="008646C8">
        <w:t>her</w:t>
      </w:r>
      <w:r w:rsidR="008646C8" w:rsidRPr="00540B70">
        <w:t xml:space="preserve"> </w:t>
      </w:r>
      <w:r w:rsidR="00F00BD1">
        <w:t>to fulf</w:t>
      </w:r>
      <w:r w:rsidR="00777543">
        <w:t>i</w:t>
      </w:r>
      <w:r w:rsidR="00F00BD1">
        <w:t xml:space="preserve">l </w:t>
      </w:r>
      <w:r w:rsidR="008646C8">
        <w:t>her</w:t>
      </w:r>
      <w:r w:rsidR="00F00BD1">
        <w:t xml:space="preserve"> statutory </w:t>
      </w:r>
      <w:r w:rsidR="008646C8">
        <w:t>functions and duties</w:t>
      </w:r>
      <w:r w:rsidR="00F00BD1">
        <w:t xml:space="preserve">, </w:t>
      </w:r>
      <w:r w:rsidR="00777543">
        <w:t xml:space="preserve">will </w:t>
      </w:r>
      <w:r w:rsidRPr="00540B70">
        <w:t xml:space="preserve">inform the type of </w:t>
      </w:r>
      <w:r w:rsidR="00211AFF" w:rsidRPr="00540B70">
        <w:t xml:space="preserve">support and resources that </w:t>
      </w:r>
      <w:r w:rsidR="00F00BD1">
        <w:t xml:space="preserve">are available to achieve the outcomes of the </w:t>
      </w:r>
      <w:r w:rsidR="008646C8">
        <w:t>GE</w:t>
      </w:r>
      <w:r w:rsidR="00F00BD1">
        <w:t xml:space="preserve"> Act</w:t>
      </w:r>
      <w:r w:rsidR="00211AFF" w:rsidRPr="00540B70">
        <w:t>.</w:t>
      </w:r>
    </w:p>
    <w:p w14:paraId="4912CFBC" w14:textId="0CC79927" w:rsidR="00F409FE" w:rsidRPr="00540B70" w:rsidRDefault="002E7851" w:rsidP="009D7AE0">
      <w:r>
        <w:t>The role that the</w:t>
      </w:r>
      <w:r w:rsidR="00FE23A1" w:rsidRPr="00540B70">
        <w:t xml:space="preserve"> </w:t>
      </w:r>
      <w:r w:rsidR="00F409FE" w:rsidRPr="00540B70">
        <w:t xml:space="preserve">Commission </w:t>
      </w:r>
      <w:r>
        <w:t xml:space="preserve">can play </w:t>
      </w:r>
      <w:r w:rsidR="00E12AE7">
        <w:t xml:space="preserve">should be communicated more throughout the public sector and </w:t>
      </w:r>
      <w:r w:rsidR="00817009">
        <w:t xml:space="preserve">mindful of the range of expectations that </w:t>
      </w:r>
      <w:r w:rsidR="006A4D40">
        <w:t>is</w:t>
      </w:r>
      <w:r w:rsidR="00817009">
        <w:t xml:space="preserve"> in play. We do not suggest that the Commission can play all the roles expected of it</w:t>
      </w:r>
      <w:r w:rsidR="00CA70F7">
        <w:t xml:space="preserve">. However, </w:t>
      </w:r>
      <w:r w:rsidR="00817009">
        <w:t xml:space="preserve">it may be that </w:t>
      </w:r>
      <w:r w:rsidR="00F10206">
        <w:t>by understanding these requirements</w:t>
      </w:r>
      <w:r w:rsidR="00CA70F7">
        <w:t>,</w:t>
      </w:r>
      <w:r w:rsidR="00F10206">
        <w:t xml:space="preserve"> pathways to achieving them can be outlined. </w:t>
      </w:r>
    </w:p>
    <w:p w14:paraId="1D6A2650" w14:textId="1E3E8CBC" w:rsidR="00FD3193" w:rsidRDefault="00CC27C6" w:rsidP="009D7AE0">
      <w:r w:rsidRPr="00540B70">
        <w:t xml:space="preserve">A clear position on the type of regulator the Commission </w:t>
      </w:r>
      <w:r w:rsidR="00F10206">
        <w:t>is</w:t>
      </w:r>
      <w:r w:rsidR="00F10206" w:rsidRPr="00540B70">
        <w:t xml:space="preserve"> </w:t>
      </w:r>
      <w:r w:rsidR="00F10206">
        <w:t xml:space="preserve">will </w:t>
      </w:r>
      <w:r w:rsidRPr="00540B70">
        <w:t xml:space="preserve">provide a stronger foundation for the resourcing and support that the Commission wants to provide, the system and strategy to deliver that support and resourcing, and an opportunity to engage with key stakeholders on how this should be </w:t>
      </w:r>
      <w:r w:rsidR="00124BE4" w:rsidRPr="00540B70">
        <w:t>funded</w:t>
      </w:r>
      <w:r w:rsidR="00CA70F7">
        <w:t xml:space="preserve"> and </w:t>
      </w:r>
      <w:r w:rsidR="00124BE4" w:rsidRPr="00540B70">
        <w:t>resourced.</w:t>
      </w:r>
    </w:p>
    <w:p w14:paraId="705CA63F" w14:textId="77777777" w:rsidR="00FD3193" w:rsidRDefault="00FD3193">
      <w:r>
        <w:br w:type="page"/>
      </w:r>
    </w:p>
    <w:p w14:paraId="1833369C" w14:textId="39E18527" w:rsidR="00D92040" w:rsidRDefault="005D15F2" w:rsidP="00D92040">
      <w:pPr>
        <w:pStyle w:val="Title"/>
        <w:rPr>
          <w:rFonts w:eastAsia="Times New Roman"/>
        </w:rPr>
      </w:pPr>
      <w:bookmarkStart w:id="27" w:name="_Toc96348293"/>
      <w:r>
        <w:rPr>
          <w:rFonts w:eastAsia="Times New Roman"/>
        </w:rPr>
        <w:lastRenderedPageBreak/>
        <w:t xml:space="preserve">Conclusions and </w:t>
      </w:r>
      <w:r w:rsidR="007A742C">
        <w:rPr>
          <w:rFonts w:eastAsia="Times New Roman"/>
        </w:rPr>
        <w:t>r</w:t>
      </w:r>
      <w:r w:rsidR="00D92040">
        <w:rPr>
          <w:rFonts w:eastAsia="Times New Roman"/>
        </w:rPr>
        <w:t>ecommendations</w:t>
      </w:r>
      <w:bookmarkEnd w:id="27"/>
    </w:p>
    <w:p w14:paraId="39F9E54A" w14:textId="6809E09A" w:rsidR="00321479" w:rsidRDefault="005D15F2" w:rsidP="005D15F2">
      <w:pPr>
        <w:pStyle w:val="Heading1"/>
      </w:pPr>
      <w:bookmarkStart w:id="28" w:name="_Toc96348294"/>
      <w:r>
        <w:t>Conclusions</w:t>
      </w:r>
      <w:bookmarkEnd w:id="28"/>
      <w:r w:rsidR="00737747">
        <w:t xml:space="preserve"> </w:t>
      </w:r>
    </w:p>
    <w:p w14:paraId="1ABB1A53" w14:textId="5A7241EF" w:rsidR="00C95B8D" w:rsidRDefault="001502B8" w:rsidP="00C95B8D">
      <w:r>
        <w:t xml:space="preserve">The </w:t>
      </w:r>
      <w:r w:rsidR="005D15F2">
        <w:t xml:space="preserve">survey, </w:t>
      </w:r>
      <w:r>
        <w:t>interview</w:t>
      </w:r>
      <w:r w:rsidR="006A4D40">
        <w:t>,</w:t>
      </w:r>
      <w:r>
        <w:t xml:space="preserve"> and </w:t>
      </w:r>
      <w:r w:rsidR="005D15F2">
        <w:t>focus group</w:t>
      </w:r>
      <w:r>
        <w:t xml:space="preserve"> analysis provides </w:t>
      </w:r>
      <w:r w:rsidR="005D15F2">
        <w:t>contextual markers and realities surrounding the implementation of GIA</w:t>
      </w:r>
      <w:r>
        <w:t>. The consultation fo</w:t>
      </w:r>
      <w:r w:rsidR="00DF521C">
        <w:t>und</w:t>
      </w:r>
      <w:r>
        <w:t xml:space="preserve"> </w:t>
      </w:r>
      <w:r w:rsidR="005D15F2">
        <w:t>that the major barriers</w:t>
      </w:r>
      <w:r>
        <w:t xml:space="preserve"> and challenges to the </w:t>
      </w:r>
      <w:r w:rsidR="005D15F2">
        <w:t>consistent implementation of GIA</w:t>
      </w:r>
      <w:r w:rsidR="006A4D40">
        <w:t>s</w:t>
      </w:r>
      <w:r w:rsidR="005D15F2">
        <w:t xml:space="preserve"> across defined entities are:</w:t>
      </w:r>
      <w:r w:rsidR="00C95B8D">
        <w:t xml:space="preserve"> </w:t>
      </w:r>
    </w:p>
    <w:p w14:paraId="1655C28B" w14:textId="11C2166F" w:rsidR="005D15F2" w:rsidRDefault="00C95B8D" w:rsidP="005D15F2">
      <w:pPr>
        <w:pStyle w:val="ListParagraph"/>
        <w:numPr>
          <w:ilvl w:val="0"/>
          <w:numId w:val="34"/>
        </w:numPr>
      </w:pPr>
      <w:r>
        <w:t>Lack of resources, funding</w:t>
      </w:r>
      <w:r w:rsidR="006A4D40">
        <w:t>,</w:t>
      </w:r>
      <w:r>
        <w:t xml:space="preserve"> and staff time</w:t>
      </w:r>
      <w:r w:rsidR="006A4D40">
        <w:t>.</w:t>
      </w:r>
    </w:p>
    <w:p w14:paraId="73150B1C" w14:textId="5DE35380" w:rsidR="005D15F2" w:rsidRDefault="005D15F2" w:rsidP="005D15F2">
      <w:pPr>
        <w:pStyle w:val="ListParagraph"/>
        <w:numPr>
          <w:ilvl w:val="0"/>
          <w:numId w:val="34"/>
        </w:numPr>
      </w:pPr>
      <w:r>
        <w:t>Lack of access to</w:t>
      </w:r>
      <w:r w:rsidR="00CC1273">
        <w:t xml:space="preserve"> internal and external</w:t>
      </w:r>
      <w:r>
        <w:t xml:space="preserve"> gender equ</w:t>
      </w:r>
      <w:r w:rsidR="00C95B8D">
        <w:t>ality</w:t>
      </w:r>
      <w:r>
        <w:t xml:space="preserve"> expertise</w:t>
      </w:r>
      <w:r w:rsidR="00C95B8D">
        <w:t>, which is linked to how defined entities value this skill set</w:t>
      </w:r>
      <w:r>
        <w:t xml:space="preserve"> </w:t>
      </w:r>
      <w:r w:rsidR="00CC1273">
        <w:t>and whether they are willing to resource it</w:t>
      </w:r>
      <w:r w:rsidR="006A4D40">
        <w:t>.</w:t>
      </w:r>
    </w:p>
    <w:p w14:paraId="09582F5B" w14:textId="095E740F" w:rsidR="005D15F2" w:rsidRDefault="005D15F2" w:rsidP="005D15F2">
      <w:pPr>
        <w:pStyle w:val="ListParagraph"/>
        <w:numPr>
          <w:ilvl w:val="0"/>
          <w:numId w:val="34"/>
        </w:numPr>
      </w:pPr>
      <w:r>
        <w:t>Lack of access to tailored, contextualised</w:t>
      </w:r>
      <w:r w:rsidR="006A4D40">
        <w:t>,</w:t>
      </w:r>
      <w:r>
        <w:t xml:space="preserve"> highly practical templates</w:t>
      </w:r>
      <w:r w:rsidR="00CC1273">
        <w:t>,</w:t>
      </w:r>
      <w:r>
        <w:t xml:space="preserve"> tools</w:t>
      </w:r>
      <w:r w:rsidR="006A4D40">
        <w:t>,</w:t>
      </w:r>
      <w:r>
        <w:t xml:space="preserve"> </w:t>
      </w:r>
      <w:r w:rsidR="00CC1273">
        <w:t xml:space="preserve">and training </w:t>
      </w:r>
      <w:r w:rsidR="00C95B8D">
        <w:t>that detail</w:t>
      </w:r>
      <w:r>
        <w:t xml:space="preserve"> how to implement GIA</w:t>
      </w:r>
      <w:r w:rsidR="006A4D40">
        <w:t>s.</w:t>
      </w:r>
    </w:p>
    <w:p w14:paraId="171D650B" w14:textId="226689D2" w:rsidR="005D15F2" w:rsidRDefault="005D15F2" w:rsidP="005D15F2">
      <w:pPr>
        <w:pStyle w:val="ListParagraph"/>
        <w:numPr>
          <w:ilvl w:val="0"/>
          <w:numId w:val="34"/>
        </w:numPr>
      </w:pPr>
      <w:r>
        <w:t xml:space="preserve">Need for improved leadership models and capacity to support the implementation of </w:t>
      </w:r>
      <w:r w:rsidR="00631673">
        <w:t>GIA</w:t>
      </w:r>
      <w:r w:rsidR="006A4D40">
        <w:t xml:space="preserve"> work</w:t>
      </w:r>
      <w:r w:rsidR="00631673">
        <w:t xml:space="preserve"> </w:t>
      </w:r>
      <w:r>
        <w:t>throughout defined entities to realise transformational change and the objectives of the Act</w:t>
      </w:r>
      <w:r w:rsidR="006A4D40">
        <w:t>.</w:t>
      </w:r>
    </w:p>
    <w:p w14:paraId="5DBA0633" w14:textId="40076AE5" w:rsidR="005D15F2" w:rsidRPr="00CA70F7" w:rsidRDefault="009F77D2" w:rsidP="005D15F2">
      <w:pPr>
        <w:pStyle w:val="ListParagraph"/>
        <w:numPr>
          <w:ilvl w:val="0"/>
          <w:numId w:val="34"/>
        </w:numPr>
      </w:pPr>
      <w:r>
        <w:t>Insufficient clarity</w:t>
      </w:r>
      <w:r w:rsidR="00F10206" w:rsidRPr="00CA70F7">
        <w:t xml:space="preserve"> on the role of the Commissioner and Commission</w:t>
      </w:r>
      <w:r w:rsidR="003A059F">
        <w:t xml:space="preserve"> in supporting defined entities</w:t>
      </w:r>
      <w:r w:rsidR="00F10206" w:rsidRPr="00CA70F7">
        <w:t xml:space="preserve"> to implement </w:t>
      </w:r>
      <w:r w:rsidR="003A059F">
        <w:t>GIA</w:t>
      </w:r>
      <w:r w:rsidR="006A4D40">
        <w:t>s</w:t>
      </w:r>
      <w:r w:rsidR="00CA70F7">
        <w:t>.</w:t>
      </w:r>
    </w:p>
    <w:p w14:paraId="2CDDD83E" w14:textId="18970851" w:rsidR="00FD3193" w:rsidRDefault="005D15F2" w:rsidP="006B75D8">
      <w:pPr>
        <w:pStyle w:val="Heading1"/>
      </w:pPr>
      <w:bookmarkStart w:id="29" w:name="_Toc96348295"/>
      <w:r>
        <w:t>Recommendations</w:t>
      </w:r>
      <w:bookmarkEnd w:id="29"/>
    </w:p>
    <w:p w14:paraId="23A02F54" w14:textId="6E30CAA7" w:rsidR="00DF5A53" w:rsidRPr="006B75D8" w:rsidRDefault="00DF5A53" w:rsidP="00707958">
      <w:pPr>
        <w:pStyle w:val="Heading4"/>
        <w:rPr>
          <w:i w:val="0"/>
          <w:iCs w:val="0"/>
        </w:rPr>
      </w:pPr>
      <w:r w:rsidRPr="006B75D8">
        <w:rPr>
          <w:i w:val="0"/>
          <w:iCs w:val="0"/>
        </w:rPr>
        <w:t xml:space="preserve">Invest in resources that are tailored </w:t>
      </w:r>
      <w:r w:rsidR="001E2B4A">
        <w:rPr>
          <w:i w:val="0"/>
          <w:iCs w:val="0"/>
        </w:rPr>
        <w:t xml:space="preserve">and customised </w:t>
      </w:r>
      <w:r w:rsidRPr="006B75D8">
        <w:rPr>
          <w:i w:val="0"/>
          <w:iCs w:val="0"/>
        </w:rPr>
        <w:t>to specific sector</w:t>
      </w:r>
      <w:r w:rsidR="001E2B4A">
        <w:rPr>
          <w:i w:val="0"/>
          <w:iCs w:val="0"/>
        </w:rPr>
        <w:t>s</w:t>
      </w:r>
      <w:r w:rsidRPr="006B75D8">
        <w:rPr>
          <w:i w:val="0"/>
          <w:iCs w:val="0"/>
        </w:rPr>
        <w:t xml:space="preserve"> and regions</w:t>
      </w:r>
    </w:p>
    <w:p w14:paraId="53448082" w14:textId="5AA12015" w:rsidR="00DF5A53" w:rsidRDefault="009451C3" w:rsidP="00DF5A53">
      <w:r>
        <w:t>D</w:t>
      </w:r>
      <w:r w:rsidR="00000F82">
        <w:t xml:space="preserve">evelop </w:t>
      </w:r>
      <w:r w:rsidR="00942D22">
        <w:t xml:space="preserve">highly tailored and customised </w:t>
      </w:r>
      <w:r w:rsidR="00000F82">
        <w:t xml:space="preserve">sector </w:t>
      </w:r>
      <w:r w:rsidR="00DF5A53">
        <w:t xml:space="preserve">resources </w:t>
      </w:r>
      <w:r w:rsidR="00942D22">
        <w:t>t</w:t>
      </w:r>
      <w:r w:rsidR="00DF5A53">
        <w:t>o</w:t>
      </w:r>
      <w:r w:rsidR="00000F82">
        <w:t xml:space="preserve"> support the</w:t>
      </w:r>
      <w:r w:rsidR="00DF5A53">
        <w:t xml:space="preserve"> </w:t>
      </w:r>
      <w:r w:rsidR="00942D22">
        <w:t xml:space="preserve">effective </w:t>
      </w:r>
      <w:r w:rsidR="00DF5A53">
        <w:t>implement</w:t>
      </w:r>
      <w:r w:rsidR="00000F82">
        <w:t>ation of</w:t>
      </w:r>
      <w:r w:rsidR="00DF5A53">
        <w:t xml:space="preserve"> GIA. This includes access to resourcing </w:t>
      </w:r>
      <w:r w:rsidR="00942D22">
        <w:t>– includin</w:t>
      </w:r>
      <w:r>
        <w:t>g</w:t>
      </w:r>
      <w:r w:rsidR="00942D22">
        <w:t xml:space="preserve"> funding and staff time</w:t>
      </w:r>
      <w:r w:rsidR="00801C28">
        <w:t xml:space="preserve"> – </w:t>
      </w:r>
      <w:r w:rsidR="00942D22">
        <w:t>and</w:t>
      </w:r>
      <w:r w:rsidR="00DF5A53">
        <w:t xml:space="preserve"> the expertise required to support </w:t>
      </w:r>
      <w:r>
        <w:t xml:space="preserve">the </w:t>
      </w:r>
      <w:r w:rsidR="00DF5A53">
        <w:t>Act and GIA</w:t>
      </w:r>
      <w:r w:rsidR="00801C28">
        <w:t>s</w:t>
      </w:r>
      <w:r>
        <w:t xml:space="preserve"> to </w:t>
      </w:r>
      <w:r w:rsidR="00DF5A53">
        <w:t>build sustainable skills within the public sector to embed</w:t>
      </w:r>
      <w:r w:rsidR="00AC69E0">
        <w:t xml:space="preserve"> the work and fully</w:t>
      </w:r>
      <w:r w:rsidR="00DF5A53">
        <w:t xml:space="preserve"> realise intersectional gender equality. </w:t>
      </w:r>
    </w:p>
    <w:p w14:paraId="07D96757" w14:textId="6076FBB0" w:rsidR="00A4512B" w:rsidRDefault="00A4512B" w:rsidP="00DF5A53">
      <w:r>
        <w:t xml:space="preserve">It is clear to the authors of this report that </w:t>
      </w:r>
      <w:r w:rsidR="00F06067">
        <w:t>there are immediate needs</w:t>
      </w:r>
      <w:r w:rsidR="008E5150">
        <w:t xml:space="preserve"> that can be implement</w:t>
      </w:r>
      <w:r w:rsidR="00801C28">
        <w:t>ed</w:t>
      </w:r>
      <w:r w:rsidR="008E5150">
        <w:t xml:space="preserve">.  </w:t>
      </w:r>
      <w:r w:rsidR="00A4613E">
        <w:t>Overwhelmingly</w:t>
      </w:r>
      <w:r w:rsidR="00801C28">
        <w:t>,</w:t>
      </w:r>
      <w:r w:rsidR="00A4613E">
        <w:t xml:space="preserve"> </w:t>
      </w:r>
      <w:r w:rsidR="00DC2E88">
        <w:t xml:space="preserve">there is a need for defined entities and their workers to understand </w:t>
      </w:r>
      <w:r w:rsidR="00DC2E88">
        <w:rPr>
          <w:i/>
          <w:iCs/>
        </w:rPr>
        <w:t>how</w:t>
      </w:r>
      <w:r w:rsidR="00DC2E88">
        <w:t xml:space="preserve"> to undertake GIA</w:t>
      </w:r>
      <w:r w:rsidR="00801C28">
        <w:t>s</w:t>
      </w:r>
      <w:r w:rsidR="00F824FE">
        <w:t>. The following are suggestions only</w:t>
      </w:r>
      <w:r w:rsidR="00801C28">
        <w:t>,</w:t>
      </w:r>
      <w:r w:rsidR="00F824FE">
        <w:t xml:space="preserve"> and developed on the understanding that there is limited access to </w:t>
      </w:r>
      <w:r w:rsidR="00801C28">
        <w:t>g</w:t>
      </w:r>
      <w:r w:rsidR="00F824FE">
        <w:t xml:space="preserve">ender </w:t>
      </w:r>
      <w:r w:rsidR="00801C28">
        <w:t>l</w:t>
      </w:r>
      <w:r w:rsidR="00F824FE">
        <w:t>ens expertise in organisations</w:t>
      </w:r>
      <w:r w:rsidR="00F06067">
        <w:t>:</w:t>
      </w:r>
    </w:p>
    <w:p w14:paraId="0BF49CAE" w14:textId="129EAA36" w:rsidR="00F06067" w:rsidRDefault="00F06067" w:rsidP="00C1060D">
      <w:pPr>
        <w:pStyle w:val="ListParagraph"/>
        <w:numPr>
          <w:ilvl w:val="0"/>
          <w:numId w:val="42"/>
        </w:numPr>
      </w:pPr>
      <w:r w:rsidRPr="00CF42BA">
        <w:rPr>
          <w:b/>
          <w:bCs/>
        </w:rPr>
        <w:t>Small</w:t>
      </w:r>
      <w:r w:rsidR="00801C28">
        <w:rPr>
          <w:b/>
          <w:bCs/>
        </w:rPr>
        <w:t>,</w:t>
      </w:r>
      <w:r w:rsidRPr="00CF42BA">
        <w:rPr>
          <w:b/>
          <w:bCs/>
        </w:rPr>
        <w:t xml:space="preserve"> bite</w:t>
      </w:r>
      <w:r w:rsidR="00801C28">
        <w:rPr>
          <w:b/>
          <w:bCs/>
        </w:rPr>
        <w:t>-</w:t>
      </w:r>
      <w:r w:rsidRPr="00CF42BA">
        <w:rPr>
          <w:b/>
          <w:bCs/>
        </w:rPr>
        <w:t>size</w:t>
      </w:r>
      <w:r w:rsidR="00801C28">
        <w:rPr>
          <w:b/>
          <w:bCs/>
        </w:rPr>
        <w:t>d</w:t>
      </w:r>
      <w:r w:rsidRPr="00CF42BA">
        <w:rPr>
          <w:b/>
          <w:bCs/>
        </w:rPr>
        <w:t xml:space="preserve"> training</w:t>
      </w:r>
      <w:r>
        <w:t>, in small</w:t>
      </w:r>
      <w:r w:rsidR="00801C28">
        <w:t>,</w:t>
      </w:r>
      <w:r>
        <w:t xml:space="preserve"> sector</w:t>
      </w:r>
      <w:r w:rsidR="00801C28">
        <w:t>-</w:t>
      </w:r>
      <w:r>
        <w:t>specific groups</w:t>
      </w:r>
      <w:r w:rsidR="00801C28">
        <w:t>,</w:t>
      </w:r>
      <w:r>
        <w:t xml:space="preserve"> on different stages of the GIA process – e</w:t>
      </w:r>
      <w:r w:rsidR="00801C28">
        <w:t>.</w:t>
      </w:r>
      <w:r>
        <w:t>g</w:t>
      </w:r>
      <w:r w:rsidR="00801C28">
        <w:t>.</w:t>
      </w:r>
      <w:r w:rsidR="001423C3">
        <w:t xml:space="preserve"> </w:t>
      </w:r>
      <w:r w:rsidR="00560B64" w:rsidRPr="005D3C1E">
        <w:rPr>
          <w:i/>
          <w:iCs/>
        </w:rPr>
        <w:t xml:space="preserve">Understand your </w:t>
      </w:r>
      <w:r w:rsidR="00801C28">
        <w:rPr>
          <w:i/>
          <w:iCs/>
        </w:rPr>
        <w:t>c</w:t>
      </w:r>
      <w:r w:rsidR="00560B64" w:rsidRPr="005D3C1E">
        <w:rPr>
          <w:i/>
          <w:iCs/>
        </w:rPr>
        <w:t>ontext (</w:t>
      </w:r>
      <w:r w:rsidR="00801C28">
        <w:rPr>
          <w:i/>
          <w:iCs/>
        </w:rPr>
        <w:t>d</w:t>
      </w:r>
      <w:r w:rsidR="00560B64" w:rsidRPr="005D3C1E">
        <w:rPr>
          <w:i/>
          <w:iCs/>
        </w:rPr>
        <w:t>ata and the GIA)</w:t>
      </w:r>
      <w:r w:rsidR="00560B64">
        <w:t xml:space="preserve"> for Local Council Metro, </w:t>
      </w:r>
      <w:r w:rsidR="00560B64" w:rsidRPr="005D3C1E">
        <w:rPr>
          <w:i/>
          <w:iCs/>
        </w:rPr>
        <w:t>Defining issues and challeng</w:t>
      </w:r>
      <w:r w:rsidR="00801C28">
        <w:rPr>
          <w:i/>
          <w:iCs/>
        </w:rPr>
        <w:t>ing</w:t>
      </w:r>
      <w:r w:rsidR="00560B64" w:rsidRPr="005D3C1E">
        <w:rPr>
          <w:i/>
          <w:iCs/>
        </w:rPr>
        <w:t xml:space="preserve"> assumptions</w:t>
      </w:r>
      <w:r w:rsidR="00560B64">
        <w:t xml:space="preserve"> for Primary Health Care Services, </w:t>
      </w:r>
      <w:r w:rsidR="00346E08" w:rsidRPr="005D3C1E">
        <w:rPr>
          <w:i/>
          <w:iCs/>
        </w:rPr>
        <w:t>Options Analysis</w:t>
      </w:r>
      <w:r w:rsidR="00346E08">
        <w:t xml:space="preserve"> for Rural Hospitals. </w:t>
      </w:r>
      <w:r w:rsidR="005D3C1E">
        <w:t xml:space="preserve">Delivery could be </w:t>
      </w:r>
      <w:r w:rsidR="00D12107">
        <w:t>via</w:t>
      </w:r>
      <w:r w:rsidR="00346E08">
        <w:t xml:space="preserve"> </w:t>
      </w:r>
      <w:r w:rsidR="00C1060D">
        <w:t xml:space="preserve">case study methodology </w:t>
      </w:r>
      <w:r w:rsidR="00D56B19">
        <w:t xml:space="preserve">to allow for </w:t>
      </w:r>
      <w:r w:rsidR="00B11C3F">
        <w:t>in-depth</w:t>
      </w:r>
      <w:r w:rsidR="00D56B19">
        <w:t xml:space="preserve"> </w:t>
      </w:r>
      <w:r w:rsidR="00546F2B">
        <w:t>practical investigation for a specific sector.</w:t>
      </w:r>
    </w:p>
    <w:p w14:paraId="5D44BC0A" w14:textId="61EB445B" w:rsidR="00CF42BA" w:rsidRDefault="00CF42BA" w:rsidP="00CF42BA">
      <w:pPr>
        <w:pStyle w:val="ListParagraph"/>
        <w:numPr>
          <w:ilvl w:val="0"/>
          <w:numId w:val="42"/>
        </w:numPr>
      </w:pPr>
      <w:r w:rsidRPr="00CF42BA">
        <w:rPr>
          <w:b/>
          <w:bCs/>
        </w:rPr>
        <w:t>Short, sharp videos</w:t>
      </w:r>
      <w:r>
        <w:t xml:space="preserve"> that step through specific components of GIA</w:t>
      </w:r>
      <w:r w:rsidR="00801C28">
        <w:t>s</w:t>
      </w:r>
      <w:r>
        <w:t xml:space="preserve"> simply and clearly. These can include interviews and examples from current practice and be tailored to specific </w:t>
      </w:r>
      <w:r w:rsidR="00801C28">
        <w:t>‘</w:t>
      </w:r>
      <w:r>
        <w:t>resourcing</w:t>
      </w:r>
      <w:r w:rsidR="00801C28">
        <w:t>’</w:t>
      </w:r>
      <w:r>
        <w:t xml:space="preserve"> types of defined entities. For instance, the Commission could produce a 5</w:t>
      </w:r>
      <w:r w:rsidR="00801C28">
        <w:t>-</w:t>
      </w:r>
      <w:r>
        <w:t>min</w:t>
      </w:r>
      <w:r w:rsidR="00801C28">
        <w:t>ute</w:t>
      </w:r>
      <w:r>
        <w:t xml:space="preserve"> video on Options Analysis</w:t>
      </w:r>
      <w:r w:rsidR="00801C28">
        <w:t>,</w:t>
      </w:r>
      <w:r>
        <w:t xml:space="preserve"> which steps through this component of a GIA, and demonstrates how this stage occurs by interviewing a large</w:t>
      </w:r>
      <w:r w:rsidR="00801C28">
        <w:t>, well-resourced</w:t>
      </w:r>
      <w:r>
        <w:t xml:space="preserve"> defined entity </w:t>
      </w:r>
      <w:r w:rsidR="00801C28">
        <w:t xml:space="preserve">that is </w:t>
      </w:r>
      <w:r>
        <w:t>city</w:t>
      </w:r>
      <w:r w:rsidR="00801C28">
        <w:t>-</w:t>
      </w:r>
      <w:r>
        <w:t xml:space="preserve">based, a smaller </w:t>
      </w:r>
      <w:r w:rsidR="00801C28">
        <w:t xml:space="preserve">rural </w:t>
      </w:r>
      <w:r>
        <w:t>organisation with limited resources, a defined entity with more centralised decision making</w:t>
      </w:r>
      <w:r w:rsidR="00801C28">
        <w:t>,</w:t>
      </w:r>
      <w:r>
        <w:t xml:space="preserve"> and another defined entity with decentralised processes.</w:t>
      </w:r>
    </w:p>
    <w:p w14:paraId="368B1158" w14:textId="2F8AFF6C" w:rsidR="00373FAF" w:rsidRDefault="00373FAF" w:rsidP="00C1060D">
      <w:pPr>
        <w:pStyle w:val="ListParagraph"/>
        <w:numPr>
          <w:ilvl w:val="0"/>
          <w:numId w:val="42"/>
        </w:numPr>
      </w:pPr>
      <w:r>
        <w:t xml:space="preserve">A </w:t>
      </w:r>
      <w:r w:rsidRPr="00CF42BA">
        <w:rPr>
          <w:b/>
          <w:bCs/>
        </w:rPr>
        <w:t xml:space="preserve">master class on integrating </w:t>
      </w:r>
      <w:r w:rsidR="00801C28">
        <w:rPr>
          <w:b/>
          <w:bCs/>
        </w:rPr>
        <w:t>GIA</w:t>
      </w:r>
      <w:r w:rsidRPr="00CF42BA">
        <w:rPr>
          <w:b/>
          <w:bCs/>
        </w:rPr>
        <w:t xml:space="preserve"> practice into </w:t>
      </w:r>
      <w:r w:rsidR="00B11C3F" w:rsidRPr="00CF42BA">
        <w:rPr>
          <w:b/>
          <w:bCs/>
        </w:rPr>
        <w:t>ongoing business practice</w:t>
      </w:r>
      <w:r w:rsidR="00B11C3F">
        <w:t xml:space="preserve">. </w:t>
      </w:r>
      <w:r w:rsidR="006B6F09">
        <w:t>Again,</w:t>
      </w:r>
      <w:r w:rsidR="00150E89">
        <w:t xml:space="preserve"> </w:t>
      </w:r>
      <w:r w:rsidR="0088721B">
        <w:t xml:space="preserve">using </w:t>
      </w:r>
      <w:r w:rsidR="00801C28">
        <w:t>c</w:t>
      </w:r>
      <w:r w:rsidR="0088721B">
        <w:t xml:space="preserve">ase </w:t>
      </w:r>
      <w:r w:rsidR="00801C28">
        <w:t>s</w:t>
      </w:r>
      <w:r w:rsidR="0088721B">
        <w:t xml:space="preserve">tudy </w:t>
      </w:r>
      <w:r w:rsidR="00EA338C">
        <w:t>methodology and providing a tailored experience to the sector, this master c</w:t>
      </w:r>
      <w:r w:rsidR="00DF037A">
        <w:t>lass can seek to build capacity across the defined entities to act as subject matter experts for this area.</w:t>
      </w:r>
    </w:p>
    <w:p w14:paraId="73244B62" w14:textId="0B414C9B" w:rsidR="00761F86" w:rsidRDefault="00577C42" w:rsidP="00C1060D">
      <w:pPr>
        <w:pStyle w:val="ListParagraph"/>
        <w:numPr>
          <w:ilvl w:val="0"/>
          <w:numId w:val="42"/>
        </w:numPr>
      </w:pPr>
      <w:r w:rsidRPr="00CF42BA">
        <w:rPr>
          <w:b/>
          <w:bCs/>
        </w:rPr>
        <w:lastRenderedPageBreak/>
        <w:t>Deliberate practice sessions can be run at a regional/local level on specific</w:t>
      </w:r>
      <w:r w:rsidR="00801C28">
        <w:rPr>
          <w:b/>
          <w:bCs/>
        </w:rPr>
        <w:t>,</w:t>
      </w:r>
      <w:r w:rsidRPr="00CF42BA">
        <w:rPr>
          <w:b/>
          <w:bCs/>
        </w:rPr>
        <w:t xml:space="preserve"> </w:t>
      </w:r>
      <w:r w:rsidR="00CF42BA">
        <w:rPr>
          <w:b/>
          <w:bCs/>
        </w:rPr>
        <w:t>in</w:t>
      </w:r>
      <w:r w:rsidR="00801C28">
        <w:rPr>
          <w:b/>
          <w:bCs/>
        </w:rPr>
        <w:t>-</w:t>
      </w:r>
      <w:r w:rsidR="00CF42BA">
        <w:rPr>
          <w:b/>
          <w:bCs/>
        </w:rPr>
        <w:t>progress GIA</w:t>
      </w:r>
      <w:r w:rsidRPr="00CF42BA">
        <w:rPr>
          <w:b/>
          <w:bCs/>
        </w:rPr>
        <w:t xml:space="preserve"> work</w:t>
      </w:r>
      <w:r w:rsidR="00801C28">
        <w:rPr>
          <w:b/>
          <w:bCs/>
        </w:rPr>
        <w:t>.</w:t>
      </w:r>
      <w:r>
        <w:t xml:space="preserve"> </w:t>
      </w:r>
      <w:r w:rsidR="00801C28">
        <w:t>I</w:t>
      </w:r>
      <w:r>
        <w:t xml:space="preserve">n smaller groups where existing trusting relationships exist, </w:t>
      </w:r>
      <w:r w:rsidR="0012684D">
        <w:t xml:space="preserve">defined entities can be invited to bring their GIA work to a practice session where </w:t>
      </w:r>
      <w:r w:rsidR="00706135">
        <w:t>GIA work can be discussed in detail</w:t>
      </w:r>
      <w:r w:rsidR="00D53604">
        <w:t xml:space="preserve">. This could draw upon the well-known community of practice approach, but </w:t>
      </w:r>
      <w:r w:rsidR="00180F6F">
        <w:t>more</w:t>
      </w:r>
      <w:r w:rsidR="00D775A8">
        <w:t xml:space="preserve"> targeted to existing relationships</w:t>
      </w:r>
      <w:r w:rsidR="00DA095E">
        <w:t xml:space="preserve"> that are trusted</w:t>
      </w:r>
      <w:r w:rsidR="00035B44">
        <w:t xml:space="preserve"> enough for honest conversation about what </w:t>
      </w:r>
      <w:r w:rsidR="001F0ED6">
        <w:t>work is being undertaken</w:t>
      </w:r>
      <w:r w:rsidR="00761F86">
        <w:t xml:space="preserve"> and how it can be strengthened</w:t>
      </w:r>
      <w:r w:rsidR="00D775A8">
        <w:t>.</w:t>
      </w:r>
      <w:r w:rsidR="00A75E04">
        <w:t xml:space="preserve"> Through this, resources and peer-led practice can be shared.</w:t>
      </w:r>
    </w:p>
    <w:p w14:paraId="4DFD3D6A" w14:textId="50D1BDAC" w:rsidR="00DF037A" w:rsidRDefault="00761F86" w:rsidP="00C1060D">
      <w:pPr>
        <w:pStyle w:val="ListParagraph"/>
        <w:numPr>
          <w:ilvl w:val="0"/>
          <w:numId w:val="42"/>
        </w:numPr>
      </w:pPr>
      <w:r w:rsidRPr="00117D75">
        <w:rPr>
          <w:b/>
          <w:bCs/>
        </w:rPr>
        <w:t>Targeted</w:t>
      </w:r>
      <w:r w:rsidR="00D72C41">
        <w:rPr>
          <w:b/>
          <w:bCs/>
        </w:rPr>
        <w:t>,</w:t>
      </w:r>
      <w:r w:rsidRPr="00117D75">
        <w:rPr>
          <w:b/>
          <w:bCs/>
        </w:rPr>
        <w:t xml:space="preserve"> sector</w:t>
      </w:r>
      <w:r w:rsidR="00D72C41">
        <w:rPr>
          <w:b/>
          <w:bCs/>
        </w:rPr>
        <w:t>-</w:t>
      </w:r>
      <w:r w:rsidRPr="00117D75">
        <w:rPr>
          <w:b/>
          <w:bCs/>
        </w:rPr>
        <w:t>specific round</w:t>
      </w:r>
      <w:r w:rsidR="00D72C41">
        <w:rPr>
          <w:b/>
          <w:bCs/>
        </w:rPr>
        <w:t>-</w:t>
      </w:r>
      <w:r w:rsidRPr="00117D75">
        <w:rPr>
          <w:b/>
          <w:bCs/>
        </w:rPr>
        <w:t>table conversations with executive</w:t>
      </w:r>
      <w:r w:rsidR="00D72C41">
        <w:rPr>
          <w:b/>
          <w:bCs/>
        </w:rPr>
        <w:t>s</w:t>
      </w:r>
      <w:r w:rsidRPr="00117D75">
        <w:rPr>
          <w:b/>
          <w:bCs/>
        </w:rPr>
        <w:t xml:space="preserve"> in defined </w:t>
      </w:r>
      <w:r w:rsidR="00F25C98" w:rsidRPr="00117D75">
        <w:rPr>
          <w:b/>
          <w:bCs/>
        </w:rPr>
        <w:t>entities</w:t>
      </w:r>
      <w:r w:rsidR="00F25C98">
        <w:t xml:space="preserve"> around</w:t>
      </w:r>
      <w:r w:rsidR="00A01E95">
        <w:t xml:space="preserve"> </w:t>
      </w:r>
      <w:r w:rsidR="00CC0CCC">
        <w:t xml:space="preserve">leadership </w:t>
      </w:r>
      <w:r w:rsidR="0056027C">
        <w:t>of GIA</w:t>
      </w:r>
      <w:r w:rsidR="00D72C41">
        <w:t>,</w:t>
      </w:r>
      <w:r w:rsidR="00F069C4">
        <w:t xml:space="preserve"> including examples of process, policy</w:t>
      </w:r>
      <w:r w:rsidR="00D72C41">
        <w:t>,</w:t>
      </w:r>
      <w:r w:rsidR="00F069C4">
        <w:t xml:space="preserve"> and (drawing upon th</w:t>
      </w:r>
      <w:r w:rsidR="00D72C41">
        <w:t>e current</w:t>
      </w:r>
      <w:r w:rsidR="00F069C4">
        <w:t xml:space="preserve"> project) evidence of what is best practice and required</w:t>
      </w:r>
      <w:r w:rsidR="00A75E04">
        <w:t xml:space="preserve"> to achieve outcomes for the GE Act through GIA</w:t>
      </w:r>
      <w:r w:rsidR="00D72C41">
        <w:t>s</w:t>
      </w:r>
      <w:r w:rsidR="00117D75">
        <w:t xml:space="preserve">. These sessions could be framed </w:t>
      </w:r>
      <w:r w:rsidR="004203DC">
        <w:t>through a</w:t>
      </w:r>
      <w:r w:rsidR="00133B92">
        <w:t xml:space="preserve">n </w:t>
      </w:r>
      <w:r w:rsidR="00D72C41">
        <w:t>‘</w:t>
      </w:r>
      <w:r w:rsidR="00133B92">
        <w:t>organisational change</w:t>
      </w:r>
      <w:r w:rsidR="00D72C41">
        <w:t>’</w:t>
      </w:r>
      <w:r w:rsidR="00133B92">
        <w:t xml:space="preserve"> perspective and in partnership with the VPSC</w:t>
      </w:r>
      <w:r w:rsidR="00D72C41">
        <w:t>.</w:t>
      </w:r>
    </w:p>
    <w:p w14:paraId="0602D0A6" w14:textId="19664F9F" w:rsidR="00DF5A53" w:rsidRPr="006B75D8" w:rsidRDefault="00DF5A53" w:rsidP="00707958">
      <w:pPr>
        <w:pStyle w:val="Heading4"/>
        <w:rPr>
          <w:i w:val="0"/>
          <w:iCs w:val="0"/>
        </w:rPr>
      </w:pPr>
      <w:bookmarkStart w:id="30" w:name="_Hlk95648848"/>
      <w:r w:rsidRPr="006B75D8">
        <w:rPr>
          <w:i w:val="0"/>
          <w:iCs w:val="0"/>
        </w:rPr>
        <w:t xml:space="preserve">Create resources that are about the </w:t>
      </w:r>
      <w:r w:rsidR="00D72C41">
        <w:rPr>
          <w:i w:val="0"/>
          <w:iCs w:val="0"/>
        </w:rPr>
        <w:t>‘</w:t>
      </w:r>
      <w:r w:rsidRPr="006B75D8">
        <w:rPr>
          <w:i w:val="0"/>
          <w:iCs w:val="0"/>
        </w:rPr>
        <w:t>how</w:t>
      </w:r>
      <w:r w:rsidR="00D72C41">
        <w:rPr>
          <w:i w:val="0"/>
          <w:iCs w:val="0"/>
        </w:rPr>
        <w:t>’</w:t>
      </w:r>
      <w:r w:rsidRPr="006B75D8">
        <w:rPr>
          <w:i w:val="0"/>
          <w:iCs w:val="0"/>
        </w:rPr>
        <w:t xml:space="preserve"> </w:t>
      </w:r>
      <w:r w:rsidR="00D72C41">
        <w:rPr>
          <w:i w:val="0"/>
          <w:iCs w:val="0"/>
        </w:rPr>
        <w:t xml:space="preserve">of </w:t>
      </w:r>
      <w:r w:rsidR="009F5F30">
        <w:rPr>
          <w:i w:val="0"/>
          <w:iCs w:val="0"/>
        </w:rPr>
        <w:t xml:space="preserve">the </w:t>
      </w:r>
      <w:r w:rsidRPr="006B75D8">
        <w:rPr>
          <w:i w:val="0"/>
          <w:iCs w:val="0"/>
        </w:rPr>
        <w:t>GIA process</w:t>
      </w:r>
    </w:p>
    <w:bookmarkEnd w:id="30"/>
    <w:p w14:paraId="07CFFCAD" w14:textId="0B5B13DE" w:rsidR="00DF5A53" w:rsidRPr="00110FE6" w:rsidRDefault="00000F82" w:rsidP="00DF5A53">
      <w:r w:rsidRPr="00110FE6">
        <w:t>Create n</w:t>
      </w:r>
      <w:r w:rsidR="00DF5A53" w:rsidRPr="00110FE6">
        <w:t xml:space="preserve">ew products and tools that </w:t>
      </w:r>
      <w:r w:rsidRPr="00110FE6">
        <w:t>describe the</w:t>
      </w:r>
      <w:r w:rsidR="00DF5A53" w:rsidRPr="00110FE6">
        <w:t xml:space="preserve"> specific </w:t>
      </w:r>
      <w:r w:rsidRPr="00110FE6">
        <w:t>process of how to undertake a</w:t>
      </w:r>
      <w:r w:rsidR="00DF5A53" w:rsidRPr="00110FE6">
        <w:t xml:space="preserve"> GIA</w:t>
      </w:r>
      <w:r w:rsidR="00110FE6">
        <w:t>,</w:t>
      </w:r>
      <w:r w:rsidR="00AC69E0" w:rsidRPr="00110FE6">
        <w:t xml:space="preserve"> including </w:t>
      </w:r>
      <w:r w:rsidR="00DF5A53" w:rsidRPr="00110FE6">
        <w:t>tangible</w:t>
      </w:r>
      <w:r w:rsidR="00AC69E0" w:rsidRPr="00110FE6">
        <w:t xml:space="preserve"> practice examples of how </w:t>
      </w:r>
      <w:r w:rsidR="00DF5A53" w:rsidRPr="00110FE6">
        <w:t>workers</w:t>
      </w:r>
      <w:r w:rsidR="00AC69E0" w:rsidRPr="00110FE6">
        <w:t xml:space="preserve"> and organisations can</w:t>
      </w:r>
      <w:r w:rsidR="00DF5A53" w:rsidRPr="00110FE6">
        <w:t xml:space="preserve"> implement</w:t>
      </w:r>
      <w:r w:rsidR="00AC69E0" w:rsidRPr="00110FE6">
        <w:t xml:space="preserve"> </w:t>
      </w:r>
      <w:r w:rsidR="00DF5A53" w:rsidRPr="00110FE6">
        <w:t>GIA</w:t>
      </w:r>
      <w:r w:rsidR="00D72C41">
        <w:t>s</w:t>
      </w:r>
      <w:r w:rsidR="00AC69E0" w:rsidRPr="00110FE6">
        <w:t>. These too</w:t>
      </w:r>
      <w:r w:rsidR="00110FE6" w:rsidRPr="00110FE6">
        <w:t>ls</w:t>
      </w:r>
      <w:r w:rsidR="00AC69E0" w:rsidRPr="00110FE6">
        <w:t xml:space="preserve"> must be accessible</w:t>
      </w:r>
      <w:r w:rsidR="00110FE6" w:rsidRPr="00110FE6">
        <w:t xml:space="preserve">, support practitioners to understand the basics, and engage diverse learning methods to </w:t>
      </w:r>
      <w:r w:rsidR="00AC69E0" w:rsidRPr="00110FE6">
        <w:t xml:space="preserve">encourage learning and build practice expertise. Resources that practitioners requested include: </w:t>
      </w:r>
    </w:p>
    <w:p w14:paraId="6AE5E9C9" w14:textId="39C1A45E" w:rsidR="007A7FF1" w:rsidRDefault="007A7FF1" w:rsidP="007A7FF1">
      <w:pPr>
        <w:pStyle w:val="ListParagraph"/>
        <w:numPr>
          <w:ilvl w:val="0"/>
          <w:numId w:val="40"/>
        </w:numPr>
      </w:pPr>
      <w:r>
        <w:t>Guidance and tips on how GIA</w:t>
      </w:r>
      <w:r w:rsidR="00D72C41">
        <w:t>s</w:t>
      </w:r>
      <w:r>
        <w:t xml:space="preserve"> can be implemented across organisation</w:t>
      </w:r>
      <w:r w:rsidR="00D72C41">
        <w:t>s</w:t>
      </w:r>
      <w:r>
        <w:t xml:space="preserve"> and become </w:t>
      </w:r>
      <w:r w:rsidR="00D72C41">
        <w:t>‘</w:t>
      </w:r>
      <w:r>
        <w:t>business as usual</w:t>
      </w:r>
      <w:r w:rsidR="00D72C41">
        <w:t>’.</w:t>
      </w:r>
      <w:r>
        <w:t xml:space="preserve"> </w:t>
      </w:r>
    </w:p>
    <w:p w14:paraId="1146C6FF" w14:textId="1C31EE00" w:rsidR="007A7FF1" w:rsidRDefault="007A7FF1" w:rsidP="007A7FF1">
      <w:pPr>
        <w:pStyle w:val="ListParagraph"/>
        <w:numPr>
          <w:ilvl w:val="0"/>
          <w:numId w:val="40"/>
        </w:numPr>
      </w:pPr>
      <w:r>
        <w:t>Demonstration of how to do a GIA on a small program, policy</w:t>
      </w:r>
      <w:r w:rsidR="00D72C41">
        <w:t>,</w:t>
      </w:r>
      <w:r>
        <w:t xml:space="preserve"> or service</w:t>
      </w:r>
      <w:r w:rsidR="00D72C41">
        <w:t>.</w:t>
      </w:r>
      <w:r>
        <w:t xml:space="preserve"> </w:t>
      </w:r>
    </w:p>
    <w:p w14:paraId="57300767" w14:textId="428446B3" w:rsidR="00110FE6" w:rsidRDefault="007A7FF1" w:rsidP="00264BB4">
      <w:pPr>
        <w:pStyle w:val="ListParagraph"/>
        <w:numPr>
          <w:ilvl w:val="0"/>
          <w:numId w:val="40"/>
        </w:numPr>
      </w:pPr>
      <w:r>
        <w:t>Case studies that provide an example of how GIA</w:t>
      </w:r>
      <w:r w:rsidR="00A2146F">
        <w:t>s</w:t>
      </w:r>
      <w:r>
        <w:t xml:space="preserve"> </w:t>
      </w:r>
      <w:r w:rsidR="008646C8">
        <w:t>are</w:t>
      </w:r>
      <w:r>
        <w:t xml:space="preserve"> undertaken</w:t>
      </w:r>
      <w:r w:rsidR="00D72C41">
        <w:t>.</w:t>
      </w:r>
      <w:r>
        <w:t xml:space="preserve"> </w:t>
      </w:r>
    </w:p>
    <w:p w14:paraId="7C371E08" w14:textId="62B2ACAF" w:rsidR="00264BB4" w:rsidRPr="00264BB4" w:rsidRDefault="00264BB4" w:rsidP="00264BB4">
      <w:pPr>
        <w:pStyle w:val="ListParagraph"/>
        <w:numPr>
          <w:ilvl w:val="0"/>
          <w:numId w:val="40"/>
        </w:numPr>
      </w:pPr>
      <w:r>
        <w:t>Short</w:t>
      </w:r>
      <w:r w:rsidR="00D72C41">
        <w:t xml:space="preserve">, </w:t>
      </w:r>
      <w:r>
        <w:t xml:space="preserve">sharp training modules as detailed below. </w:t>
      </w:r>
    </w:p>
    <w:p w14:paraId="1B937361" w14:textId="7774FB8D" w:rsidR="00787748" w:rsidRPr="00787748" w:rsidRDefault="00787748" w:rsidP="00DF5A53">
      <w:r w:rsidRPr="006B75D8">
        <w:t xml:space="preserve">It is recommended that the Commission </w:t>
      </w:r>
      <w:r w:rsidR="00110FE6">
        <w:t>review its current</w:t>
      </w:r>
      <w:r w:rsidRPr="006B75D8">
        <w:t xml:space="preserve"> GIA guidance </w:t>
      </w:r>
      <w:r w:rsidR="00110FE6">
        <w:t xml:space="preserve">and </w:t>
      </w:r>
      <w:r w:rsidRPr="006B75D8">
        <w:t>resource</w:t>
      </w:r>
      <w:r w:rsidR="00110FE6">
        <w:t xml:space="preserve">s to ensure </w:t>
      </w:r>
      <w:r w:rsidR="008646C8">
        <w:t>they are</w:t>
      </w:r>
      <w:r w:rsidR="00110FE6">
        <w:t xml:space="preserve"> accessible to </w:t>
      </w:r>
      <w:r w:rsidRPr="006B75D8">
        <w:t>practitioners who</w:t>
      </w:r>
      <w:r w:rsidR="00110FE6">
        <w:t xml:space="preserve"> are not</w:t>
      </w:r>
      <w:r w:rsidRPr="006B75D8">
        <w:t xml:space="preserve"> gender equality expert</w:t>
      </w:r>
      <w:r w:rsidR="00110FE6">
        <w:t>s</w:t>
      </w:r>
      <w:r w:rsidRPr="006B75D8">
        <w:t xml:space="preserve">. </w:t>
      </w:r>
    </w:p>
    <w:p w14:paraId="5FDA06C7" w14:textId="77777777" w:rsidR="00264BB4" w:rsidRPr="006B75D8" w:rsidRDefault="00264BB4" w:rsidP="00264BB4">
      <w:pPr>
        <w:pStyle w:val="Heading4"/>
        <w:rPr>
          <w:i w:val="0"/>
          <w:iCs w:val="0"/>
        </w:rPr>
      </w:pPr>
      <w:r w:rsidRPr="006B75D8">
        <w:rPr>
          <w:i w:val="0"/>
          <w:iCs w:val="0"/>
        </w:rPr>
        <w:t>Fund, design and deliver targeted training sessions on specific aspects of the GIA process</w:t>
      </w:r>
    </w:p>
    <w:p w14:paraId="4A42EE10" w14:textId="047078A0" w:rsidR="00264BB4" w:rsidRDefault="00264BB4" w:rsidP="00264BB4">
      <w:r>
        <w:t>Design and deliver short, sector</w:t>
      </w:r>
      <w:r w:rsidR="00E62EF9">
        <w:t>-</w:t>
      </w:r>
      <w:r>
        <w:t>specific training sessions that provide modules on specific aspects of the GIA process and implementation. This includes applied practice examples of how defined entities can assess whether a policy, program</w:t>
      </w:r>
      <w:r w:rsidR="00E62EF9">
        <w:t>,</w:t>
      </w:r>
      <w:r>
        <w:t xml:space="preserve"> or service has a direct and significant impact on the community. These training modules need to balance theory and applied practice</w:t>
      </w:r>
      <w:r w:rsidR="00E62EF9">
        <w:t>,</w:t>
      </w:r>
      <w:r>
        <w:t xml:space="preserve"> and showcase practical</w:t>
      </w:r>
      <w:r w:rsidR="00E62EF9">
        <w:t>,</w:t>
      </w:r>
      <w:r>
        <w:t xml:space="preserve"> accessible examples of how practitioners can implement GIA</w:t>
      </w:r>
      <w:r w:rsidR="00E62EF9">
        <w:t>s</w:t>
      </w:r>
      <w:r>
        <w:t xml:space="preserve">. </w:t>
      </w:r>
    </w:p>
    <w:p w14:paraId="511D30F8" w14:textId="69D051E3" w:rsidR="00DF5A53" w:rsidRPr="006B75D8" w:rsidRDefault="00DF5A53" w:rsidP="00707958">
      <w:pPr>
        <w:pStyle w:val="Heading4"/>
        <w:rPr>
          <w:i w:val="0"/>
          <w:iCs w:val="0"/>
        </w:rPr>
      </w:pPr>
      <w:r w:rsidRPr="006B75D8">
        <w:rPr>
          <w:i w:val="0"/>
          <w:iCs w:val="0"/>
        </w:rPr>
        <w:t xml:space="preserve">Support leadership capability development – from </w:t>
      </w:r>
      <w:r w:rsidR="00E62EF9">
        <w:rPr>
          <w:i w:val="0"/>
          <w:iCs w:val="0"/>
        </w:rPr>
        <w:t>e</w:t>
      </w:r>
      <w:r w:rsidRPr="006B75D8">
        <w:rPr>
          <w:i w:val="0"/>
          <w:iCs w:val="0"/>
        </w:rPr>
        <w:t>xecutive through middle management</w:t>
      </w:r>
    </w:p>
    <w:p w14:paraId="67EC75CE" w14:textId="5615D370" w:rsidR="00DF5A53" w:rsidRDefault="00DF5A53" w:rsidP="00DF5A53">
      <w:r>
        <w:t>Provid</w:t>
      </w:r>
      <w:r w:rsidR="00A775A3">
        <w:t>e</w:t>
      </w:r>
      <w:r>
        <w:t xml:space="preserve"> support</w:t>
      </w:r>
      <w:r w:rsidR="00A775A3">
        <w:t xml:space="preserve"> to build leadership</w:t>
      </w:r>
      <w:r>
        <w:t xml:space="preserve"> capacity and capability to embed and strengthen understanding</w:t>
      </w:r>
      <w:r w:rsidR="00E40801">
        <w:t>s</w:t>
      </w:r>
      <w:r>
        <w:t xml:space="preserve"> of </w:t>
      </w:r>
      <w:r w:rsidR="00A775A3">
        <w:t>g</w:t>
      </w:r>
      <w:r>
        <w:t xml:space="preserve">ender </w:t>
      </w:r>
      <w:r w:rsidR="00A775A3">
        <w:t>e</w:t>
      </w:r>
      <w:r>
        <w:t>quity</w:t>
      </w:r>
      <w:r w:rsidR="00A775A3">
        <w:t xml:space="preserve"> and what organisations </w:t>
      </w:r>
      <w:r>
        <w:t>need</w:t>
      </w:r>
      <w:r w:rsidR="00A775A3">
        <w:t xml:space="preserve"> to do </w:t>
      </w:r>
      <w:r>
        <w:t xml:space="preserve">to deliver </w:t>
      </w:r>
      <w:r w:rsidR="00E40801">
        <w:t>on</w:t>
      </w:r>
      <w:r>
        <w:t xml:space="preserve"> the objectives of the </w:t>
      </w:r>
      <w:r w:rsidR="008646C8">
        <w:t xml:space="preserve">GE </w:t>
      </w:r>
      <w:r>
        <w:t>Act.</w:t>
      </w:r>
      <w:r w:rsidR="00093A37">
        <w:t xml:space="preserve"> This </w:t>
      </w:r>
      <w:r w:rsidR="00E40801">
        <w:t>strategy</w:t>
      </w:r>
      <w:r w:rsidR="00093A37">
        <w:t xml:space="preserve"> must target CEOs and executives</w:t>
      </w:r>
      <w:r w:rsidR="00E62EF9">
        <w:t>,</w:t>
      </w:r>
      <w:r w:rsidR="00093A37">
        <w:t xml:space="preserve"> </w:t>
      </w:r>
      <w:r w:rsidR="00E40801">
        <w:t xml:space="preserve">right </w:t>
      </w:r>
      <w:r w:rsidR="00093A37">
        <w:t>through to frontline middle manage</w:t>
      </w:r>
      <w:r w:rsidR="00E40801">
        <w:t xml:space="preserve">rs and supervisors. </w:t>
      </w:r>
    </w:p>
    <w:p w14:paraId="75704643" w14:textId="04B80DA5" w:rsidR="00DF5A53" w:rsidRDefault="00165A45" w:rsidP="00DF5A53">
      <w:r>
        <w:t>It is</w:t>
      </w:r>
      <w:r w:rsidR="00DF5A53">
        <w:t xml:space="preserve"> recommend</w:t>
      </w:r>
      <w:r>
        <w:t>ed</w:t>
      </w:r>
      <w:r w:rsidR="00DF5A53">
        <w:t xml:space="preserve"> that the Commission facilitate and enable the leadership of defined entities to:</w:t>
      </w:r>
    </w:p>
    <w:p w14:paraId="6F445DCA" w14:textId="1E5D55BE" w:rsidR="00DF5A53" w:rsidRDefault="00165A45" w:rsidP="00DF5A53">
      <w:pPr>
        <w:pStyle w:val="ListParagraph"/>
        <w:numPr>
          <w:ilvl w:val="0"/>
          <w:numId w:val="30"/>
        </w:numPr>
      </w:pPr>
      <w:r>
        <w:t>Understand t</w:t>
      </w:r>
      <w:r w:rsidR="00DF5A53">
        <w:t xml:space="preserve">he role of leaders in transformational change as it relates to </w:t>
      </w:r>
      <w:r>
        <w:t>i</w:t>
      </w:r>
      <w:r w:rsidR="00DF5A53">
        <w:t xml:space="preserve">ntersectional </w:t>
      </w:r>
      <w:r>
        <w:t>g</w:t>
      </w:r>
      <w:r w:rsidR="00DF5A53">
        <w:t xml:space="preserve">ender </w:t>
      </w:r>
      <w:r>
        <w:t>e</w:t>
      </w:r>
      <w:r w:rsidR="00DF5A53">
        <w:t>quality</w:t>
      </w:r>
      <w:r w:rsidR="00E62EF9">
        <w:t>.</w:t>
      </w:r>
      <w:r w:rsidR="00DF5A53">
        <w:t xml:space="preserve"> </w:t>
      </w:r>
    </w:p>
    <w:p w14:paraId="2CCF0C7D" w14:textId="28D53B60" w:rsidR="00DF5A53" w:rsidRDefault="00DF5A53" w:rsidP="00DF5A53">
      <w:pPr>
        <w:pStyle w:val="ListParagraph"/>
        <w:numPr>
          <w:ilvl w:val="0"/>
          <w:numId w:val="30"/>
        </w:numPr>
      </w:pPr>
      <w:r>
        <w:t xml:space="preserve">Build </w:t>
      </w:r>
      <w:r w:rsidR="00E62EF9">
        <w:t>‘</w:t>
      </w:r>
      <w:r>
        <w:t>know-how</w:t>
      </w:r>
      <w:r w:rsidR="00E62EF9">
        <w:t>’</w:t>
      </w:r>
      <w:r>
        <w:t xml:space="preserve"> on the process and purpose of </w:t>
      </w:r>
      <w:r w:rsidR="00165A45">
        <w:t xml:space="preserve">GIA </w:t>
      </w:r>
      <w:r>
        <w:t>as a key strategy and protocol to create gender equit</w:t>
      </w:r>
      <w:r w:rsidR="00165A45">
        <w:t>able outcomes for Victorian communities</w:t>
      </w:r>
      <w:r>
        <w:t>.</w:t>
      </w:r>
    </w:p>
    <w:p w14:paraId="1E1EE5DD" w14:textId="77777777" w:rsidR="00DF5A53" w:rsidRDefault="00DF5A53" w:rsidP="00DF5A53">
      <w:r>
        <w:t>This could take the form of:</w:t>
      </w:r>
    </w:p>
    <w:p w14:paraId="22650995" w14:textId="77777777" w:rsidR="00DF5A53" w:rsidRDefault="00DF5A53" w:rsidP="00DF5A53">
      <w:pPr>
        <w:pStyle w:val="ListParagraph"/>
        <w:numPr>
          <w:ilvl w:val="0"/>
          <w:numId w:val="31"/>
        </w:numPr>
      </w:pPr>
      <w:r>
        <w:lastRenderedPageBreak/>
        <w:t>Coaching and mentoring</w:t>
      </w:r>
    </w:p>
    <w:p w14:paraId="192D58BF" w14:textId="3D14F2FB" w:rsidR="00DF5A53" w:rsidRDefault="00DF5A53" w:rsidP="00DF5A53">
      <w:pPr>
        <w:pStyle w:val="ListParagraph"/>
        <w:numPr>
          <w:ilvl w:val="0"/>
          <w:numId w:val="31"/>
        </w:numPr>
      </w:pPr>
      <w:r>
        <w:t xml:space="preserve">Communities of </w:t>
      </w:r>
      <w:r w:rsidR="006A272B">
        <w:t>p</w:t>
      </w:r>
      <w:r>
        <w:t>ractice</w:t>
      </w:r>
    </w:p>
    <w:p w14:paraId="7BB25307" w14:textId="7342FF32" w:rsidR="00DF5A53" w:rsidRDefault="00DF5A53" w:rsidP="00DF5A53">
      <w:pPr>
        <w:pStyle w:val="ListParagraph"/>
        <w:numPr>
          <w:ilvl w:val="0"/>
          <w:numId w:val="31"/>
        </w:numPr>
      </w:pPr>
      <w:r>
        <w:t xml:space="preserve">Targeted training for </w:t>
      </w:r>
      <w:r w:rsidR="006A272B">
        <w:t xml:space="preserve">executive leaders and </w:t>
      </w:r>
      <w:r>
        <w:t>managers on transformational leadership</w:t>
      </w:r>
      <w:r w:rsidR="006A272B">
        <w:t xml:space="preserve"> to advance gender equality </w:t>
      </w:r>
    </w:p>
    <w:p w14:paraId="032823DD" w14:textId="6FEA2565" w:rsidR="00DF5A53" w:rsidRDefault="000F3D8F" w:rsidP="00DF5A53">
      <w:pPr>
        <w:pStyle w:val="ListParagraph"/>
        <w:numPr>
          <w:ilvl w:val="0"/>
          <w:numId w:val="31"/>
        </w:numPr>
      </w:pPr>
      <w:r>
        <w:t>A</w:t>
      </w:r>
      <w:r w:rsidR="00DF5A53">
        <w:t xml:space="preserve">dvice for defined entities on the leadership skills and capabilities that need to be developed to support transformational gender equality change. This could be used by </w:t>
      </w:r>
      <w:r w:rsidR="006A272B">
        <w:t>defined entities’ l</w:t>
      </w:r>
      <w:r w:rsidR="00DF5A53">
        <w:t xml:space="preserve">earning and </w:t>
      </w:r>
      <w:r w:rsidR="006A272B">
        <w:t>d</w:t>
      </w:r>
      <w:r w:rsidR="00DF5A53">
        <w:t>evelopment teams to inform annual training schedules and plans.</w:t>
      </w:r>
    </w:p>
    <w:p w14:paraId="36E0D553" w14:textId="17539517" w:rsidR="000F3D8F" w:rsidRPr="006B75D8" w:rsidRDefault="000F3D8F" w:rsidP="00707958">
      <w:pPr>
        <w:pStyle w:val="Heading4"/>
        <w:rPr>
          <w:rFonts w:eastAsia="Times New Roman"/>
          <w:i w:val="0"/>
          <w:iCs w:val="0"/>
        </w:rPr>
      </w:pPr>
      <w:r w:rsidRPr="006B75D8">
        <w:rPr>
          <w:i w:val="0"/>
          <w:iCs w:val="0"/>
        </w:rPr>
        <w:t>Support, encourage</w:t>
      </w:r>
      <w:r w:rsidR="00E62EF9">
        <w:rPr>
          <w:i w:val="0"/>
          <w:iCs w:val="0"/>
        </w:rPr>
        <w:t>,</w:t>
      </w:r>
      <w:r w:rsidRPr="006B75D8">
        <w:rPr>
          <w:i w:val="0"/>
          <w:iCs w:val="0"/>
        </w:rPr>
        <w:t xml:space="preserve"> and enable collaborative practice and sharing</w:t>
      </w:r>
    </w:p>
    <w:p w14:paraId="6A64A4EB" w14:textId="13D487BE" w:rsidR="000F3D8F" w:rsidRDefault="000F3D8F" w:rsidP="000F3D8F">
      <w:r>
        <w:t>Fund and resource sector</w:t>
      </w:r>
      <w:r w:rsidR="00E62EF9">
        <w:t>-</w:t>
      </w:r>
      <w:r>
        <w:t xml:space="preserve"> and regionally</w:t>
      </w:r>
      <w:r w:rsidR="00A278E8">
        <w:t xml:space="preserve"> </w:t>
      </w:r>
      <w:r>
        <w:t xml:space="preserve">based collaborative practice forums, which provide opportunities for practitioners to </w:t>
      </w:r>
      <w:r w:rsidR="00E62EF9">
        <w:t xml:space="preserve">collaborate, </w:t>
      </w:r>
      <w:r>
        <w:t>build gender equality capability</w:t>
      </w:r>
      <w:r w:rsidR="00E62EF9">
        <w:t>,</w:t>
      </w:r>
      <w:r>
        <w:t xml:space="preserve"> and share practice knowledge. These forums and communities of practice, if connected to the Commission, could provide strategic and operational information about the ongoing educational support needs of the public sector and where further investment and resourcing is required to realise GIA and the outcomes of the </w:t>
      </w:r>
      <w:r w:rsidR="008646C8">
        <w:t xml:space="preserve">GE </w:t>
      </w:r>
      <w:r>
        <w:t xml:space="preserve">Act. </w:t>
      </w:r>
    </w:p>
    <w:p w14:paraId="7DD95FA9" w14:textId="77777777" w:rsidR="00707958" w:rsidRPr="006B75D8" w:rsidRDefault="00707958" w:rsidP="00707958">
      <w:pPr>
        <w:pStyle w:val="Heading4"/>
        <w:rPr>
          <w:i w:val="0"/>
          <w:iCs w:val="0"/>
        </w:rPr>
      </w:pPr>
      <w:r w:rsidRPr="006B75D8">
        <w:rPr>
          <w:i w:val="0"/>
          <w:iCs w:val="0"/>
        </w:rPr>
        <w:t>Encourage large departments and government agencies to support strategic coordination of GIA activity</w:t>
      </w:r>
    </w:p>
    <w:p w14:paraId="1737C42B" w14:textId="77777777" w:rsidR="00707958" w:rsidRDefault="00707958" w:rsidP="00707958">
      <w:r>
        <w:t xml:space="preserve">Work to strengthen and facilitate coordination and integration of GIA priorities and activities across government departments and agencies. A coordinated approach will assist to facilitate guidance and direction on what areas should be a priority for resourcing and funding, embed GIA institutional knowledge, and assist in reducing duplication.  </w:t>
      </w:r>
    </w:p>
    <w:p w14:paraId="02CD5FE5" w14:textId="7EBEC31E" w:rsidR="00DF5A53" w:rsidRDefault="007F7B08" w:rsidP="00707958">
      <w:pPr>
        <w:pStyle w:val="Heading4"/>
      </w:pPr>
      <w:r>
        <w:rPr>
          <w:i w:val="0"/>
          <w:iCs w:val="0"/>
        </w:rPr>
        <w:t>D</w:t>
      </w:r>
      <w:r w:rsidR="00DF5A53" w:rsidRPr="006B75D8">
        <w:rPr>
          <w:i w:val="0"/>
          <w:iCs w:val="0"/>
        </w:rPr>
        <w:t xml:space="preserve">evelop and produce a strategic audit on the first year of </w:t>
      </w:r>
      <w:r w:rsidR="00E62EF9">
        <w:rPr>
          <w:i w:val="0"/>
          <w:iCs w:val="0"/>
        </w:rPr>
        <w:t xml:space="preserve">implementation of </w:t>
      </w:r>
      <w:r w:rsidR="00DF5A53" w:rsidRPr="006B75D8">
        <w:rPr>
          <w:i w:val="0"/>
          <w:iCs w:val="0"/>
        </w:rPr>
        <w:t xml:space="preserve">the </w:t>
      </w:r>
      <w:r w:rsidR="00E62EF9">
        <w:rPr>
          <w:i w:val="0"/>
          <w:iCs w:val="0"/>
        </w:rPr>
        <w:t xml:space="preserve">GE </w:t>
      </w:r>
      <w:r w:rsidR="00DF5A53" w:rsidRPr="006B75D8">
        <w:rPr>
          <w:i w:val="0"/>
          <w:iCs w:val="0"/>
        </w:rPr>
        <w:t>Act to identify target areas for GIA in</w:t>
      </w:r>
      <w:r>
        <w:rPr>
          <w:i w:val="0"/>
          <w:iCs w:val="0"/>
        </w:rPr>
        <w:t>to</w:t>
      </w:r>
      <w:r w:rsidR="00DF5A53" w:rsidRPr="006B75D8">
        <w:rPr>
          <w:i w:val="0"/>
          <w:iCs w:val="0"/>
        </w:rPr>
        <w:t xml:space="preserve"> the future</w:t>
      </w:r>
    </w:p>
    <w:p w14:paraId="1BE48C3E" w14:textId="5F7D3DDC" w:rsidR="00DF5A53" w:rsidRDefault="00E62EF9" w:rsidP="00DF5A53">
      <w:r>
        <w:t>It is recommended that t</w:t>
      </w:r>
      <w:r w:rsidR="007F7B08">
        <w:t xml:space="preserve">he </w:t>
      </w:r>
      <w:r w:rsidR="00DF5A53">
        <w:t xml:space="preserve">Commission publish a report as part of its </w:t>
      </w:r>
      <w:r w:rsidR="007F7B08">
        <w:t>second-</w:t>
      </w:r>
      <w:r w:rsidR="00DF5A53">
        <w:t>yearly assessment of progress on the State Gender Equality Action Plan t</w:t>
      </w:r>
      <w:r w:rsidR="007F7B08">
        <w:t>hat</w:t>
      </w:r>
      <w:r w:rsidR="00DF5A53">
        <w:t>:</w:t>
      </w:r>
    </w:p>
    <w:p w14:paraId="29E4D4E8" w14:textId="62BB18F5" w:rsidR="00DF5A53" w:rsidRDefault="00E62EF9" w:rsidP="00DF5A53">
      <w:pPr>
        <w:pStyle w:val="ListParagraph"/>
        <w:numPr>
          <w:ilvl w:val="0"/>
          <w:numId w:val="29"/>
        </w:numPr>
      </w:pPr>
      <w:r>
        <w:t>Provides a</w:t>
      </w:r>
      <w:r w:rsidR="00DF5A53">
        <w:t xml:space="preserve">n overview of the strengths of </w:t>
      </w:r>
      <w:r w:rsidR="007F7B08">
        <w:t>g</w:t>
      </w:r>
      <w:r w:rsidR="00DF5A53">
        <w:t xml:space="preserve">ender </w:t>
      </w:r>
      <w:r w:rsidR="007F7B08">
        <w:t>e</w:t>
      </w:r>
      <w:r w:rsidR="00DF5A53">
        <w:t xml:space="preserve">quality activity across public entities under the </w:t>
      </w:r>
      <w:r w:rsidR="008646C8">
        <w:t xml:space="preserve">GE </w:t>
      </w:r>
      <w:r w:rsidR="00DF5A53">
        <w:t>Act</w:t>
      </w:r>
      <w:r>
        <w:t>.</w:t>
      </w:r>
    </w:p>
    <w:p w14:paraId="4AC8A378" w14:textId="13C82213" w:rsidR="00DF5A53" w:rsidRPr="00CB5255" w:rsidRDefault="00DF5A53" w:rsidP="00DF5A53">
      <w:pPr>
        <w:pStyle w:val="ListParagraph"/>
        <w:numPr>
          <w:ilvl w:val="0"/>
          <w:numId w:val="29"/>
        </w:numPr>
      </w:pPr>
      <w:r w:rsidRPr="00CB5255">
        <w:t xml:space="preserve">Identifies future areas of development and improvements of intersectional gender equality practice to meet the requirements of the </w:t>
      </w:r>
      <w:r w:rsidR="008646C8">
        <w:t xml:space="preserve">GE </w:t>
      </w:r>
      <w:r w:rsidRPr="00CB5255">
        <w:t>Act, and the strategies that will be employed to support public entities to achieve this</w:t>
      </w:r>
      <w:r w:rsidR="00E62EF9">
        <w:t>.</w:t>
      </w:r>
    </w:p>
    <w:p w14:paraId="0E340E9C" w14:textId="096D0F33" w:rsidR="00DF5A53" w:rsidRPr="00CB5255" w:rsidRDefault="00DF5A53" w:rsidP="00DF5A53">
      <w:pPr>
        <w:pStyle w:val="ListParagraph"/>
        <w:numPr>
          <w:ilvl w:val="0"/>
          <w:numId w:val="29"/>
        </w:numPr>
      </w:pPr>
      <w:r w:rsidRPr="00CB5255">
        <w:t>Identifies the role that the Commission will play in addressing areas of development</w:t>
      </w:r>
      <w:r w:rsidR="007F7B08" w:rsidRPr="00CB5255">
        <w:t>,</w:t>
      </w:r>
      <w:r w:rsidRPr="00CB5255">
        <w:t xml:space="preserve"> as well as the resources that are available outside the </w:t>
      </w:r>
      <w:r w:rsidR="007F7B08" w:rsidRPr="00CB5255">
        <w:t>C</w:t>
      </w:r>
      <w:r w:rsidRPr="00CB5255">
        <w:t>ommission to achieve this</w:t>
      </w:r>
      <w:r w:rsidR="00E62EF9">
        <w:t>.</w:t>
      </w:r>
    </w:p>
    <w:p w14:paraId="6729B4EE" w14:textId="05962AED" w:rsidR="00F85B5D" w:rsidRPr="00CB5255" w:rsidRDefault="00CB5255" w:rsidP="00DF5A53">
      <w:pPr>
        <w:pStyle w:val="ListParagraph"/>
        <w:numPr>
          <w:ilvl w:val="0"/>
          <w:numId w:val="29"/>
        </w:numPr>
      </w:pPr>
      <w:r w:rsidRPr="00CB5255">
        <w:t>Influence</w:t>
      </w:r>
      <w:r w:rsidR="00E62EF9">
        <w:t>s</w:t>
      </w:r>
      <w:r w:rsidRPr="00CB5255">
        <w:t xml:space="preserve"> </w:t>
      </w:r>
      <w:r w:rsidR="00F85B5D" w:rsidRPr="00CB5255">
        <w:t xml:space="preserve">defined entities to </w:t>
      </w:r>
      <w:r w:rsidR="007F7B08" w:rsidRPr="00CB5255">
        <w:t xml:space="preserve">properly </w:t>
      </w:r>
      <w:r w:rsidR="00F85B5D" w:rsidRPr="00CB5255">
        <w:t>resource their gender equ</w:t>
      </w:r>
      <w:r w:rsidR="007F7B08" w:rsidRPr="00CB5255">
        <w:t>ality</w:t>
      </w:r>
      <w:r w:rsidR="00F85B5D" w:rsidRPr="00CB5255">
        <w:t xml:space="preserve"> work</w:t>
      </w:r>
      <w:r w:rsidR="007F7B08" w:rsidRPr="00CB5255">
        <w:t xml:space="preserve">. </w:t>
      </w:r>
    </w:p>
    <w:p w14:paraId="7E212C3E" w14:textId="3A384862" w:rsidR="00DF5A53" w:rsidRDefault="005F34C9" w:rsidP="00DF5A53">
      <w:r w:rsidRPr="00CB5255">
        <w:t xml:space="preserve">It is </w:t>
      </w:r>
      <w:r w:rsidR="00F85B5D" w:rsidRPr="00CB5255">
        <w:t>recommend</w:t>
      </w:r>
      <w:r w:rsidRPr="00CB5255">
        <w:t>ed</w:t>
      </w:r>
      <w:r w:rsidR="00F85B5D" w:rsidRPr="00CB5255">
        <w:t xml:space="preserve"> that the Commission articulate to the Victorian Government the gendered reality of </w:t>
      </w:r>
      <w:r w:rsidRPr="00CB5255">
        <w:t>the workforce implementing GIA</w:t>
      </w:r>
      <w:r w:rsidR="00E62EF9">
        <w:t>s</w:t>
      </w:r>
      <w:r w:rsidRPr="00CB5255">
        <w:t xml:space="preserve"> and the </w:t>
      </w:r>
      <w:r w:rsidR="008646C8">
        <w:t xml:space="preserve">GE </w:t>
      </w:r>
      <w:r w:rsidRPr="00CB5255">
        <w:t xml:space="preserve">Act. This </w:t>
      </w:r>
      <w:r w:rsidR="00EB484C" w:rsidRPr="00CB5255">
        <w:t>sector is negatively impacted by inequity because it is a segregated workforce</w:t>
      </w:r>
      <w:r w:rsidRPr="00CB5255">
        <w:t xml:space="preserve">, </w:t>
      </w:r>
      <w:r w:rsidR="00A2146F">
        <w:t>which</w:t>
      </w:r>
      <w:r w:rsidR="00A2146F" w:rsidRPr="00CB5255">
        <w:t xml:space="preserve"> </w:t>
      </w:r>
      <w:r w:rsidR="00A2146F">
        <w:t>has</w:t>
      </w:r>
      <w:r w:rsidR="00A2146F" w:rsidRPr="00CB5255">
        <w:t xml:space="preserve"> </w:t>
      </w:r>
      <w:r w:rsidRPr="00CB5255">
        <w:t>skills and expertise that are not valued,</w:t>
      </w:r>
      <w:r w:rsidR="002B4CA4" w:rsidRPr="00CB5255">
        <w:t xml:space="preserve"> recognised</w:t>
      </w:r>
      <w:r w:rsidR="00E62EF9">
        <w:t>,</w:t>
      </w:r>
      <w:r w:rsidR="002B4CA4" w:rsidRPr="00CB5255">
        <w:t xml:space="preserve"> </w:t>
      </w:r>
      <w:r w:rsidR="00A2146F">
        <w:t>or</w:t>
      </w:r>
      <w:r w:rsidR="00A2146F" w:rsidRPr="00CB5255">
        <w:t xml:space="preserve"> </w:t>
      </w:r>
      <w:r w:rsidRPr="00CB5255">
        <w:t xml:space="preserve">appropriately </w:t>
      </w:r>
      <w:r w:rsidR="002B4CA4" w:rsidRPr="00CB5255">
        <w:t>funded.</w:t>
      </w:r>
      <w:r w:rsidR="002B4CA4">
        <w:t xml:space="preserve"> </w:t>
      </w:r>
    </w:p>
    <w:p w14:paraId="218C4E08" w14:textId="651B18EA" w:rsidR="0078667A" w:rsidRPr="00777543" w:rsidRDefault="0078667A" w:rsidP="00CA70F7">
      <w:pPr>
        <w:pStyle w:val="Heading4"/>
      </w:pPr>
      <w:r w:rsidRPr="00CA70F7">
        <w:rPr>
          <w:i w:val="0"/>
          <w:iCs w:val="0"/>
        </w:rPr>
        <w:t xml:space="preserve">Advocate that time and funding be provided to undertake </w:t>
      </w:r>
      <w:r w:rsidR="00E62EF9">
        <w:rPr>
          <w:i w:val="0"/>
          <w:iCs w:val="0"/>
        </w:rPr>
        <w:t>g</w:t>
      </w:r>
      <w:r w:rsidRPr="00CA70F7">
        <w:rPr>
          <w:i w:val="0"/>
          <w:iCs w:val="0"/>
        </w:rPr>
        <w:t xml:space="preserve">ender </w:t>
      </w:r>
      <w:r w:rsidR="00E62EF9">
        <w:rPr>
          <w:i w:val="0"/>
          <w:iCs w:val="0"/>
        </w:rPr>
        <w:t>e</w:t>
      </w:r>
      <w:r w:rsidRPr="00CA70F7">
        <w:rPr>
          <w:i w:val="0"/>
          <w:iCs w:val="0"/>
        </w:rPr>
        <w:t>quality work</w:t>
      </w:r>
    </w:p>
    <w:p w14:paraId="25FC795B" w14:textId="592025E6" w:rsidR="0078667A" w:rsidRDefault="008F7DFD" w:rsidP="00DF5A53">
      <w:r>
        <w:t xml:space="preserve">Given that time and resources </w:t>
      </w:r>
      <w:r w:rsidR="007C0745">
        <w:t>and</w:t>
      </w:r>
      <w:r>
        <w:t xml:space="preserve"> access to skills was a key and ongoing theme throughout the </w:t>
      </w:r>
      <w:r w:rsidR="007C0745">
        <w:t>consultation</w:t>
      </w:r>
      <w:r>
        <w:t>, this report recommends that the Commission:</w:t>
      </w:r>
    </w:p>
    <w:p w14:paraId="13604A34" w14:textId="2CC0414A" w:rsidR="008F7DFD" w:rsidRDefault="008F7DFD" w:rsidP="00CA70F7">
      <w:pPr>
        <w:pStyle w:val="ListParagraph"/>
        <w:numPr>
          <w:ilvl w:val="0"/>
          <w:numId w:val="41"/>
        </w:numPr>
      </w:pPr>
      <w:r>
        <w:t xml:space="preserve">Be clear about its role and the support it can and </w:t>
      </w:r>
      <w:r w:rsidR="007C0745">
        <w:t>cannot</w:t>
      </w:r>
      <w:r>
        <w:t xml:space="preserve"> provide</w:t>
      </w:r>
      <w:r w:rsidR="002912E9">
        <w:t>.</w:t>
      </w:r>
    </w:p>
    <w:p w14:paraId="76877088" w14:textId="66957837" w:rsidR="005C17D0" w:rsidRDefault="005C17D0" w:rsidP="00CA70F7">
      <w:pPr>
        <w:pStyle w:val="ListParagraph"/>
        <w:numPr>
          <w:ilvl w:val="0"/>
          <w:numId w:val="41"/>
        </w:numPr>
      </w:pPr>
      <w:r>
        <w:lastRenderedPageBreak/>
        <w:t xml:space="preserve">Advocate across the public service on the value of gender equality workers and leaders within the public sector as an enabler to the Victorian Government achieving its promise and commitment to the Victorian </w:t>
      </w:r>
      <w:r w:rsidR="007C0745">
        <w:t>c</w:t>
      </w:r>
      <w:r>
        <w:t>ommunity</w:t>
      </w:r>
      <w:r w:rsidR="002912E9">
        <w:t>.</w:t>
      </w:r>
    </w:p>
    <w:p w14:paraId="164BC777" w14:textId="0F31C900" w:rsidR="005C17D0" w:rsidRDefault="001D5C68" w:rsidP="00052D8F">
      <w:pPr>
        <w:pStyle w:val="ListParagraph"/>
        <w:numPr>
          <w:ilvl w:val="0"/>
          <w:numId w:val="41"/>
        </w:numPr>
      </w:pPr>
      <w:r>
        <w:t>Position the funding of gender equality work a</w:t>
      </w:r>
      <w:r w:rsidR="007C0745">
        <w:t>s a</w:t>
      </w:r>
      <w:r>
        <w:t xml:space="preserve"> </w:t>
      </w:r>
      <w:r w:rsidR="008C0B5C">
        <w:t>key</w:t>
      </w:r>
      <w:r w:rsidR="007C0745">
        <w:t xml:space="preserve"> contributor</w:t>
      </w:r>
      <w:r w:rsidR="008C0B5C">
        <w:t xml:space="preserve"> to success</w:t>
      </w:r>
      <w:r w:rsidR="002912E9">
        <w:t>.</w:t>
      </w:r>
    </w:p>
    <w:p w14:paraId="414C85C3" w14:textId="03F8B183" w:rsidR="00E61188" w:rsidRDefault="00E61188" w:rsidP="00052D8F">
      <w:pPr>
        <w:pStyle w:val="ListParagraph"/>
        <w:numPr>
          <w:ilvl w:val="0"/>
          <w:numId w:val="41"/>
        </w:numPr>
      </w:pPr>
      <w:r>
        <w:t xml:space="preserve">Establish and run practical gender equality information sessions for leaders and managers on how to </w:t>
      </w:r>
      <w:r w:rsidR="007C0745">
        <w:t>undertake</w:t>
      </w:r>
      <w:r>
        <w:t xml:space="preserve"> gender equality work</w:t>
      </w:r>
      <w:r w:rsidR="002912E9">
        <w:t>.</w:t>
      </w:r>
    </w:p>
    <w:p w14:paraId="3DF1C2B1" w14:textId="0122A2D5" w:rsidR="00E61188" w:rsidRDefault="00E61188" w:rsidP="00CA70F7">
      <w:pPr>
        <w:pStyle w:val="ListParagraph"/>
        <w:numPr>
          <w:ilvl w:val="0"/>
          <w:numId w:val="41"/>
        </w:numPr>
      </w:pPr>
      <w:r>
        <w:t>Consider advocacy around addressing the reality that gender equality work is gen</w:t>
      </w:r>
      <w:r w:rsidR="00396184">
        <w:t>dered</w:t>
      </w:r>
      <w:r w:rsidR="002912E9">
        <w:t>,</w:t>
      </w:r>
      <w:r w:rsidR="00396184">
        <w:t xml:space="preserve"> and the impact that this has from an intersectional gender equality perspective (that is</w:t>
      </w:r>
      <w:r w:rsidR="002912E9">
        <w:t>,</w:t>
      </w:r>
      <w:r w:rsidR="00396184">
        <w:t xml:space="preserve"> it is impacted as much as any other segregated workforce </w:t>
      </w:r>
      <w:r w:rsidR="002912E9">
        <w:t>by</w:t>
      </w:r>
      <w:r w:rsidR="00396184">
        <w:t xml:space="preserve"> low pay and </w:t>
      </w:r>
      <w:r w:rsidR="002912E9">
        <w:t xml:space="preserve">lack of </w:t>
      </w:r>
      <w:r w:rsidR="00396184">
        <w:t>resourc</w:t>
      </w:r>
      <w:r w:rsidR="002912E9">
        <w:t>ing</w:t>
      </w:r>
      <w:r w:rsidR="00396184">
        <w:t>)</w:t>
      </w:r>
      <w:r w:rsidR="00CA70F7">
        <w:t>.</w:t>
      </w:r>
    </w:p>
    <w:p w14:paraId="04A97720" w14:textId="77777777" w:rsidR="000F3D8F" w:rsidRDefault="000F3D8F"/>
    <w:sectPr w:rsidR="000F3D8F" w:rsidSect="0070613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85C8" w14:textId="77777777" w:rsidR="00B76457" w:rsidRDefault="00B76457" w:rsidP="00286E98">
      <w:pPr>
        <w:spacing w:after="0" w:line="240" w:lineRule="auto"/>
      </w:pPr>
      <w:r>
        <w:separator/>
      </w:r>
    </w:p>
  </w:endnote>
  <w:endnote w:type="continuationSeparator" w:id="0">
    <w:p w14:paraId="691B0307" w14:textId="77777777" w:rsidR="00B76457" w:rsidRDefault="00B76457" w:rsidP="00286E98">
      <w:pPr>
        <w:spacing w:after="0" w:line="240" w:lineRule="auto"/>
      </w:pPr>
      <w:r>
        <w:continuationSeparator/>
      </w:r>
    </w:p>
  </w:endnote>
  <w:endnote w:type="continuationNotice" w:id="1">
    <w:p w14:paraId="369E08E9" w14:textId="77777777" w:rsidR="00B76457" w:rsidRDefault="00B7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3789" w14:textId="77777777" w:rsidR="003D5599" w:rsidRDefault="003D5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4215"/>
      <w:docPartObj>
        <w:docPartGallery w:val="Page Numbers (Bottom of Page)"/>
        <w:docPartUnique/>
      </w:docPartObj>
    </w:sdtPr>
    <w:sdtEndPr>
      <w:rPr>
        <w:noProof/>
        <w:sz w:val="20"/>
        <w:szCs w:val="20"/>
      </w:rPr>
    </w:sdtEndPr>
    <w:sdtContent>
      <w:p w14:paraId="14499869" w14:textId="5BD8C38E" w:rsidR="00A825D3" w:rsidRPr="00A825D3" w:rsidRDefault="00A825D3">
        <w:pPr>
          <w:pStyle w:val="Footer"/>
          <w:jc w:val="center"/>
          <w:rPr>
            <w:sz w:val="20"/>
            <w:szCs w:val="20"/>
          </w:rPr>
        </w:pPr>
        <w:r w:rsidRPr="00A825D3">
          <w:rPr>
            <w:sz w:val="20"/>
            <w:szCs w:val="20"/>
          </w:rPr>
          <w:fldChar w:fldCharType="begin"/>
        </w:r>
        <w:r w:rsidRPr="00A825D3">
          <w:rPr>
            <w:sz w:val="20"/>
            <w:szCs w:val="20"/>
          </w:rPr>
          <w:instrText xml:space="preserve"> PAGE   \* MERGEFORMAT </w:instrText>
        </w:r>
        <w:r w:rsidRPr="00A825D3">
          <w:rPr>
            <w:sz w:val="20"/>
            <w:szCs w:val="20"/>
          </w:rPr>
          <w:fldChar w:fldCharType="separate"/>
        </w:r>
        <w:r w:rsidRPr="00A825D3">
          <w:rPr>
            <w:noProof/>
            <w:sz w:val="20"/>
            <w:szCs w:val="20"/>
          </w:rPr>
          <w:t>2</w:t>
        </w:r>
        <w:r w:rsidRPr="00A825D3">
          <w:rPr>
            <w:noProof/>
            <w:sz w:val="20"/>
            <w:szCs w:val="20"/>
          </w:rPr>
          <w:fldChar w:fldCharType="end"/>
        </w:r>
      </w:p>
    </w:sdtContent>
  </w:sdt>
  <w:p w14:paraId="30522C14" w14:textId="77777777" w:rsidR="00A825D3" w:rsidRDefault="00A8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A841" w14:textId="77777777" w:rsidR="003D5599" w:rsidRDefault="003D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23B7" w14:textId="77777777" w:rsidR="00B76457" w:rsidRDefault="00B76457" w:rsidP="00286E98">
      <w:pPr>
        <w:spacing w:after="0" w:line="240" w:lineRule="auto"/>
      </w:pPr>
      <w:r>
        <w:separator/>
      </w:r>
    </w:p>
  </w:footnote>
  <w:footnote w:type="continuationSeparator" w:id="0">
    <w:p w14:paraId="3E5EC952" w14:textId="77777777" w:rsidR="00B76457" w:rsidRDefault="00B76457" w:rsidP="00286E98">
      <w:pPr>
        <w:spacing w:after="0" w:line="240" w:lineRule="auto"/>
      </w:pPr>
      <w:r>
        <w:continuationSeparator/>
      </w:r>
    </w:p>
  </w:footnote>
  <w:footnote w:type="continuationNotice" w:id="1">
    <w:p w14:paraId="1604D449" w14:textId="77777777" w:rsidR="00B76457" w:rsidRDefault="00B76457">
      <w:pPr>
        <w:spacing w:after="0" w:line="240" w:lineRule="auto"/>
      </w:pPr>
    </w:p>
  </w:footnote>
  <w:footnote w:id="2">
    <w:p w14:paraId="6E3A4432" w14:textId="4A26CAF7" w:rsidR="00286E98" w:rsidRPr="00281179" w:rsidRDefault="00286E98">
      <w:pPr>
        <w:pStyle w:val="FootnoteText"/>
        <w:rPr>
          <w:b/>
          <w:bCs/>
        </w:rPr>
      </w:pPr>
      <w:r>
        <w:rPr>
          <w:rStyle w:val="FootnoteReference"/>
        </w:rPr>
        <w:footnoteRef/>
      </w:r>
      <w:r>
        <w:t xml:space="preserve"> </w:t>
      </w:r>
      <w:r w:rsidR="00281179" w:rsidRPr="006B75D8">
        <w:rPr>
          <w:sz w:val="18"/>
          <w:szCs w:val="18"/>
        </w:rPr>
        <w:t>Wood, D., Griffiths, K., and Crowley, T. (2021). Women’s work: The impact of the COVID crisis on Australian women. Grattan Institute.</w:t>
      </w:r>
    </w:p>
  </w:footnote>
  <w:footnote w:id="3">
    <w:p w14:paraId="7DC10F81" w14:textId="29C56CBB" w:rsidR="008D4775" w:rsidRDefault="008D4775">
      <w:pPr>
        <w:pStyle w:val="FootnoteText"/>
      </w:pPr>
      <w:r>
        <w:rPr>
          <w:rStyle w:val="FootnoteReference"/>
        </w:rPr>
        <w:footnoteRef/>
      </w:r>
      <w:r>
        <w:t xml:space="preserve"> </w:t>
      </w:r>
      <w:r w:rsidRPr="006B75D8">
        <w:rPr>
          <w:sz w:val="18"/>
          <w:szCs w:val="18"/>
        </w:rPr>
        <w:t>Wood, D., Griffiths, K., and Crowley, T. (2021). Women’s work: The impact of the COVID crisis on Australian women. Grattan Institute.</w:t>
      </w:r>
      <w:r w:rsidR="005A2BEC" w:rsidRPr="006B75D8">
        <w:rPr>
          <w:sz w:val="18"/>
          <w:szCs w:val="18"/>
        </w:rPr>
        <w:t xml:space="preserve"> (Briefing Pack p. 2)</w:t>
      </w:r>
    </w:p>
  </w:footnote>
  <w:footnote w:id="4">
    <w:p w14:paraId="60B3E3B1" w14:textId="4768DB2F" w:rsidR="000D59B2" w:rsidRDefault="000D59B2">
      <w:pPr>
        <w:pStyle w:val="FootnoteText"/>
      </w:pPr>
      <w:r>
        <w:rPr>
          <w:rStyle w:val="FootnoteReference"/>
        </w:rPr>
        <w:footnoteRef/>
      </w:r>
      <w:r>
        <w:t xml:space="preserve"> </w:t>
      </w:r>
      <w:r w:rsidRPr="006B75D8">
        <w:rPr>
          <w:sz w:val="18"/>
          <w:szCs w:val="18"/>
        </w:rPr>
        <w:t>Victorian Population Health Survey 2020 – Dashboard – Time Series</w:t>
      </w:r>
    </w:p>
  </w:footnote>
  <w:footnote w:id="5">
    <w:p w14:paraId="292CE5EA" w14:textId="4AAECD02" w:rsidR="005D3421" w:rsidRPr="00794C76" w:rsidRDefault="005D3421">
      <w:pPr>
        <w:pStyle w:val="FootnoteText"/>
        <w:rPr>
          <w:i/>
          <w:iCs/>
          <w:lang w:val="en-US"/>
        </w:rPr>
      </w:pPr>
      <w:r>
        <w:rPr>
          <w:rStyle w:val="FootnoteReference"/>
        </w:rPr>
        <w:footnoteRef/>
      </w:r>
      <w:r>
        <w:t xml:space="preserve"> </w:t>
      </w:r>
      <w:r w:rsidR="00794C76" w:rsidRPr="006B75D8">
        <w:rPr>
          <w:sz w:val="18"/>
          <w:szCs w:val="18"/>
          <w:lang w:val="en-US"/>
        </w:rPr>
        <w:t xml:space="preserve">European Institute for Gender Equality </w:t>
      </w:r>
      <w:hyperlink r:id="rId1" w:anchor=":~:text=Performing%20gender%20impact%20assessment%20ensures,and%20men%2C%20girls%20and%20boys.&amp;text=GIA%20allows%20policy%20makers%20to%20build%20up%20their%20capacity%20on%20gender%20equality." w:history="1">
        <w:r w:rsidR="00794C76" w:rsidRPr="006B75D8">
          <w:rPr>
            <w:rStyle w:val="Hyperlink"/>
            <w:sz w:val="18"/>
            <w:szCs w:val="18"/>
          </w:rPr>
          <w:t>Gender Impact Assessment</w:t>
        </w:r>
      </w:hyperlink>
      <w:r w:rsidR="00785E8A" w:rsidRPr="006B75D8">
        <w:rPr>
          <w:i/>
          <w:iCs/>
          <w:sz w:val="18"/>
          <w:szCs w:val="18"/>
          <w:lang w:val="en-US"/>
        </w:rPr>
        <w:t xml:space="preserve"> </w:t>
      </w:r>
    </w:p>
  </w:footnote>
  <w:footnote w:id="6">
    <w:p w14:paraId="4A6E5E04" w14:textId="07B4DD60" w:rsidR="00103A8E" w:rsidRPr="00103A8E" w:rsidRDefault="00103A8E">
      <w:pPr>
        <w:pStyle w:val="FootnoteText"/>
        <w:rPr>
          <w:lang w:val="en-US"/>
        </w:rPr>
      </w:pPr>
      <w:r>
        <w:rPr>
          <w:rStyle w:val="FootnoteReference"/>
        </w:rPr>
        <w:footnoteRef/>
      </w:r>
      <w:r>
        <w:t xml:space="preserve"> </w:t>
      </w:r>
      <w:r w:rsidRPr="006B75D8">
        <w:rPr>
          <w:sz w:val="18"/>
          <w:szCs w:val="18"/>
          <w:lang w:val="en-US"/>
        </w:rPr>
        <w:t xml:space="preserve">Commission for Gender Equality in the Public Sector </w:t>
      </w:r>
      <w:hyperlink r:id="rId2" w:history="1">
        <w:r w:rsidRPr="006B75D8">
          <w:rPr>
            <w:rStyle w:val="Hyperlink"/>
            <w:sz w:val="18"/>
            <w:szCs w:val="18"/>
          </w:rPr>
          <w:t>Promoting gender equality</w:t>
        </w:r>
      </w:hyperlink>
      <w:r w:rsidRPr="006B75D8">
        <w:rPr>
          <w:sz w:val="18"/>
          <w:szCs w:val="18"/>
          <w:lang w:val="en-US"/>
        </w:rPr>
        <w:t xml:space="preserve"> </w:t>
      </w:r>
    </w:p>
  </w:footnote>
  <w:footnote w:id="7">
    <w:p w14:paraId="020B9D78" w14:textId="44D92B9B" w:rsidR="000B452A" w:rsidRPr="006B75D8" w:rsidRDefault="000B452A" w:rsidP="006B75D8">
      <w:pPr>
        <w:spacing w:after="0"/>
        <w:rPr>
          <w:i/>
          <w:iCs/>
          <w:color w:val="000000" w:themeColor="text1"/>
          <w:sz w:val="18"/>
          <w:szCs w:val="18"/>
        </w:rPr>
      </w:pPr>
      <w:r w:rsidRPr="006B75D8">
        <w:rPr>
          <w:rStyle w:val="FootnoteReference"/>
          <w:color w:val="000000" w:themeColor="text1"/>
          <w:sz w:val="18"/>
          <w:szCs w:val="18"/>
        </w:rPr>
        <w:footnoteRef/>
      </w:r>
      <w:r w:rsidRPr="006B75D8">
        <w:rPr>
          <w:color w:val="000000" w:themeColor="text1"/>
          <w:sz w:val="18"/>
          <w:szCs w:val="18"/>
        </w:rPr>
        <w:t xml:space="preserve"> Health Communications Capacity Collaborative </w:t>
      </w:r>
      <w:hyperlink r:id="rId3" w:history="1">
        <w:r w:rsidRPr="006B75D8">
          <w:rPr>
            <w:rStyle w:val="Hyperlink"/>
            <w:i/>
            <w:iCs/>
            <w:color w:val="000000" w:themeColor="text1"/>
            <w:sz w:val="18"/>
            <w:szCs w:val="18"/>
          </w:rPr>
          <w:t>Gender Transformative Approaches: An HC3 Research Primer</w:t>
        </w:r>
      </w:hyperlink>
      <w:r w:rsidRPr="006B75D8">
        <w:rPr>
          <w:i/>
          <w:iCs/>
          <w:color w:val="000000" w:themeColor="text1"/>
          <w:sz w:val="18"/>
          <w:szCs w:val="18"/>
        </w:rPr>
        <w:t xml:space="preserve"> </w:t>
      </w:r>
    </w:p>
  </w:footnote>
  <w:footnote w:id="8">
    <w:p w14:paraId="6463EDBF" w14:textId="081F53DA" w:rsidR="00E72B7D" w:rsidRPr="006B75D8" w:rsidRDefault="00E72B7D">
      <w:pPr>
        <w:pStyle w:val="FootnoteText"/>
        <w:rPr>
          <w:color w:val="000000" w:themeColor="text1"/>
          <w:sz w:val="18"/>
          <w:szCs w:val="18"/>
        </w:rPr>
      </w:pPr>
      <w:r w:rsidRPr="006B75D8">
        <w:rPr>
          <w:rStyle w:val="FootnoteReference"/>
          <w:color w:val="000000" w:themeColor="text1"/>
          <w:sz w:val="18"/>
          <w:szCs w:val="18"/>
        </w:rPr>
        <w:footnoteRef/>
      </w:r>
      <w:r w:rsidRPr="006B75D8">
        <w:rPr>
          <w:color w:val="000000" w:themeColor="text1"/>
          <w:sz w:val="18"/>
          <w:szCs w:val="18"/>
        </w:rPr>
        <w:t xml:space="preserve"> Plowman, Penny “Organisational Change from Two Perspectives: Gender and Organisational Development</w:t>
      </w:r>
      <w:r w:rsidR="000B452A" w:rsidRPr="006B75D8">
        <w:rPr>
          <w:color w:val="000000" w:themeColor="text1"/>
          <w:sz w:val="18"/>
          <w:szCs w:val="18"/>
        </w:rPr>
        <w:t>,</w:t>
      </w:r>
      <w:r w:rsidRPr="006B75D8">
        <w:rPr>
          <w:color w:val="000000" w:themeColor="text1"/>
          <w:sz w:val="18"/>
          <w:szCs w:val="18"/>
        </w:rPr>
        <w:t xml:space="preserve"> </w:t>
      </w:r>
      <w:r w:rsidRPr="006B75D8">
        <w:rPr>
          <w:i/>
          <w:iCs/>
          <w:color w:val="000000" w:themeColor="text1"/>
          <w:sz w:val="18"/>
          <w:szCs w:val="18"/>
        </w:rPr>
        <w:t xml:space="preserve">Development in Practice </w:t>
      </w:r>
      <w:r w:rsidRPr="006B75D8">
        <w:rPr>
          <w:color w:val="000000" w:themeColor="text1"/>
          <w:sz w:val="18"/>
          <w:szCs w:val="18"/>
        </w:rPr>
        <w:t>May 2000 Vol 10 No 2</w:t>
      </w:r>
      <w:r w:rsidR="00CD6809" w:rsidRPr="006B75D8">
        <w:rPr>
          <w:color w:val="000000" w:themeColor="text1"/>
          <w:sz w:val="18"/>
          <w:szCs w:val="18"/>
        </w:rPr>
        <w:t xml:space="preserve">  pp 189-203</w:t>
      </w:r>
    </w:p>
  </w:footnote>
  <w:footnote w:id="9">
    <w:p w14:paraId="6D0C9FE5" w14:textId="3C465602" w:rsidR="00AD2B00" w:rsidRPr="006B75D8" w:rsidRDefault="00AD2B00">
      <w:pPr>
        <w:pStyle w:val="FootnoteText"/>
        <w:rPr>
          <w:color w:val="000000" w:themeColor="text1"/>
          <w:sz w:val="18"/>
          <w:szCs w:val="18"/>
        </w:rPr>
      </w:pPr>
      <w:r w:rsidRPr="006B75D8">
        <w:rPr>
          <w:rStyle w:val="FootnoteReference"/>
          <w:color w:val="000000" w:themeColor="text1"/>
          <w:sz w:val="18"/>
          <w:szCs w:val="18"/>
        </w:rPr>
        <w:footnoteRef/>
      </w:r>
      <w:r w:rsidRPr="006B75D8">
        <w:rPr>
          <w:color w:val="000000" w:themeColor="text1"/>
          <w:sz w:val="18"/>
          <w:szCs w:val="18"/>
        </w:rPr>
        <w:t xml:space="preserve"> </w:t>
      </w:r>
      <w:r w:rsidR="007969BD" w:rsidRPr="006B75D8">
        <w:rPr>
          <w:color w:val="000000" w:themeColor="text1"/>
          <w:sz w:val="18"/>
          <w:szCs w:val="18"/>
        </w:rPr>
        <w:t xml:space="preserve">O’Connor Pat, &amp; Irvine Gemma.. </w:t>
      </w:r>
      <w:r w:rsidR="008610B0" w:rsidRPr="006B75D8">
        <w:rPr>
          <w:color w:val="000000" w:themeColor="text1"/>
          <w:sz w:val="18"/>
          <w:szCs w:val="18"/>
        </w:rPr>
        <w:t>‘</w:t>
      </w:r>
      <w:r w:rsidR="007969BD" w:rsidRPr="006B75D8">
        <w:rPr>
          <w:color w:val="000000" w:themeColor="text1"/>
          <w:sz w:val="18"/>
          <w:szCs w:val="18"/>
        </w:rPr>
        <w:t>Multi-Level State Interventions and Gender Equality in Higher Education Institutions: The Irish Case</w:t>
      </w:r>
      <w:r w:rsidR="008610B0" w:rsidRPr="006B75D8">
        <w:rPr>
          <w:color w:val="000000" w:themeColor="text1"/>
          <w:sz w:val="18"/>
          <w:szCs w:val="18"/>
        </w:rPr>
        <w:t>’</w:t>
      </w:r>
      <w:r w:rsidR="007969BD" w:rsidRPr="006B75D8">
        <w:rPr>
          <w:color w:val="000000" w:themeColor="text1"/>
          <w:sz w:val="18"/>
          <w:szCs w:val="18"/>
        </w:rPr>
        <w:t>. </w:t>
      </w:r>
      <w:r w:rsidR="007969BD" w:rsidRPr="006B75D8">
        <w:rPr>
          <w:i/>
          <w:iCs/>
          <w:color w:val="000000" w:themeColor="text1"/>
          <w:sz w:val="18"/>
          <w:szCs w:val="18"/>
        </w:rPr>
        <w:t>Administrative Sciences</w:t>
      </w:r>
      <w:r w:rsidR="007969BD" w:rsidRPr="006B75D8">
        <w:rPr>
          <w:color w:val="000000" w:themeColor="text1"/>
          <w:sz w:val="18"/>
          <w:szCs w:val="18"/>
        </w:rPr>
        <w:t>, </w:t>
      </w:r>
      <w:r w:rsidR="008610B0" w:rsidRPr="006B75D8">
        <w:rPr>
          <w:color w:val="000000" w:themeColor="text1"/>
          <w:sz w:val="18"/>
          <w:szCs w:val="18"/>
        </w:rPr>
        <w:t xml:space="preserve">2020 </w:t>
      </w:r>
      <w:r w:rsidR="007969BD" w:rsidRPr="006B75D8">
        <w:rPr>
          <w:color w:val="000000" w:themeColor="text1"/>
          <w:sz w:val="18"/>
          <w:szCs w:val="18"/>
        </w:rPr>
        <w:t>10(4),</w:t>
      </w:r>
      <w:r w:rsidR="008610B0" w:rsidRPr="006B75D8">
        <w:rPr>
          <w:color w:val="000000" w:themeColor="text1"/>
          <w:sz w:val="18"/>
          <w:szCs w:val="18"/>
        </w:rPr>
        <w:t xml:space="preserve"> p</w:t>
      </w:r>
      <w:r w:rsidR="007969BD" w:rsidRPr="006B75D8">
        <w:rPr>
          <w:color w:val="000000" w:themeColor="text1"/>
          <w:sz w:val="18"/>
          <w:szCs w:val="18"/>
        </w:rPr>
        <w:t xml:space="preserve"> 98.</w:t>
      </w:r>
    </w:p>
  </w:footnote>
  <w:footnote w:id="10">
    <w:p w14:paraId="4EA19ED2" w14:textId="3718419E" w:rsidR="000A098F" w:rsidRPr="006B75D8" w:rsidRDefault="000A098F">
      <w:pPr>
        <w:pStyle w:val="FootnoteText"/>
        <w:rPr>
          <w:color w:val="000000" w:themeColor="text1"/>
          <w:sz w:val="18"/>
          <w:szCs w:val="18"/>
        </w:rPr>
      </w:pPr>
      <w:r w:rsidRPr="006B75D8">
        <w:rPr>
          <w:rStyle w:val="FootnoteReference"/>
          <w:color w:val="000000" w:themeColor="text1"/>
          <w:sz w:val="18"/>
          <w:szCs w:val="18"/>
        </w:rPr>
        <w:footnoteRef/>
      </w:r>
      <w:r w:rsidRPr="006B75D8">
        <w:rPr>
          <w:color w:val="000000" w:themeColor="text1"/>
          <w:sz w:val="18"/>
          <w:szCs w:val="18"/>
        </w:rPr>
        <w:t xml:space="preserve"> </w:t>
      </w:r>
      <w:r w:rsidR="00A153A2" w:rsidRPr="006B75D8">
        <w:rPr>
          <w:color w:val="000000" w:themeColor="text1"/>
          <w:sz w:val="18"/>
          <w:szCs w:val="18"/>
          <w:shd w:val="clear" w:color="auto" w:fill="FFFFFF"/>
        </w:rPr>
        <w:t>Macneil, Johanna, and Ziheng Liu. "The Role of Organizational Learning in Soft Regulation of Workplace Gender Equality." </w:t>
      </w:r>
      <w:r w:rsidR="00A153A2" w:rsidRPr="006B75D8">
        <w:rPr>
          <w:i/>
          <w:iCs/>
          <w:color w:val="000000" w:themeColor="text1"/>
          <w:sz w:val="18"/>
          <w:szCs w:val="18"/>
          <w:shd w:val="clear" w:color="auto" w:fill="FFFFFF"/>
        </w:rPr>
        <w:t>Employee Relations</w:t>
      </w:r>
      <w:r w:rsidR="00A153A2" w:rsidRPr="006B75D8">
        <w:rPr>
          <w:color w:val="000000" w:themeColor="text1"/>
          <w:sz w:val="18"/>
          <w:szCs w:val="18"/>
          <w:shd w:val="clear" w:color="auto" w:fill="FFFFFF"/>
        </w:rPr>
        <w:t> 39.3 (2017) pp 317-34.</w:t>
      </w:r>
    </w:p>
  </w:footnote>
  <w:footnote w:id="11">
    <w:p w14:paraId="7592C5B4" w14:textId="7344DED1" w:rsidR="00591E37" w:rsidRDefault="00591E37">
      <w:pPr>
        <w:pStyle w:val="FootnoteText"/>
      </w:pPr>
      <w:r w:rsidRPr="006B75D8">
        <w:rPr>
          <w:rStyle w:val="FootnoteReference"/>
          <w:color w:val="000000" w:themeColor="text1"/>
          <w:sz w:val="18"/>
          <w:szCs w:val="18"/>
        </w:rPr>
        <w:footnoteRef/>
      </w:r>
      <w:r w:rsidRPr="006B75D8">
        <w:rPr>
          <w:color w:val="000000" w:themeColor="text1"/>
          <w:sz w:val="18"/>
          <w:szCs w:val="18"/>
        </w:rPr>
        <w:t xml:space="preserve"> In making this point </w:t>
      </w:r>
      <w:r w:rsidR="000B452A" w:rsidRPr="006B75D8">
        <w:rPr>
          <w:color w:val="000000" w:themeColor="text1"/>
          <w:sz w:val="18"/>
          <w:szCs w:val="18"/>
        </w:rPr>
        <w:t>AG</w:t>
      </w:r>
      <w:r w:rsidR="004641D2">
        <w:rPr>
          <w:color w:val="000000" w:themeColor="text1"/>
          <w:sz w:val="18"/>
          <w:szCs w:val="18"/>
        </w:rPr>
        <w:t>E</w:t>
      </w:r>
      <w:r w:rsidR="000B452A" w:rsidRPr="006B75D8">
        <w:rPr>
          <w:color w:val="000000" w:themeColor="text1"/>
          <w:sz w:val="18"/>
          <w:szCs w:val="18"/>
        </w:rPr>
        <w:t>P</w:t>
      </w:r>
      <w:r w:rsidRPr="006B75D8">
        <w:rPr>
          <w:color w:val="000000" w:themeColor="text1"/>
          <w:sz w:val="18"/>
          <w:szCs w:val="18"/>
        </w:rPr>
        <w:t xml:space="preserve"> acknowledge</w:t>
      </w:r>
      <w:r w:rsidR="000B452A" w:rsidRPr="006B75D8">
        <w:rPr>
          <w:color w:val="000000" w:themeColor="text1"/>
          <w:sz w:val="18"/>
          <w:szCs w:val="18"/>
        </w:rPr>
        <w:t>s</w:t>
      </w:r>
      <w:r w:rsidRPr="006B75D8">
        <w:rPr>
          <w:color w:val="000000" w:themeColor="text1"/>
          <w:sz w:val="18"/>
          <w:szCs w:val="18"/>
        </w:rPr>
        <w:t xml:space="preserve"> the inherent structural and systemic biases that exist within leadership hegemony and models – particularly in so-called transformational leadership. We only seek to make the point that leaders within defined entities play a vital role in the implementation of the GE Act and their readiness is an enabler/barrier.</w:t>
      </w:r>
      <w:r w:rsidRPr="006B75D8">
        <w:rPr>
          <w:color w:val="000000" w:themeColor="text1"/>
        </w:rPr>
        <w:t xml:space="preserve"> </w:t>
      </w:r>
    </w:p>
  </w:footnote>
  <w:footnote w:id="12">
    <w:p w14:paraId="3CD4B8CB" w14:textId="77777777" w:rsidR="00F8385D" w:rsidRDefault="00F8385D" w:rsidP="006B75D8">
      <w:pPr>
        <w:keepNext/>
        <w:spacing w:after="40" w:line="240" w:lineRule="auto"/>
        <w:outlineLvl w:val="0"/>
        <w:rPr>
          <w:rFonts w:eastAsiaTheme="minorEastAsia"/>
          <w:color w:val="000000" w:themeColor="text1"/>
          <w:sz w:val="21"/>
          <w:szCs w:val="21"/>
        </w:rPr>
      </w:pPr>
      <w:r>
        <w:rPr>
          <w:rStyle w:val="FootnoteReference"/>
        </w:rPr>
        <w:footnoteRef/>
      </w:r>
      <w:r>
        <w:t xml:space="preserve"> </w:t>
      </w:r>
      <w:r w:rsidRPr="006B75D8">
        <w:rPr>
          <w:rFonts w:eastAsiaTheme="minorEastAsia"/>
          <w:color w:val="000000" w:themeColor="text1"/>
          <w:sz w:val="18"/>
          <w:szCs w:val="18"/>
        </w:rPr>
        <w:t xml:space="preserve">Braun, V., &amp; Clarke, V. (2006). Using thematic analysis in psychology. </w:t>
      </w:r>
      <w:r w:rsidRPr="006B75D8">
        <w:rPr>
          <w:rFonts w:eastAsiaTheme="minorEastAsia"/>
          <w:i/>
          <w:iCs/>
          <w:color w:val="000000" w:themeColor="text1"/>
          <w:sz w:val="18"/>
          <w:szCs w:val="18"/>
        </w:rPr>
        <w:t>Qualitative Research in Psychology, 3</w:t>
      </w:r>
      <w:r w:rsidRPr="006B75D8">
        <w:rPr>
          <w:rFonts w:eastAsiaTheme="minorEastAsia"/>
          <w:color w:val="000000" w:themeColor="text1"/>
          <w:sz w:val="18"/>
          <w:szCs w:val="18"/>
        </w:rPr>
        <w:t>(2), 77-101.</w:t>
      </w:r>
      <w:r w:rsidRPr="0E7F17CB">
        <w:rPr>
          <w:rFonts w:eastAsiaTheme="minorEastAsia"/>
          <w:color w:val="000000" w:themeColor="text1"/>
          <w:sz w:val="21"/>
          <w:szCs w:val="21"/>
        </w:rPr>
        <w:t xml:space="preserve"> </w:t>
      </w:r>
    </w:p>
    <w:p w14:paraId="4DE40237" w14:textId="47C2224E" w:rsidR="00F8385D" w:rsidRPr="006B75D8" w:rsidRDefault="00F8385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BF4" w14:textId="77777777" w:rsidR="003D5599" w:rsidRDefault="003D5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350E" w14:textId="7ABFA038" w:rsidR="00277330" w:rsidRPr="00D94079" w:rsidRDefault="00277330">
    <w:pPr>
      <w:pStyle w:val="Header"/>
      <w:rPr>
        <w:b/>
        <w:bCs/>
        <w:color w:val="808080" w:themeColor="background1" w:themeShade="80"/>
        <w:sz w:val="18"/>
        <w:szCs w:val="18"/>
      </w:rPr>
    </w:pPr>
    <w:r w:rsidRPr="00D94079">
      <w:rPr>
        <w:b/>
        <w:bCs/>
        <w:color w:val="808080" w:themeColor="background1" w:themeShade="80"/>
        <w:sz w:val="18"/>
        <w:szCs w:val="18"/>
      </w:rPr>
      <w:t>Report for the Commission for Gender Equality in the Public Sector</w:t>
    </w:r>
    <w:r w:rsidR="000D7FAF" w:rsidRPr="00D94079">
      <w:rPr>
        <w:rFonts w:ascii="Calibri Light" w:eastAsia="Times New Roman" w:hAnsi="Calibri Light" w:cs="Times New Roman"/>
        <w:noProof/>
        <w:color w:val="808080" w:themeColor="background1" w:themeShade="80"/>
        <w:spacing w:val="-7"/>
        <w:sz w:val="80"/>
        <w:szCs w:val="80"/>
      </w:rPr>
      <w:t xml:space="preserve"> </w:t>
    </w:r>
  </w:p>
  <w:p w14:paraId="6EE750DC" w14:textId="64D54848" w:rsidR="000D7FAF" w:rsidRPr="00D94079" w:rsidRDefault="000D7FAF">
    <w:pPr>
      <w:pStyle w:val="Header"/>
      <w:rPr>
        <w:color w:val="808080" w:themeColor="background1" w:themeShade="80"/>
        <w:sz w:val="18"/>
        <w:szCs w:val="18"/>
      </w:rPr>
    </w:pPr>
    <w:r w:rsidRPr="00D94079">
      <w:rPr>
        <w:color w:val="808080" w:themeColor="background1" w:themeShade="80"/>
        <w:sz w:val="18"/>
        <w:szCs w:val="18"/>
      </w:rPr>
      <w:t>Defined entity educational strategy for gender impact assessment processes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46DE" w14:textId="77777777" w:rsidR="003D5599" w:rsidRDefault="003D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C52"/>
    <w:multiLevelType w:val="hybridMultilevel"/>
    <w:tmpl w:val="215C36C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45E0E"/>
    <w:multiLevelType w:val="hybridMultilevel"/>
    <w:tmpl w:val="1C6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0420D"/>
    <w:multiLevelType w:val="hybridMultilevel"/>
    <w:tmpl w:val="5204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C53B1"/>
    <w:multiLevelType w:val="hybridMultilevel"/>
    <w:tmpl w:val="EDFE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B2AD9"/>
    <w:multiLevelType w:val="hybridMultilevel"/>
    <w:tmpl w:val="01B0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74825"/>
    <w:multiLevelType w:val="hybridMultilevel"/>
    <w:tmpl w:val="D53C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E34DA"/>
    <w:multiLevelType w:val="hybridMultilevel"/>
    <w:tmpl w:val="A9942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C54EE5"/>
    <w:multiLevelType w:val="hybridMultilevel"/>
    <w:tmpl w:val="E09A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47DBA"/>
    <w:multiLevelType w:val="hybridMultilevel"/>
    <w:tmpl w:val="2D1CE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42400"/>
    <w:multiLevelType w:val="hybridMultilevel"/>
    <w:tmpl w:val="9574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F22BC"/>
    <w:multiLevelType w:val="hybridMultilevel"/>
    <w:tmpl w:val="95BA68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9AE2B6A"/>
    <w:multiLevelType w:val="hybridMultilevel"/>
    <w:tmpl w:val="80C4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D72984"/>
    <w:multiLevelType w:val="hybridMultilevel"/>
    <w:tmpl w:val="B024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62E7"/>
    <w:multiLevelType w:val="hybridMultilevel"/>
    <w:tmpl w:val="EF240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767CF"/>
    <w:multiLevelType w:val="hybridMultilevel"/>
    <w:tmpl w:val="7BF607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A90950"/>
    <w:multiLevelType w:val="hybridMultilevel"/>
    <w:tmpl w:val="E2E8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EC2C1A"/>
    <w:multiLevelType w:val="hybridMultilevel"/>
    <w:tmpl w:val="2368D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710D4"/>
    <w:multiLevelType w:val="hybridMultilevel"/>
    <w:tmpl w:val="E8467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5E4395"/>
    <w:multiLevelType w:val="multilevel"/>
    <w:tmpl w:val="071AC98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2E75463"/>
    <w:multiLevelType w:val="hybridMultilevel"/>
    <w:tmpl w:val="B9EABE66"/>
    <w:lvl w:ilvl="0" w:tplc="8962E0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960B1"/>
    <w:multiLevelType w:val="hybridMultilevel"/>
    <w:tmpl w:val="59FA388A"/>
    <w:lvl w:ilvl="0" w:tplc="A826458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47724"/>
    <w:multiLevelType w:val="hybridMultilevel"/>
    <w:tmpl w:val="DD9E8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D714BD"/>
    <w:multiLevelType w:val="hybridMultilevel"/>
    <w:tmpl w:val="ADFE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3323A4"/>
    <w:multiLevelType w:val="hybridMultilevel"/>
    <w:tmpl w:val="E802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2717D"/>
    <w:multiLevelType w:val="multilevel"/>
    <w:tmpl w:val="1E7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270EF"/>
    <w:multiLevelType w:val="hybridMultilevel"/>
    <w:tmpl w:val="8480CCE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9640A9"/>
    <w:multiLevelType w:val="hybridMultilevel"/>
    <w:tmpl w:val="B95C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257CC"/>
    <w:multiLevelType w:val="hybridMultilevel"/>
    <w:tmpl w:val="D95AE658"/>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4F57CDF"/>
    <w:multiLevelType w:val="hybridMultilevel"/>
    <w:tmpl w:val="AB60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C824B4"/>
    <w:multiLevelType w:val="hybridMultilevel"/>
    <w:tmpl w:val="8E4C9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7E4EE2"/>
    <w:multiLevelType w:val="hybridMultilevel"/>
    <w:tmpl w:val="30D24DF6"/>
    <w:lvl w:ilvl="0" w:tplc="0C09000F">
      <w:start w:val="1"/>
      <w:numFmt w:val="decimal"/>
      <w:lvlText w:val="%1."/>
      <w:lvlJc w:val="left"/>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B807A1"/>
    <w:multiLevelType w:val="hybridMultilevel"/>
    <w:tmpl w:val="B5C4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3679F"/>
    <w:multiLevelType w:val="hybridMultilevel"/>
    <w:tmpl w:val="BF1C06C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EC0CE4"/>
    <w:multiLevelType w:val="hybridMultilevel"/>
    <w:tmpl w:val="7FDE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8A3199"/>
    <w:multiLevelType w:val="hybridMultilevel"/>
    <w:tmpl w:val="CA84E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C62"/>
    <w:multiLevelType w:val="hybridMultilevel"/>
    <w:tmpl w:val="85A69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5741AD"/>
    <w:multiLevelType w:val="hybridMultilevel"/>
    <w:tmpl w:val="062AE822"/>
    <w:lvl w:ilvl="0" w:tplc="0C09000F">
      <w:start w:val="1"/>
      <w:numFmt w:val="decimal"/>
      <w:lvlText w:val="%1."/>
      <w:lvlJc w:val="left"/>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571C0E"/>
    <w:multiLevelType w:val="hybridMultilevel"/>
    <w:tmpl w:val="E55C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74990"/>
    <w:multiLevelType w:val="hybridMultilevel"/>
    <w:tmpl w:val="C32E6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F0165C"/>
    <w:multiLevelType w:val="hybridMultilevel"/>
    <w:tmpl w:val="FF2E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F1583F"/>
    <w:multiLevelType w:val="hybridMultilevel"/>
    <w:tmpl w:val="50425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141F6B"/>
    <w:multiLevelType w:val="hybridMultilevel"/>
    <w:tmpl w:val="EA30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FC3C40"/>
    <w:multiLevelType w:val="hybridMultilevel"/>
    <w:tmpl w:val="4980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686030"/>
    <w:multiLevelType w:val="hybridMultilevel"/>
    <w:tmpl w:val="C91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7"/>
  </w:num>
  <w:num w:numId="5">
    <w:abstractNumId w:val="25"/>
  </w:num>
  <w:num w:numId="6">
    <w:abstractNumId w:val="16"/>
  </w:num>
  <w:num w:numId="7">
    <w:abstractNumId w:val="3"/>
  </w:num>
  <w:num w:numId="8">
    <w:abstractNumId w:val="4"/>
  </w:num>
  <w:num w:numId="9">
    <w:abstractNumId w:val="19"/>
  </w:num>
  <w:num w:numId="10">
    <w:abstractNumId w:val="33"/>
  </w:num>
  <w:num w:numId="11">
    <w:abstractNumId w:val="34"/>
  </w:num>
  <w:num w:numId="12">
    <w:abstractNumId w:val="36"/>
  </w:num>
  <w:num w:numId="13">
    <w:abstractNumId w:val="40"/>
  </w:num>
  <w:num w:numId="14">
    <w:abstractNumId w:val="11"/>
  </w:num>
  <w:num w:numId="15">
    <w:abstractNumId w:val="28"/>
  </w:num>
  <w:num w:numId="16">
    <w:abstractNumId w:val="39"/>
  </w:num>
  <w:num w:numId="17">
    <w:abstractNumId w:val="15"/>
  </w:num>
  <w:num w:numId="18">
    <w:abstractNumId w:val="13"/>
  </w:num>
  <w:num w:numId="19">
    <w:abstractNumId w:val="22"/>
  </w:num>
  <w:num w:numId="20">
    <w:abstractNumId w:val="23"/>
  </w:num>
  <w:num w:numId="21">
    <w:abstractNumId w:val="1"/>
  </w:num>
  <w:num w:numId="22">
    <w:abstractNumId w:val="0"/>
  </w:num>
  <w:num w:numId="23">
    <w:abstractNumId w:val="8"/>
  </w:num>
  <w:num w:numId="24">
    <w:abstractNumId w:val="32"/>
  </w:num>
  <w:num w:numId="25">
    <w:abstractNumId w:val="14"/>
  </w:num>
  <w:num w:numId="26">
    <w:abstractNumId w:val="26"/>
  </w:num>
  <w:num w:numId="27">
    <w:abstractNumId w:val="31"/>
  </w:num>
  <w:num w:numId="28">
    <w:abstractNumId w:val="30"/>
  </w:num>
  <w:num w:numId="29">
    <w:abstractNumId w:val="21"/>
  </w:num>
  <w:num w:numId="30">
    <w:abstractNumId w:val="9"/>
  </w:num>
  <w:num w:numId="31">
    <w:abstractNumId w:val="2"/>
  </w:num>
  <w:num w:numId="32">
    <w:abstractNumId w:val="12"/>
  </w:num>
  <w:num w:numId="33">
    <w:abstractNumId w:val="41"/>
  </w:num>
  <w:num w:numId="34">
    <w:abstractNumId w:val="29"/>
  </w:num>
  <w:num w:numId="35">
    <w:abstractNumId w:val="10"/>
  </w:num>
  <w:num w:numId="36">
    <w:abstractNumId w:val="43"/>
  </w:num>
  <w:num w:numId="37">
    <w:abstractNumId w:val="5"/>
  </w:num>
  <w:num w:numId="38">
    <w:abstractNumId w:val="35"/>
  </w:num>
  <w:num w:numId="39">
    <w:abstractNumId w:val="24"/>
  </w:num>
  <w:num w:numId="40">
    <w:abstractNumId w:val="37"/>
  </w:num>
  <w:num w:numId="41">
    <w:abstractNumId w:val="7"/>
  </w:num>
  <w:num w:numId="42">
    <w:abstractNumId w:val="42"/>
  </w:num>
  <w:num w:numId="43">
    <w:abstractNumId w:val="38"/>
  </w:num>
  <w:num w:numId="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86"/>
    <w:rsid w:val="000000DE"/>
    <w:rsid w:val="00000F82"/>
    <w:rsid w:val="00001D11"/>
    <w:rsid w:val="000035F9"/>
    <w:rsid w:val="000046A7"/>
    <w:rsid w:val="00004997"/>
    <w:rsid w:val="00005E05"/>
    <w:rsid w:val="0000642A"/>
    <w:rsid w:val="00011FA9"/>
    <w:rsid w:val="00012B1C"/>
    <w:rsid w:val="000130B5"/>
    <w:rsid w:val="00014244"/>
    <w:rsid w:val="0001450A"/>
    <w:rsid w:val="00014F93"/>
    <w:rsid w:val="0001570D"/>
    <w:rsid w:val="00016CBA"/>
    <w:rsid w:val="00017A30"/>
    <w:rsid w:val="000210AA"/>
    <w:rsid w:val="0002163C"/>
    <w:rsid w:val="00022B8C"/>
    <w:rsid w:val="00022DE6"/>
    <w:rsid w:val="000233B6"/>
    <w:rsid w:val="00024445"/>
    <w:rsid w:val="00024DB9"/>
    <w:rsid w:val="00032DFB"/>
    <w:rsid w:val="00033129"/>
    <w:rsid w:val="0003553A"/>
    <w:rsid w:val="00035B44"/>
    <w:rsid w:val="00036497"/>
    <w:rsid w:val="00040544"/>
    <w:rsid w:val="00040AD8"/>
    <w:rsid w:val="00041016"/>
    <w:rsid w:val="00041276"/>
    <w:rsid w:val="00041296"/>
    <w:rsid w:val="000424F0"/>
    <w:rsid w:val="00042ACC"/>
    <w:rsid w:val="00042B45"/>
    <w:rsid w:val="00043476"/>
    <w:rsid w:val="000440C1"/>
    <w:rsid w:val="000448B6"/>
    <w:rsid w:val="000469D5"/>
    <w:rsid w:val="00046D20"/>
    <w:rsid w:val="00047294"/>
    <w:rsid w:val="000513C1"/>
    <w:rsid w:val="000514DC"/>
    <w:rsid w:val="000518DD"/>
    <w:rsid w:val="0005289D"/>
    <w:rsid w:val="00052D8F"/>
    <w:rsid w:val="00055D6F"/>
    <w:rsid w:val="000570FD"/>
    <w:rsid w:val="00057C22"/>
    <w:rsid w:val="00060F50"/>
    <w:rsid w:val="0006199F"/>
    <w:rsid w:val="00062CE6"/>
    <w:rsid w:val="00063E89"/>
    <w:rsid w:val="000657CA"/>
    <w:rsid w:val="0006706E"/>
    <w:rsid w:val="00067D1D"/>
    <w:rsid w:val="00072012"/>
    <w:rsid w:val="0007392F"/>
    <w:rsid w:val="00073B28"/>
    <w:rsid w:val="00073D3C"/>
    <w:rsid w:val="00075B78"/>
    <w:rsid w:val="00076AC3"/>
    <w:rsid w:val="00077B8A"/>
    <w:rsid w:val="00081D61"/>
    <w:rsid w:val="000826F7"/>
    <w:rsid w:val="0008462A"/>
    <w:rsid w:val="000848D6"/>
    <w:rsid w:val="00090D78"/>
    <w:rsid w:val="00091C5A"/>
    <w:rsid w:val="00093A37"/>
    <w:rsid w:val="00094263"/>
    <w:rsid w:val="00096228"/>
    <w:rsid w:val="000A098F"/>
    <w:rsid w:val="000A0B5C"/>
    <w:rsid w:val="000A77C9"/>
    <w:rsid w:val="000B15E5"/>
    <w:rsid w:val="000B18F3"/>
    <w:rsid w:val="000B2C55"/>
    <w:rsid w:val="000B3014"/>
    <w:rsid w:val="000B3E71"/>
    <w:rsid w:val="000B452A"/>
    <w:rsid w:val="000B54FA"/>
    <w:rsid w:val="000C034F"/>
    <w:rsid w:val="000C051B"/>
    <w:rsid w:val="000C15C2"/>
    <w:rsid w:val="000C248C"/>
    <w:rsid w:val="000C2E3E"/>
    <w:rsid w:val="000C48E6"/>
    <w:rsid w:val="000C536B"/>
    <w:rsid w:val="000C5F69"/>
    <w:rsid w:val="000C71A4"/>
    <w:rsid w:val="000C724F"/>
    <w:rsid w:val="000C752B"/>
    <w:rsid w:val="000D59B2"/>
    <w:rsid w:val="000D5EE0"/>
    <w:rsid w:val="000D6C49"/>
    <w:rsid w:val="000D6C4E"/>
    <w:rsid w:val="000D7FAF"/>
    <w:rsid w:val="000E025C"/>
    <w:rsid w:val="000E3064"/>
    <w:rsid w:val="000E4147"/>
    <w:rsid w:val="000E4413"/>
    <w:rsid w:val="000E64FA"/>
    <w:rsid w:val="000E764B"/>
    <w:rsid w:val="000F0F6F"/>
    <w:rsid w:val="000F146E"/>
    <w:rsid w:val="000F3D8F"/>
    <w:rsid w:val="000F5760"/>
    <w:rsid w:val="000F6D6D"/>
    <w:rsid w:val="000F7463"/>
    <w:rsid w:val="001038A7"/>
    <w:rsid w:val="00103A8E"/>
    <w:rsid w:val="001060FA"/>
    <w:rsid w:val="00107E54"/>
    <w:rsid w:val="0011013D"/>
    <w:rsid w:val="00110FE6"/>
    <w:rsid w:val="0011121A"/>
    <w:rsid w:val="00113EDA"/>
    <w:rsid w:val="00115F37"/>
    <w:rsid w:val="001172C0"/>
    <w:rsid w:val="00117485"/>
    <w:rsid w:val="00117D75"/>
    <w:rsid w:val="00120730"/>
    <w:rsid w:val="00121603"/>
    <w:rsid w:val="00122B4E"/>
    <w:rsid w:val="00123727"/>
    <w:rsid w:val="00124B85"/>
    <w:rsid w:val="00124BE4"/>
    <w:rsid w:val="00126261"/>
    <w:rsid w:val="0012684D"/>
    <w:rsid w:val="00127375"/>
    <w:rsid w:val="001273D6"/>
    <w:rsid w:val="00131617"/>
    <w:rsid w:val="00133B23"/>
    <w:rsid w:val="00133B92"/>
    <w:rsid w:val="001340D5"/>
    <w:rsid w:val="00134F91"/>
    <w:rsid w:val="001353F4"/>
    <w:rsid w:val="0013643F"/>
    <w:rsid w:val="00140F0C"/>
    <w:rsid w:val="001419FB"/>
    <w:rsid w:val="001423C3"/>
    <w:rsid w:val="00142457"/>
    <w:rsid w:val="00143D47"/>
    <w:rsid w:val="001470BD"/>
    <w:rsid w:val="001502B8"/>
    <w:rsid w:val="00150360"/>
    <w:rsid w:val="00150E89"/>
    <w:rsid w:val="00150FDA"/>
    <w:rsid w:val="00151E79"/>
    <w:rsid w:val="0015270E"/>
    <w:rsid w:val="00154E6D"/>
    <w:rsid w:val="00155BDF"/>
    <w:rsid w:val="00156E50"/>
    <w:rsid w:val="00157E2D"/>
    <w:rsid w:val="00160CAF"/>
    <w:rsid w:val="00160EA5"/>
    <w:rsid w:val="00161AD8"/>
    <w:rsid w:val="0016287E"/>
    <w:rsid w:val="00165A45"/>
    <w:rsid w:val="00166626"/>
    <w:rsid w:val="0016736C"/>
    <w:rsid w:val="00172648"/>
    <w:rsid w:val="001727E7"/>
    <w:rsid w:val="00173833"/>
    <w:rsid w:val="00173864"/>
    <w:rsid w:val="001748F2"/>
    <w:rsid w:val="00174E30"/>
    <w:rsid w:val="00175965"/>
    <w:rsid w:val="00175D7C"/>
    <w:rsid w:val="001776D3"/>
    <w:rsid w:val="001778D0"/>
    <w:rsid w:val="001805EA"/>
    <w:rsid w:val="001807BA"/>
    <w:rsid w:val="00180F6F"/>
    <w:rsid w:val="001817BE"/>
    <w:rsid w:val="00182D78"/>
    <w:rsid w:val="001833FF"/>
    <w:rsid w:val="00183829"/>
    <w:rsid w:val="0018610D"/>
    <w:rsid w:val="00191D85"/>
    <w:rsid w:val="0019363B"/>
    <w:rsid w:val="00193CCA"/>
    <w:rsid w:val="00193F61"/>
    <w:rsid w:val="00194415"/>
    <w:rsid w:val="00197387"/>
    <w:rsid w:val="001A0B17"/>
    <w:rsid w:val="001A0CFC"/>
    <w:rsid w:val="001A5892"/>
    <w:rsid w:val="001A7433"/>
    <w:rsid w:val="001A7C8C"/>
    <w:rsid w:val="001B0494"/>
    <w:rsid w:val="001B2DA8"/>
    <w:rsid w:val="001B2F4D"/>
    <w:rsid w:val="001B4A73"/>
    <w:rsid w:val="001B70D5"/>
    <w:rsid w:val="001C0994"/>
    <w:rsid w:val="001C0B18"/>
    <w:rsid w:val="001C1B46"/>
    <w:rsid w:val="001C2C35"/>
    <w:rsid w:val="001D1997"/>
    <w:rsid w:val="001D1A1B"/>
    <w:rsid w:val="001D1E66"/>
    <w:rsid w:val="001D42F7"/>
    <w:rsid w:val="001D5C68"/>
    <w:rsid w:val="001D67A2"/>
    <w:rsid w:val="001D6BE5"/>
    <w:rsid w:val="001D7FF1"/>
    <w:rsid w:val="001E0FBC"/>
    <w:rsid w:val="001E1D1D"/>
    <w:rsid w:val="001E2B4A"/>
    <w:rsid w:val="001E40E9"/>
    <w:rsid w:val="001E7052"/>
    <w:rsid w:val="001E76EB"/>
    <w:rsid w:val="001E7939"/>
    <w:rsid w:val="001F0112"/>
    <w:rsid w:val="001F08E1"/>
    <w:rsid w:val="001F0ED6"/>
    <w:rsid w:val="001F12DB"/>
    <w:rsid w:val="001F2F2B"/>
    <w:rsid w:val="001F344A"/>
    <w:rsid w:val="001F45B4"/>
    <w:rsid w:val="001F5D04"/>
    <w:rsid w:val="001F75B5"/>
    <w:rsid w:val="002018A4"/>
    <w:rsid w:val="00201A18"/>
    <w:rsid w:val="002026A9"/>
    <w:rsid w:val="00203571"/>
    <w:rsid w:val="00204AFE"/>
    <w:rsid w:val="00205383"/>
    <w:rsid w:val="002058EB"/>
    <w:rsid w:val="0020682C"/>
    <w:rsid w:val="00211AFF"/>
    <w:rsid w:val="00211B88"/>
    <w:rsid w:val="002129A5"/>
    <w:rsid w:val="00215331"/>
    <w:rsid w:val="00215A6A"/>
    <w:rsid w:val="002168BD"/>
    <w:rsid w:val="00217D44"/>
    <w:rsid w:val="00217DAA"/>
    <w:rsid w:val="00220335"/>
    <w:rsid w:val="002206A4"/>
    <w:rsid w:val="00223EBF"/>
    <w:rsid w:val="00230651"/>
    <w:rsid w:val="002317E9"/>
    <w:rsid w:val="00231A09"/>
    <w:rsid w:val="00234221"/>
    <w:rsid w:val="00235B4C"/>
    <w:rsid w:val="002366E9"/>
    <w:rsid w:val="002367F0"/>
    <w:rsid w:val="00240571"/>
    <w:rsid w:val="002417E9"/>
    <w:rsid w:val="00244442"/>
    <w:rsid w:val="00244C03"/>
    <w:rsid w:val="002452CF"/>
    <w:rsid w:val="00245624"/>
    <w:rsid w:val="00245D30"/>
    <w:rsid w:val="0024649F"/>
    <w:rsid w:val="00252733"/>
    <w:rsid w:val="002531CD"/>
    <w:rsid w:val="0025423C"/>
    <w:rsid w:val="002548C4"/>
    <w:rsid w:val="00254F81"/>
    <w:rsid w:val="00261B33"/>
    <w:rsid w:val="00261C98"/>
    <w:rsid w:val="002622CB"/>
    <w:rsid w:val="002632B9"/>
    <w:rsid w:val="00263B50"/>
    <w:rsid w:val="00263BA1"/>
    <w:rsid w:val="00264530"/>
    <w:rsid w:val="00264BB4"/>
    <w:rsid w:val="0026639A"/>
    <w:rsid w:val="0026794D"/>
    <w:rsid w:val="002715ED"/>
    <w:rsid w:val="0027182F"/>
    <w:rsid w:val="00271F13"/>
    <w:rsid w:val="002733BB"/>
    <w:rsid w:val="00274361"/>
    <w:rsid w:val="00275DB4"/>
    <w:rsid w:val="00276F70"/>
    <w:rsid w:val="00277330"/>
    <w:rsid w:val="00277488"/>
    <w:rsid w:val="00277F85"/>
    <w:rsid w:val="00280439"/>
    <w:rsid w:val="00280B47"/>
    <w:rsid w:val="00281179"/>
    <w:rsid w:val="002817FE"/>
    <w:rsid w:val="00283CC7"/>
    <w:rsid w:val="00283CF7"/>
    <w:rsid w:val="0028567E"/>
    <w:rsid w:val="002856C1"/>
    <w:rsid w:val="00285A45"/>
    <w:rsid w:val="00285AA0"/>
    <w:rsid w:val="00286A76"/>
    <w:rsid w:val="00286E98"/>
    <w:rsid w:val="002912E9"/>
    <w:rsid w:val="00295C18"/>
    <w:rsid w:val="00295CE2"/>
    <w:rsid w:val="00296637"/>
    <w:rsid w:val="00296E66"/>
    <w:rsid w:val="002A2D24"/>
    <w:rsid w:val="002A5ECE"/>
    <w:rsid w:val="002A6101"/>
    <w:rsid w:val="002B15A1"/>
    <w:rsid w:val="002B1FAB"/>
    <w:rsid w:val="002B22DA"/>
    <w:rsid w:val="002B336E"/>
    <w:rsid w:val="002B3573"/>
    <w:rsid w:val="002B3E42"/>
    <w:rsid w:val="002B4CA4"/>
    <w:rsid w:val="002B6072"/>
    <w:rsid w:val="002B6F0B"/>
    <w:rsid w:val="002B7D62"/>
    <w:rsid w:val="002C0067"/>
    <w:rsid w:val="002C167F"/>
    <w:rsid w:val="002C4F00"/>
    <w:rsid w:val="002D0002"/>
    <w:rsid w:val="002D1572"/>
    <w:rsid w:val="002D1CFC"/>
    <w:rsid w:val="002D3062"/>
    <w:rsid w:val="002D3F06"/>
    <w:rsid w:val="002D47D1"/>
    <w:rsid w:val="002D70B4"/>
    <w:rsid w:val="002D7AB6"/>
    <w:rsid w:val="002E2A01"/>
    <w:rsid w:val="002E360B"/>
    <w:rsid w:val="002E5927"/>
    <w:rsid w:val="002E62E0"/>
    <w:rsid w:val="002E7851"/>
    <w:rsid w:val="002E7A3F"/>
    <w:rsid w:val="002F1779"/>
    <w:rsid w:val="002F324E"/>
    <w:rsid w:val="002F410A"/>
    <w:rsid w:val="002F52A3"/>
    <w:rsid w:val="002F7AE4"/>
    <w:rsid w:val="00303315"/>
    <w:rsid w:val="00312087"/>
    <w:rsid w:val="003144B8"/>
    <w:rsid w:val="00315BB8"/>
    <w:rsid w:val="00317BA1"/>
    <w:rsid w:val="00321230"/>
    <w:rsid w:val="00321479"/>
    <w:rsid w:val="00322994"/>
    <w:rsid w:val="0032377D"/>
    <w:rsid w:val="003248BF"/>
    <w:rsid w:val="00325573"/>
    <w:rsid w:val="00326A68"/>
    <w:rsid w:val="0032779A"/>
    <w:rsid w:val="0033092D"/>
    <w:rsid w:val="00330E82"/>
    <w:rsid w:val="003327A0"/>
    <w:rsid w:val="00334F97"/>
    <w:rsid w:val="0033672F"/>
    <w:rsid w:val="00340E1C"/>
    <w:rsid w:val="003411F0"/>
    <w:rsid w:val="003420A0"/>
    <w:rsid w:val="00345B79"/>
    <w:rsid w:val="00346E08"/>
    <w:rsid w:val="00346EBB"/>
    <w:rsid w:val="00350602"/>
    <w:rsid w:val="00353D8D"/>
    <w:rsid w:val="00354E6A"/>
    <w:rsid w:val="003577DE"/>
    <w:rsid w:val="003610CE"/>
    <w:rsid w:val="003619DA"/>
    <w:rsid w:val="0036366B"/>
    <w:rsid w:val="00363AE3"/>
    <w:rsid w:val="00371ACF"/>
    <w:rsid w:val="00373FAF"/>
    <w:rsid w:val="00375F36"/>
    <w:rsid w:val="00381257"/>
    <w:rsid w:val="00381B7D"/>
    <w:rsid w:val="0038322A"/>
    <w:rsid w:val="003841D7"/>
    <w:rsid w:val="003866DC"/>
    <w:rsid w:val="0038704E"/>
    <w:rsid w:val="00390336"/>
    <w:rsid w:val="00390815"/>
    <w:rsid w:val="00390FC3"/>
    <w:rsid w:val="0039114A"/>
    <w:rsid w:val="00392735"/>
    <w:rsid w:val="00393446"/>
    <w:rsid w:val="00396184"/>
    <w:rsid w:val="00397702"/>
    <w:rsid w:val="003A059F"/>
    <w:rsid w:val="003A1F6E"/>
    <w:rsid w:val="003A2991"/>
    <w:rsid w:val="003A348D"/>
    <w:rsid w:val="003A34C4"/>
    <w:rsid w:val="003A3F5B"/>
    <w:rsid w:val="003A4EDA"/>
    <w:rsid w:val="003A6B2A"/>
    <w:rsid w:val="003A6F28"/>
    <w:rsid w:val="003B0C03"/>
    <w:rsid w:val="003B2DCB"/>
    <w:rsid w:val="003B37F6"/>
    <w:rsid w:val="003B4373"/>
    <w:rsid w:val="003B5296"/>
    <w:rsid w:val="003B560A"/>
    <w:rsid w:val="003C0ADB"/>
    <w:rsid w:val="003C342F"/>
    <w:rsid w:val="003C43CD"/>
    <w:rsid w:val="003C5333"/>
    <w:rsid w:val="003C5D1C"/>
    <w:rsid w:val="003C6C72"/>
    <w:rsid w:val="003C7206"/>
    <w:rsid w:val="003D03F4"/>
    <w:rsid w:val="003D13BB"/>
    <w:rsid w:val="003D21B5"/>
    <w:rsid w:val="003D22CF"/>
    <w:rsid w:val="003D35B4"/>
    <w:rsid w:val="003D49D5"/>
    <w:rsid w:val="003D52F9"/>
    <w:rsid w:val="003D5599"/>
    <w:rsid w:val="003D6255"/>
    <w:rsid w:val="003E09C8"/>
    <w:rsid w:val="003E1391"/>
    <w:rsid w:val="003E160A"/>
    <w:rsid w:val="003E5779"/>
    <w:rsid w:val="003E5E06"/>
    <w:rsid w:val="003F062C"/>
    <w:rsid w:val="003F07F3"/>
    <w:rsid w:val="003F4085"/>
    <w:rsid w:val="003F5015"/>
    <w:rsid w:val="003F6160"/>
    <w:rsid w:val="003F680A"/>
    <w:rsid w:val="003F7A2C"/>
    <w:rsid w:val="003F7A6B"/>
    <w:rsid w:val="00405CC7"/>
    <w:rsid w:val="00405D37"/>
    <w:rsid w:val="00405EAA"/>
    <w:rsid w:val="004070C7"/>
    <w:rsid w:val="00413F43"/>
    <w:rsid w:val="00414F22"/>
    <w:rsid w:val="00415342"/>
    <w:rsid w:val="00417650"/>
    <w:rsid w:val="00417A6D"/>
    <w:rsid w:val="0042014A"/>
    <w:rsid w:val="0042036A"/>
    <w:rsid w:val="004203DC"/>
    <w:rsid w:val="0042208C"/>
    <w:rsid w:val="004249EF"/>
    <w:rsid w:val="00424C3D"/>
    <w:rsid w:val="00424EE3"/>
    <w:rsid w:val="00425D74"/>
    <w:rsid w:val="00426E69"/>
    <w:rsid w:val="00427241"/>
    <w:rsid w:val="00431D50"/>
    <w:rsid w:val="0043237F"/>
    <w:rsid w:val="004323EC"/>
    <w:rsid w:val="00432733"/>
    <w:rsid w:val="0043331F"/>
    <w:rsid w:val="004346DB"/>
    <w:rsid w:val="00435887"/>
    <w:rsid w:val="00437DC8"/>
    <w:rsid w:val="004401FE"/>
    <w:rsid w:val="00441397"/>
    <w:rsid w:val="00442875"/>
    <w:rsid w:val="00442CCE"/>
    <w:rsid w:val="00442CEF"/>
    <w:rsid w:val="00442EAD"/>
    <w:rsid w:val="00446B31"/>
    <w:rsid w:val="0045061D"/>
    <w:rsid w:val="004516C6"/>
    <w:rsid w:val="00451B05"/>
    <w:rsid w:val="00451B4C"/>
    <w:rsid w:val="00455964"/>
    <w:rsid w:val="00456FB4"/>
    <w:rsid w:val="00460BDC"/>
    <w:rsid w:val="00461750"/>
    <w:rsid w:val="00461D8A"/>
    <w:rsid w:val="004637FA"/>
    <w:rsid w:val="004641D2"/>
    <w:rsid w:val="004673FD"/>
    <w:rsid w:val="004676B8"/>
    <w:rsid w:val="00467771"/>
    <w:rsid w:val="00467AD9"/>
    <w:rsid w:val="00470820"/>
    <w:rsid w:val="0047158D"/>
    <w:rsid w:val="004744DF"/>
    <w:rsid w:val="00475494"/>
    <w:rsid w:val="00475E25"/>
    <w:rsid w:val="00483F02"/>
    <w:rsid w:val="00484D22"/>
    <w:rsid w:val="0048515B"/>
    <w:rsid w:val="00486ECE"/>
    <w:rsid w:val="00490A03"/>
    <w:rsid w:val="00492C87"/>
    <w:rsid w:val="00494D8D"/>
    <w:rsid w:val="00496209"/>
    <w:rsid w:val="00496450"/>
    <w:rsid w:val="0049750C"/>
    <w:rsid w:val="004A0773"/>
    <w:rsid w:val="004A138D"/>
    <w:rsid w:val="004A25F6"/>
    <w:rsid w:val="004A301E"/>
    <w:rsid w:val="004A36E1"/>
    <w:rsid w:val="004A4B90"/>
    <w:rsid w:val="004A4C42"/>
    <w:rsid w:val="004A4CF6"/>
    <w:rsid w:val="004A5544"/>
    <w:rsid w:val="004A662D"/>
    <w:rsid w:val="004B12B1"/>
    <w:rsid w:val="004B205A"/>
    <w:rsid w:val="004B21A4"/>
    <w:rsid w:val="004B3F7A"/>
    <w:rsid w:val="004B611D"/>
    <w:rsid w:val="004C12CB"/>
    <w:rsid w:val="004C1D43"/>
    <w:rsid w:val="004C3081"/>
    <w:rsid w:val="004C32C2"/>
    <w:rsid w:val="004C52FE"/>
    <w:rsid w:val="004C6F08"/>
    <w:rsid w:val="004D0F2F"/>
    <w:rsid w:val="004D4058"/>
    <w:rsid w:val="004D4583"/>
    <w:rsid w:val="004D6BD9"/>
    <w:rsid w:val="004D7658"/>
    <w:rsid w:val="004E01EC"/>
    <w:rsid w:val="004E39D2"/>
    <w:rsid w:val="004E4882"/>
    <w:rsid w:val="004E4BEB"/>
    <w:rsid w:val="004E6678"/>
    <w:rsid w:val="004E6B29"/>
    <w:rsid w:val="004E7827"/>
    <w:rsid w:val="004F0055"/>
    <w:rsid w:val="004F07C6"/>
    <w:rsid w:val="004F093B"/>
    <w:rsid w:val="004F1475"/>
    <w:rsid w:val="004F21D3"/>
    <w:rsid w:val="004F4260"/>
    <w:rsid w:val="004F4F40"/>
    <w:rsid w:val="004F529E"/>
    <w:rsid w:val="004F731B"/>
    <w:rsid w:val="004F740D"/>
    <w:rsid w:val="00500C9D"/>
    <w:rsid w:val="005019F8"/>
    <w:rsid w:val="005032E4"/>
    <w:rsid w:val="0050448A"/>
    <w:rsid w:val="005049A0"/>
    <w:rsid w:val="00506B95"/>
    <w:rsid w:val="0051022E"/>
    <w:rsid w:val="005127B6"/>
    <w:rsid w:val="00513676"/>
    <w:rsid w:val="00513BC4"/>
    <w:rsid w:val="00515496"/>
    <w:rsid w:val="0051681E"/>
    <w:rsid w:val="00520562"/>
    <w:rsid w:val="005229D5"/>
    <w:rsid w:val="00523234"/>
    <w:rsid w:val="00523971"/>
    <w:rsid w:val="005240E6"/>
    <w:rsid w:val="00525D09"/>
    <w:rsid w:val="00526685"/>
    <w:rsid w:val="00526B6E"/>
    <w:rsid w:val="00526D04"/>
    <w:rsid w:val="005333C7"/>
    <w:rsid w:val="0053357B"/>
    <w:rsid w:val="00534ACE"/>
    <w:rsid w:val="00535446"/>
    <w:rsid w:val="00535C75"/>
    <w:rsid w:val="005361DA"/>
    <w:rsid w:val="00536256"/>
    <w:rsid w:val="00537BFE"/>
    <w:rsid w:val="00540B70"/>
    <w:rsid w:val="005413B5"/>
    <w:rsid w:val="0054184C"/>
    <w:rsid w:val="0054221C"/>
    <w:rsid w:val="00542A81"/>
    <w:rsid w:val="005443C1"/>
    <w:rsid w:val="00544978"/>
    <w:rsid w:val="00544D06"/>
    <w:rsid w:val="00544D63"/>
    <w:rsid w:val="00545BED"/>
    <w:rsid w:val="00546EF2"/>
    <w:rsid w:val="00546F2B"/>
    <w:rsid w:val="00547082"/>
    <w:rsid w:val="00547A96"/>
    <w:rsid w:val="0055007A"/>
    <w:rsid w:val="0055064C"/>
    <w:rsid w:val="00554FB4"/>
    <w:rsid w:val="00555D15"/>
    <w:rsid w:val="005567C1"/>
    <w:rsid w:val="0056027C"/>
    <w:rsid w:val="00560B64"/>
    <w:rsid w:val="00560FF1"/>
    <w:rsid w:val="0056202E"/>
    <w:rsid w:val="00562C95"/>
    <w:rsid w:val="00562F5D"/>
    <w:rsid w:val="00563071"/>
    <w:rsid w:val="00563BE6"/>
    <w:rsid w:val="0056637E"/>
    <w:rsid w:val="005663C5"/>
    <w:rsid w:val="00566C05"/>
    <w:rsid w:val="00566FCC"/>
    <w:rsid w:val="0057729D"/>
    <w:rsid w:val="005777EC"/>
    <w:rsid w:val="005778A4"/>
    <w:rsid w:val="00577C42"/>
    <w:rsid w:val="0058023E"/>
    <w:rsid w:val="00580C2D"/>
    <w:rsid w:val="00584858"/>
    <w:rsid w:val="00584DB1"/>
    <w:rsid w:val="0058558C"/>
    <w:rsid w:val="00586B02"/>
    <w:rsid w:val="00586FD0"/>
    <w:rsid w:val="00587A09"/>
    <w:rsid w:val="00590B8C"/>
    <w:rsid w:val="00590E68"/>
    <w:rsid w:val="00591E37"/>
    <w:rsid w:val="0059260A"/>
    <w:rsid w:val="00592884"/>
    <w:rsid w:val="00592D52"/>
    <w:rsid w:val="00593621"/>
    <w:rsid w:val="00593E9C"/>
    <w:rsid w:val="00595EC3"/>
    <w:rsid w:val="00596508"/>
    <w:rsid w:val="005971A4"/>
    <w:rsid w:val="00597F87"/>
    <w:rsid w:val="005A2BEC"/>
    <w:rsid w:val="005A3583"/>
    <w:rsid w:val="005A5171"/>
    <w:rsid w:val="005A5988"/>
    <w:rsid w:val="005A7370"/>
    <w:rsid w:val="005A7DD8"/>
    <w:rsid w:val="005B17FE"/>
    <w:rsid w:val="005B1D5B"/>
    <w:rsid w:val="005B1D64"/>
    <w:rsid w:val="005B2F68"/>
    <w:rsid w:val="005B40FB"/>
    <w:rsid w:val="005B535E"/>
    <w:rsid w:val="005B7587"/>
    <w:rsid w:val="005B7814"/>
    <w:rsid w:val="005C0327"/>
    <w:rsid w:val="005C0E71"/>
    <w:rsid w:val="005C17D0"/>
    <w:rsid w:val="005C224B"/>
    <w:rsid w:val="005C440C"/>
    <w:rsid w:val="005C6415"/>
    <w:rsid w:val="005D15F2"/>
    <w:rsid w:val="005D3421"/>
    <w:rsid w:val="005D3C1E"/>
    <w:rsid w:val="005D4911"/>
    <w:rsid w:val="005E1CEB"/>
    <w:rsid w:val="005E2A95"/>
    <w:rsid w:val="005E4461"/>
    <w:rsid w:val="005E5A01"/>
    <w:rsid w:val="005E6805"/>
    <w:rsid w:val="005E6C13"/>
    <w:rsid w:val="005F0F09"/>
    <w:rsid w:val="005F1A91"/>
    <w:rsid w:val="005F34C9"/>
    <w:rsid w:val="005F3D45"/>
    <w:rsid w:val="005F4A08"/>
    <w:rsid w:val="005F4F4D"/>
    <w:rsid w:val="005F597B"/>
    <w:rsid w:val="00601136"/>
    <w:rsid w:val="0060123E"/>
    <w:rsid w:val="00601466"/>
    <w:rsid w:val="006026A9"/>
    <w:rsid w:val="00602E28"/>
    <w:rsid w:val="00604BB1"/>
    <w:rsid w:val="006054EF"/>
    <w:rsid w:val="00611DE0"/>
    <w:rsid w:val="00612950"/>
    <w:rsid w:val="00612DA5"/>
    <w:rsid w:val="006150B2"/>
    <w:rsid w:val="006151F0"/>
    <w:rsid w:val="006169FA"/>
    <w:rsid w:val="006205D2"/>
    <w:rsid w:val="00621007"/>
    <w:rsid w:val="00623945"/>
    <w:rsid w:val="00624D85"/>
    <w:rsid w:val="006261DE"/>
    <w:rsid w:val="00626F09"/>
    <w:rsid w:val="006276EF"/>
    <w:rsid w:val="00631673"/>
    <w:rsid w:val="00631B39"/>
    <w:rsid w:val="00632210"/>
    <w:rsid w:val="006325A0"/>
    <w:rsid w:val="00633A8F"/>
    <w:rsid w:val="00633AEB"/>
    <w:rsid w:val="00635B63"/>
    <w:rsid w:val="00635F96"/>
    <w:rsid w:val="006436A7"/>
    <w:rsid w:val="00645044"/>
    <w:rsid w:val="0064552A"/>
    <w:rsid w:val="0065004E"/>
    <w:rsid w:val="0065102B"/>
    <w:rsid w:val="006519C3"/>
    <w:rsid w:val="00654C58"/>
    <w:rsid w:val="00660B06"/>
    <w:rsid w:val="00661514"/>
    <w:rsid w:val="00661B20"/>
    <w:rsid w:val="006630EC"/>
    <w:rsid w:val="00663C94"/>
    <w:rsid w:val="00667ED0"/>
    <w:rsid w:val="00670673"/>
    <w:rsid w:val="00670F06"/>
    <w:rsid w:val="006712E4"/>
    <w:rsid w:val="00672195"/>
    <w:rsid w:val="00673BF5"/>
    <w:rsid w:val="0067464B"/>
    <w:rsid w:val="006769D6"/>
    <w:rsid w:val="00681038"/>
    <w:rsid w:val="006812F3"/>
    <w:rsid w:val="0068240F"/>
    <w:rsid w:val="00682B98"/>
    <w:rsid w:val="00683841"/>
    <w:rsid w:val="0068401F"/>
    <w:rsid w:val="00686FCC"/>
    <w:rsid w:val="00687030"/>
    <w:rsid w:val="006916DD"/>
    <w:rsid w:val="0069380A"/>
    <w:rsid w:val="006A1D71"/>
    <w:rsid w:val="006A272B"/>
    <w:rsid w:val="006A33F2"/>
    <w:rsid w:val="006A4B1A"/>
    <w:rsid w:val="006A4D40"/>
    <w:rsid w:val="006A69B3"/>
    <w:rsid w:val="006A6A96"/>
    <w:rsid w:val="006A7257"/>
    <w:rsid w:val="006A779C"/>
    <w:rsid w:val="006B0391"/>
    <w:rsid w:val="006B193C"/>
    <w:rsid w:val="006B2330"/>
    <w:rsid w:val="006B3045"/>
    <w:rsid w:val="006B3A12"/>
    <w:rsid w:val="006B64CF"/>
    <w:rsid w:val="006B6F09"/>
    <w:rsid w:val="006B75D8"/>
    <w:rsid w:val="006B7F0C"/>
    <w:rsid w:val="006C002A"/>
    <w:rsid w:val="006C2151"/>
    <w:rsid w:val="006C2D88"/>
    <w:rsid w:val="006C332D"/>
    <w:rsid w:val="006C4BA9"/>
    <w:rsid w:val="006C5870"/>
    <w:rsid w:val="006C6E5D"/>
    <w:rsid w:val="006D0D1E"/>
    <w:rsid w:val="006D23A5"/>
    <w:rsid w:val="006D2E97"/>
    <w:rsid w:val="006D3BE5"/>
    <w:rsid w:val="006D5ADD"/>
    <w:rsid w:val="006D790A"/>
    <w:rsid w:val="006E107D"/>
    <w:rsid w:val="006E31F0"/>
    <w:rsid w:val="006E3427"/>
    <w:rsid w:val="006E4926"/>
    <w:rsid w:val="006E72AE"/>
    <w:rsid w:val="006E798E"/>
    <w:rsid w:val="006E7CCE"/>
    <w:rsid w:val="006F0954"/>
    <w:rsid w:val="006F0E23"/>
    <w:rsid w:val="006F0F3B"/>
    <w:rsid w:val="006F5ED7"/>
    <w:rsid w:val="006F678E"/>
    <w:rsid w:val="006F6D37"/>
    <w:rsid w:val="00701573"/>
    <w:rsid w:val="00701B9B"/>
    <w:rsid w:val="0070287D"/>
    <w:rsid w:val="00704E86"/>
    <w:rsid w:val="00706135"/>
    <w:rsid w:val="00707958"/>
    <w:rsid w:val="00710CF8"/>
    <w:rsid w:val="00712F47"/>
    <w:rsid w:val="00713237"/>
    <w:rsid w:val="00713CC1"/>
    <w:rsid w:val="007210E7"/>
    <w:rsid w:val="00721952"/>
    <w:rsid w:val="00722074"/>
    <w:rsid w:val="00722601"/>
    <w:rsid w:val="00723B39"/>
    <w:rsid w:val="00724DEA"/>
    <w:rsid w:val="00727281"/>
    <w:rsid w:val="00735826"/>
    <w:rsid w:val="00737747"/>
    <w:rsid w:val="0074088A"/>
    <w:rsid w:val="00740929"/>
    <w:rsid w:val="00740B83"/>
    <w:rsid w:val="00741656"/>
    <w:rsid w:val="007418CC"/>
    <w:rsid w:val="00744B93"/>
    <w:rsid w:val="0074650A"/>
    <w:rsid w:val="007474DE"/>
    <w:rsid w:val="00752960"/>
    <w:rsid w:val="00755D15"/>
    <w:rsid w:val="00757322"/>
    <w:rsid w:val="00761F72"/>
    <w:rsid w:val="00761F86"/>
    <w:rsid w:val="007633C3"/>
    <w:rsid w:val="00764ACC"/>
    <w:rsid w:val="00767096"/>
    <w:rsid w:val="00770471"/>
    <w:rsid w:val="00771209"/>
    <w:rsid w:val="00777543"/>
    <w:rsid w:val="007804DC"/>
    <w:rsid w:val="007836A3"/>
    <w:rsid w:val="007855F0"/>
    <w:rsid w:val="00785E8A"/>
    <w:rsid w:val="00786172"/>
    <w:rsid w:val="007862D5"/>
    <w:rsid w:val="0078638A"/>
    <w:rsid w:val="0078667A"/>
    <w:rsid w:val="00787748"/>
    <w:rsid w:val="00787EAA"/>
    <w:rsid w:val="00794A2C"/>
    <w:rsid w:val="00794C76"/>
    <w:rsid w:val="007969BD"/>
    <w:rsid w:val="00797287"/>
    <w:rsid w:val="007A1F56"/>
    <w:rsid w:val="007A2DF3"/>
    <w:rsid w:val="007A323A"/>
    <w:rsid w:val="007A42CE"/>
    <w:rsid w:val="007A6519"/>
    <w:rsid w:val="007A742C"/>
    <w:rsid w:val="007A7FF1"/>
    <w:rsid w:val="007B041A"/>
    <w:rsid w:val="007B05B0"/>
    <w:rsid w:val="007B15EB"/>
    <w:rsid w:val="007B318C"/>
    <w:rsid w:val="007B4276"/>
    <w:rsid w:val="007B4A9A"/>
    <w:rsid w:val="007B4F1B"/>
    <w:rsid w:val="007B626A"/>
    <w:rsid w:val="007B6B18"/>
    <w:rsid w:val="007C0745"/>
    <w:rsid w:val="007C0972"/>
    <w:rsid w:val="007C2EE9"/>
    <w:rsid w:val="007C30A4"/>
    <w:rsid w:val="007C35AF"/>
    <w:rsid w:val="007C44E3"/>
    <w:rsid w:val="007D00C2"/>
    <w:rsid w:val="007D07D3"/>
    <w:rsid w:val="007D121D"/>
    <w:rsid w:val="007D2022"/>
    <w:rsid w:val="007D3BC0"/>
    <w:rsid w:val="007D40FD"/>
    <w:rsid w:val="007D5447"/>
    <w:rsid w:val="007E1CE2"/>
    <w:rsid w:val="007E3A09"/>
    <w:rsid w:val="007E3A17"/>
    <w:rsid w:val="007E551D"/>
    <w:rsid w:val="007F237F"/>
    <w:rsid w:val="007F4487"/>
    <w:rsid w:val="007F4BEB"/>
    <w:rsid w:val="007F4CD3"/>
    <w:rsid w:val="007F511B"/>
    <w:rsid w:val="007F6479"/>
    <w:rsid w:val="007F7B08"/>
    <w:rsid w:val="00801C28"/>
    <w:rsid w:val="00802ACA"/>
    <w:rsid w:val="00805AFE"/>
    <w:rsid w:val="00805F58"/>
    <w:rsid w:val="008060AB"/>
    <w:rsid w:val="008067D1"/>
    <w:rsid w:val="008071CE"/>
    <w:rsid w:val="00810C15"/>
    <w:rsid w:val="00814A5B"/>
    <w:rsid w:val="00814DDE"/>
    <w:rsid w:val="00815D69"/>
    <w:rsid w:val="00816475"/>
    <w:rsid w:val="00817009"/>
    <w:rsid w:val="00817807"/>
    <w:rsid w:val="008200B1"/>
    <w:rsid w:val="00821518"/>
    <w:rsid w:val="00821714"/>
    <w:rsid w:val="00821DF0"/>
    <w:rsid w:val="008222B4"/>
    <w:rsid w:val="0082356D"/>
    <w:rsid w:val="00823898"/>
    <w:rsid w:val="0083025B"/>
    <w:rsid w:val="008308B6"/>
    <w:rsid w:val="00832B67"/>
    <w:rsid w:val="00832E0B"/>
    <w:rsid w:val="008333F8"/>
    <w:rsid w:val="008343CB"/>
    <w:rsid w:val="00834A89"/>
    <w:rsid w:val="00834D16"/>
    <w:rsid w:val="00836BD6"/>
    <w:rsid w:val="00836E85"/>
    <w:rsid w:val="008419F4"/>
    <w:rsid w:val="00844B63"/>
    <w:rsid w:val="008458FD"/>
    <w:rsid w:val="0084720F"/>
    <w:rsid w:val="0085042D"/>
    <w:rsid w:val="00850FF1"/>
    <w:rsid w:val="00857116"/>
    <w:rsid w:val="00857538"/>
    <w:rsid w:val="0085767A"/>
    <w:rsid w:val="008610B0"/>
    <w:rsid w:val="00863CE0"/>
    <w:rsid w:val="0086449B"/>
    <w:rsid w:val="008646C8"/>
    <w:rsid w:val="0086493C"/>
    <w:rsid w:val="00864C98"/>
    <w:rsid w:val="00865152"/>
    <w:rsid w:val="0086549C"/>
    <w:rsid w:val="00867A6C"/>
    <w:rsid w:val="00871FDB"/>
    <w:rsid w:val="00873C96"/>
    <w:rsid w:val="008746B5"/>
    <w:rsid w:val="0087590F"/>
    <w:rsid w:val="008760C3"/>
    <w:rsid w:val="00877254"/>
    <w:rsid w:val="008867BA"/>
    <w:rsid w:val="0088721B"/>
    <w:rsid w:val="00887BFC"/>
    <w:rsid w:val="00887EA3"/>
    <w:rsid w:val="00892D6A"/>
    <w:rsid w:val="008943E2"/>
    <w:rsid w:val="008965B6"/>
    <w:rsid w:val="008A0E20"/>
    <w:rsid w:val="008A11E3"/>
    <w:rsid w:val="008A3CF5"/>
    <w:rsid w:val="008A49EE"/>
    <w:rsid w:val="008A4CBD"/>
    <w:rsid w:val="008A6CE0"/>
    <w:rsid w:val="008A6ED6"/>
    <w:rsid w:val="008A7006"/>
    <w:rsid w:val="008B093B"/>
    <w:rsid w:val="008B15A4"/>
    <w:rsid w:val="008B19C5"/>
    <w:rsid w:val="008B238C"/>
    <w:rsid w:val="008B2A74"/>
    <w:rsid w:val="008B3C07"/>
    <w:rsid w:val="008B4BB2"/>
    <w:rsid w:val="008B72C8"/>
    <w:rsid w:val="008C0B5C"/>
    <w:rsid w:val="008C10D9"/>
    <w:rsid w:val="008C3EAE"/>
    <w:rsid w:val="008C44DE"/>
    <w:rsid w:val="008C6BE4"/>
    <w:rsid w:val="008C7F79"/>
    <w:rsid w:val="008D21D2"/>
    <w:rsid w:val="008D24DA"/>
    <w:rsid w:val="008D3109"/>
    <w:rsid w:val="008D37AD"/>
    <w:rsid w:val="008D4775"/>
    <w:rsid w:val="008D6F18"/>
    <w:rsid w:val="008E26FD"/>
    <w:rsid w:val="008E5150"/>
    <w:rsid w:val="008E5AF7"/>
    <w:rsid w:val="008F0700"/>
    <w:rsid w:val="008F0CB6"/>
    <w:rsid w:val="008F2576"/>
    <w:rsid w:val="008F2C4B"/>
    <w:rsid w:val="008F391E"/>
    <w:rsid w:val="008F5B7C"/>
    <w:rsid w:val="008F5FA1"/>
    <w:rsid w:val="008F706D"/>
    <w:rsid w:val="008F761D"/>
    <w:rsid w:val="008F7DFD"/>
    <w:rsid w:val="00910C2C"/>
    <w:rsid w:val="009131AF"/>
    <w:rsid w:val="00913FD9"/>
    <w:rsid w:val="00914890"/>
    <w:rsid w:val="00916991"/>
    <w:rsid w:val="0092171C"/>
    <w:rsid w:val="00921C83"/>
    <w:rsid w:val="00924882"/>
    <w:rsid w:val="00925CF8"/>
    <w:rsid w:val="009262F5"/>
    <w:rsid w:val="00926884"/>
    <w:rsid w:val="00926DEF"/>
    <w:rsid w:val="0093151C"/>
    <w:rsid w:val="009317F5"/>
    <w:rsid w:val="00931B75"/>
    <w:rsid w:val="009331AF"/>
    <w:rsid w:val="00937435"/>
    <w:rsid w:val="00941E66"/>
    <w:rsid w:val="00942D22"/>
    <w:rsid w:val="0094443D"/>
    <w:rsid w:val="009451C3"/>
    <w:rsid w:val="00947297"/>
    <w:rsid w:val="009472CA"/>
    <w:rsid w:val="009474BB"/>
    <w:rsid w:val="00947E39"/>
    <w:rsid w:val="009502A6"/>
    <w:rsid w:val="009508AD"/>
    <w:rsid w:val="00951C3C"/>
    <w:rsid w:val="009572FB"/>
    <w:rsid w:val="00957A2D"/>
    <w:rsid w:val="00961A86"/>
    <w:rsid w:val="00966092"/>
    <w:rsid w:val="009662C0"/>
    <w:rsid w:val="00967689"/>
    <w:rsid w:val="0097065D"/>
    <w:rsid w:val="00970BCB"/>
    <w:rsid w:val="009716B8"/>
    <w:rsid w:val="0097395E"/>
    <w:rsid w:val="009758A2"/>
    <w:rsid w:val="00975BF4"/>
    <w:rsid w:val="00977AC6"/>
    <w:rsid w:val="0098012F"/>
    <w:rsid w:val="00980569"/>
    <w:rsid w:val="0098589D"/>
    <w:rsid w:val="00986489"/>
    <w:rsid w:val="009872B4"/>
    <w:rsid w:val="009875B8"/>
    <w:rsid w:val="00987764"/>
    <w:rsid w:val="00987E95"/>
    <w:rsid w:val="00993400"/>
    <w:rsid w:val="009936F9"/>
    <w:rsid w:val="009955E6"/>
    <w:rsid w:val="00995681"/>
    <w:rsid w:val="00997C5A"/>
    <w:rsid w:val="00997D80"/>
    <w:rsid w:val="009A1B33"/>
    <w:rsid w:val="009A2301"/>
    <w:rsid w:val="009A3E36"/>
    <w:rsid w:val="009A64AC"/>
    <w:rsid w:val="009B53A7"/>
    <w:rsid w:val="009B5917"/>
    <w:rsid w:val="009B62ED"/>
    <w:rsid w:val="009B66BE"/>
    <w:rsid w:val="009B72F9"/>
    <w:rsid w:val="009B7FF2"/>
    <w:rsid w:val="009C0F6C"/>
    <w:rsid w:val="009C1F48"/>
    <w:rsid w:val="009C27E0"/>
    <w:rsid w:val="009C390A"/>
    <w:rsid w:val="009C3F32"/>
    <w:rsid w:val="009C528E"/>
    <w:rsid w:val="009C7FC4"/>
    <w:rsid w:val="009D0121"/>
    <w:rsid w:val="009D1EF1"/>
    <w:rsid w:val="009D4FC2"/>
    <w:rsid w:val="009D774D"/>
    <w:rsid w:val="009D7AE0"/>
    <w:rsid w:val="009E5980"/>
    <w:rsid w:val="009F066D"/>
    <w:rsid w:val="009F25B7"/>
    <w:rsid w:val="009F2C76"/>
    <w:rsid w:val="009F3468"/>
    <w:rsid w:val="009F4880"/>
    <w:rsid w:val="009F5F30"/>
    <w:rsid w:val="009F610B"/>
    <w:rsid w:val="009F6B61"/>
    <w:rsid w:val="009F761D"/>
    <w:rsid w:val="009F77D2"/>
    <w:rsid w:val="009F7CC0"/>
    <w:rsid w:val="00A01980"/>
    <w:rsid w:val="00A01AF3"/>
    <w:rsid w:val="00A01E95"/>
    <w:rsid w:val="00A03939"/>
    <w:rsid w:val="00A0526C"/>
    <w:rsid w:val="00A061A6"/>
    <w:rsid w:val="00A074D0"/>
    <w:rsid w:val="00A07B0B"/>
    <w:rsid w:val="00A11DE1"/>
    <w:rsid w:val="00A12BB3"/>
    <w:rsid w:val="00A13D7F"/>
    <w:rsid w:val="00A153A2"/>
    <w:rsid w:val="00A16BE8"/>
    <w:rsid w:val="00A170F7"/>
    <w:rsid w:val="00A2146F"/>
    <w:rsid w:val="00A237CE"/>
    <w:rsid w:val="00A24EC2"/>
    <w:rsid w:val="00A2506C"/>
    <w:rsid w:val="00A26761"/>
    <w:rsid w:val="00A276D5"/>
    <w:rsid w:val="00A278E8"/>
    <w:rsid w:val="00A27AD0"/>
    <w:rsid w:val="00A30E3A"/>
    <w:rsid w:val="00A31603"/>
    <w:rsid w:val="00A31BE6"/>
    <w:rsid w:val="00A35D81"/>
    <w:rsid w:val="00A35F73"/>
    <w:rsid w:val="00A373B2"/>
    <w:rsid w:val="00A42216"/>
    <w:rsid w:val="00A4236A"/>
    <w:rsid w:val="00A423FF"/>
    <w:rsid w:val="00A435D9"/>
    <w:rsid w:val="00A4473B"/>
    <w:rsid w:val="00A4512B"/>
    <w:rsid w:val="00A4613E"/>
    <w:rsid w:val="00A5655A"/>
    <w:rsid w:val="00A56AE2"/>
    <w:rsid w:val="00A60883"/>
    <w:rsid w:val="00A60F7A"/>
    <w:rsid w:val="00A6119C"/>
    <w:rsid w:val="00A61896"/>
    <w:rsid w:val="00A61D95"/>
    <w:rsid w:val="00A630B2"/>
    <w:rsid w:val="00A633FE"/>
    <w:rsid w:val="00A635AB"/>
    <w:rsid w:val="00A65104"/>
    <w:rsid w:val="00A73A2C"/>
    <w:rsid w:val="00A75401"/>
    <w:rsid w:val="00A757D9"/>
    <w:rsid w:val="00A7583B"/>
    <w:rsid w:val="00A75E04"/>
    <w:rsid w:val="00A775A3"/>
    <w:rsid w:val="00A80637"/>
    <w:rsid w:val="00A825D3"/>
    <w:rsid w:val="00A832AA"/>
    <w:rsid w:val="00A8389B"/>
    <w:rsid w:val="00A87C42"/>
    <w:rsid w:val="00A90511"/>
    <w:rsid w:val="00A91E09"/>
    <w:rsid w:val="00A935C8"/>
    <w:rsid w:val="00A95317"/>
    <w:rsid w:val="00A95D1B"/>
    <w:rsid w:val="00AA0FAF"/>
    <w:rsid w:val="00AA30CD"/>
    <w:rsid w:val="00AA33EA"/>
    <w:rsid w:val="00AA3E1E"/>
    <w:rsid w:val="00AA409D"/>
    <w:rsid w:val="00AA61D7"/>
    <w:rsid w:val="00AA695B"/>
    <w:rsid w:val="00AB1521"/>
    <w:rsid w:val="00AB160B"/>
    <w:rsid w:val="00AB2676"/>
    <w:rsid w:val="00AB2DA5"/>
    <w:rsid w:val="00AB3E6A"/>
    <w:rsid w:val="00AB51CF"/>
    <w:rsid w:val="00AB666F"/>
    <w:rsid w:val="00AB70C6"/>
    <w:rsid w:val="00AB78BF"/>
    <w:rsid w:val="00AC1103"/>
    <w:rsid w:val="00AC40E1"/>
    <w:rsid w:val="00AC46BF"/>
    <w:rsid w:val="00AC5FD5"/>
    <w:rsid w:val="00AC696F"/>
    <w:rsid w:val="00AC69E0"/>
    <w:rsid w:val="00AD2B00"/>
    <w:rsid w:val="00AD3667"/>
    <w:rsid w:val="00AD4C65"/>
    <w:rsid w:val="00AD60A7"/>
    <w:rsid w:val="00AE0737"/>
    <w:rsid w:val="00AE1575"/>
    <w:rsid w:val="00AE1BC0"/>
    <w:rsid w:val="00AE2AFA"/>
    <w:rsid w:val="00AE3436"/>
    <w:rsid w:val="00AE75B5"/>
    <w:rsid w:val="00AF2574"/>
    <w:rsid w:val="00AF38F9"/>
    <w:rsid w:val="00AF43E3"/>
    <w:rsid w:val="00AF59C8"/>
    <w:rsid w:val="00AF7D30"/>
    <w:rsid w:val="00B00FDD"/>
    <w:rsid w:val="00B02447"/>
    <w:rsid w:val="00B026D5"/>
    <w:rsid w:val="00B03930"/>
    <w:rsid w:val="00B059AA"/>
    <w:rsid w:val="00B06E80"/>
    <w:rsid w:val="00B0703A"/>
    <w:rsid w:val="00B100AF"/>
    <w:rsid w:val="00B10A65"/>
    <w:rsid w:val="00B1151B"/>
    <w:rsid w:val="00B11C3F"/>
    <w:rsid w:val="00B15112"/>
    <w:rsid w:val="00B155C6"/>
    <w:rsid w:val="00B16944"/>
    <w:rsid w:val="00B17463"/>
    <w:rsid w:val="00B20D9E"/>
    <w:rsid w:val="00B212F3"/>
    <w:rsid w:val="00B21B15"/>
    <w:rsid w:val="00B22689"/>
    <w:rsid w:val="00B22EAB"/>
    <w:rsid w:val="00B23621"/>
    <w:rsid w:val="00B27FFA"/>
    <w:rsid w:val="00B327C9"/>
    <w:rsid w:val="00B32E28"/>
    <w:rsid w:val="00B34F9B"/>
    <w:rsid w:val="00B37730"/>
    <w:rsid w:val="00B40B86"/>
    <w:rsid w:val="00B41AC5"/>
    <w:rsid w:val="00B4279B"/>
    <w:rsid w:val="00B431F0"/>
    <w:rsid w:val="00B435E6"/>
    <w:rsid w:val="00B443A8"/>
    <w:rsid w:val="00B479CF"/>
    <w:rsid w:val="00B514E0"/>
    <w:rsid w:val="00B52CF4"/>
    <w:rsid w:val="00B5338F"/>
    <w:rsid w:val="00B540F7"/>
    <w:rsid w:val="00B56FD5"/>
    <w:rsid w:val="00B63ECE"/>
    <w:rsid w:val="00B64FE2"/>
    <w:rsid w:val="00B6538A"/>
    <w:rsid w:val="00B672A0"/>
    <w:rsid w:val="00B72780"/>
    <w:rsid w:val="00B74D5A"/>
    <w:rsid w:val="00B7603A"/>
    <w:rsid w:val="00B76457"/>
    <w:rsid w:val="00B764D1"/>
    <w:rsid w:val="00B76E2C"/>
    <w:rsid w:val="00B804D2"/>
    <w:rsid w:val="00B81BDD"/>
    <w:rsid w:val="00B825AD"/>
    <w:rsid w:val="00B825F2"/>
    <w:rsid w:val="00B82A00"/>
    <w:rsid w:val="00B83160"/>
    <w:rsid w:val="00B84689"/>
    <w:rsid w:val="00B84E22"/>
    <w:rsid w:val="00B85156"/>
    <w:rsid w:val="00B92954"/>
    <w:rsid w:val="00B935E0"/>
    <w:rsid w:val="00B94E9F"/>
    <w:rsid w:val="00B95B9A"/>
    <w:rsid w:val="00BA0092"/>
    <w:rsid w:val="00BA00A2"/>
    <w:rsid w:val="00BA0276"/>
    <w:rsid w:val="00BA101D"/>
    <w:rsid w:val="00BA6AF7"/>
    <w:rsid w:val="00BA6F27"/>
    <w:rsid w:val="00BB10E5"/>
    <w:rsid w:val="00BB2D8A"/>
    <w:rsid w:val="00BB367C"/>
    <w:rsid w:val="00BC13C4"/>
    <w:rsid w:val="00BC23C0"/>
    <w:rsid w:val="00BC3281"/>
    <w:rsid w:val="00BC6B30"/>
    <w:rsid w:val="00BD14DD"/>
    <w:rsid w:val="00BD2872"/>
    <w:rsid w:val="00BD2EF9"/>
    <w:rsid w:val="00BD392A"/>
    <w:rsid w:val="00BD7A9D"/>
    <w:rsid w:val="00BE3113"/>
    <w:rsid w:val="00BE4674"/>
    <w:rsid w:val="00BE5A35"/>
    <w:rsid w:val="00BE5C36"/>
    <w:rsid w:val="00BE6C95"/>
    <w:rsid w:val="00BF19F9"/>
    <w:rsid w:val="00BF1C53"/>
    <w:rsid w:val="00BF3299"/>
    <w:rsid w:val="00BF3565"/>
    <w:rsid w:val="00BF46A4"/>
    <w:rsid w:val="00BF4FAA"/>
    <w:rsid w:val="00BF7F86"/>
    <w:rsid w:val="00C005E8"/>
    <w:rsid w:val="00C01954"/>
    <w:rsid w:val="00C02B71"/>
    <w:rsid w:val="00C02EAA"/>
    <w:rsid w:val="00C02FFD"/>
    <w:rsid w:val="00C034EE"/>
    <w:rsid w:val="00C0383C"/>
    <w:rsid w:val="00C05730"/>
    <w:rsid w:val="00C05AD1"/>
    <w:rsid w:val="00C075D7"/>
    <w:rsid w:val="00C07B0D"/>
    <w:rsid w:val="00C07CD9"/>
    <w:rsid w:val="00C101C2"/>
    <w:rsid w:val="00C10331"/>
    <w:rsid w:val="00C1060D"/>
    <w:rsid w:val="00C10D3A"/>
    <w:rsid w:val="00C11477"/>
    <w:rsid w:val="00C12548"/>
    <w:rsid w:val="00C125C8"/>
    <w:rsid w:val="00C130B9"/>
    <w:rsid w:val="00C138E0"/>
    <w:rsid w:val="00C14ECF"/>
    <w:rsid w:val="00C15633"/>
    <w:rsid w:val="00C17921"/>
    <w:rsid w:val="00C21B9C"/>
    <w:rsid w:val="00C2207C"/>
    <w:rsid w:val="00C22D23"/>
    <w:rsid w:val="00C246DB"/>
    <w:rsid w:val="00C25580"/>
    <w:rsid w:val="00C26DBB"/>
    <w:rsid w:val="00C302EB"/>
    <w:rsid w:val="00C3091B"/>
    <w:rsid w:val="00C30A51"/>
    <w:rsid w:val="00C30C7B"/>
    <w:rsid w:val="00C31667"/>
    <w:rsid w:val="00C32A58"/>
    <w:rsid w:val="00C3301C"/>
    <w:rsid w:val="00C3468A"/>
    <w:rsid w:val="00C405D7"/>
    <w:rsid w:val="00C406E2"/>
    <w:rsid w:val="00C409B4"/>
    <w:rsid w:val="00C4280E"/>
    <w:rsid w:val="00C464C3"/>
    <w:rsid w:val="00C50FEB"/>
    <w:rsid w:val="00C5182E"/>
    <w:rsid w:val="00C5201F"/>
    <w:rsid w:val="00C525DF"/>
    <w:rsid w:val="00C525F6"/>
    <w:rsid w:val="00C56370"/>
    <w:rsid w:val="00C56C73"/>
    <w:rsid w:val="00C60FEA"/>
    <w:rsid w:val="00C62676"/>
    <w:rsid w:val="00C6334C"/>
    <w:rsid w:val="00C63CD5"/>
    <w:rsid w:val="00C63D98"/>
    <w:rsid w:val="00C657B8"/>
    <w:rsid w:val="00C65BB8"/>
    <w:rsid w:val="00C6609A"/>
    <w:rsid w:val="00C67669"/>
    <w:rsid w:val="00C70DE8"/>
    <w:rsid w:val="00C72B32"/>
    <w:rsid w:val="00C748BA"/>
    <w:rsid w:val="00C758B5"/>
    <w:rsid w:val="00C76736"/>
    <w:rsid w:val="00C80E24"/>
    <w:rsid w:val="00C84B00"/>
    <w:rsid w:val="00C86C7D"/>
    <w:rsid w:val="00C90801"/>
    <w:rsid w:val="00C90BD1"/>
    <w:rsid w:val="00C91FBB"/>
    <w:rsid w:val="00C94012"/>
    <w:rsid w:val="00C95B8D"/>
    <w:rsid w:val="00C971CC"/>
    <w:rsid w:val="00C9784A"/>
    <w:rsid w:val="00CA3CF5"/>
    <w:rsid w:val="00CA45EA"/>
    <w:rsid w:val="00CA6C24"/>
    <w:rsid w:val="00CA70F7"/>
    <w:rsid w:val="00CA7500"/>
    <w:rsid w:val="00CB06BB"/>
    <w:rsid w:val="00CB0FD2"/>
    <w:rsid w:val="00CB14CD"/>
    <w:rsid w:val="00CB273D"/>
    <w:rsid w:val="00CB275B"/>
    <w:rsid w:val="00CB3112"/>
    <w:rsid w:val="00CB3137"/>
    <w:rsid w:val="00CB3B5B"/>
    <w:rsid w:val="00CB4A24"/>
    <w:rsid w:val="00CB5255"/>
    <w:rsid w:val="00CB5FBB"/>
    <w:rsid w:val="00CB613E"/>
    <w:rsid w:val="00CB78C7"/>
    <w:rsid w:val="00CC0CCC"/>
    <w:rsid w:val="00CC1273"/>
    <w:rsid w:val="00CC172E"/>
    <w:rsid w:val="00CC199E"/>
    <w:rsid w:val="00CC27C6"/>
    <w:rsid w:val="00CC4CF2"/>
    <w:rsid w:val="00CC64F9"/>
    <w:rsid w:val="00CC7C99"/>
    <w:rsid w:val="00CD1C2A"/>
    <w:rsid w:val="00CD24B1"/>
    <w:rsid w:val="00CD2F2B"/>
    <w:rsid w:val="00CD66CF"/>
    <w:rsid w:val="00CD6809"/>
    <w:rsid w:val="00CE0BC9"/>
    <w:rsid w:val="00CE162E"/>
    <w:rsid w:val="00CE20E1"/>
    <w:rsid w:val="00CE371F"/>
    <w:rsid w:val="00CE3FAF"/>
    <w:rsid w:val="00CE492D"/>
    <w:rsid w:val="00CE4AB9"/>
    <w:rsid w:val="00CE69AB"/>
    <w:rsid w:val="00CF03E8"/>
    <w:rsid w:val="00CF052E"/>
    <w:rsid w:val="00CF0747"/>
    <w:rsid w:val="00CF09EE"/>
    <w:rsid w:val="00CF131B"/>
    <w:rsid w:val="00CF42BA"/>
    <w:rsid w:val="00CF47C4"/>
    <w:rsid w:val="00CF56C2"/>
    <w:rsid w:val="00D02776"/>
    <w:rsid w:val="00D0350C"/>
    <w:rsid w:val="00D03D46"/>
    <w:rsid w:val="00D042CA"/>
    <w:rsid w:val="00D10EBF"/>
    <w:rsid w:val="00D12107"/>
    <w:rsid w:val="00D129C3"/>
    <w:rsid w:val="00D136D0"/>
    <w:rsid w:val="00D13EB0"/>
    <w:rsid w:val="00D16B8C"/>
    <w:rsid w:val="00D17820"/>
    <w:rsid w:val="00D22E23"/>
    <w:rsid w:val="00D23202"/>
    <w:rsid w:val="00D23286"/>
    <w:rsid w:val="00D26AFC"/>
    <w:rsid w:val="00D26EEF"/>
    <w:rsid w:val="00D30007"/>
    <w:rsid w:val="00D335B7"/>
    <w:rsid w:val="00D33942"/>
    <w:rsid w:val="00D341EB"/>
    <w:rsid w:val="00D3510F"/>
    <w:rsid w:val="00D36057"/>
    <w:rsid w:val="00D36533"/>
    <w:rsid w:val="00D412B0"/>
    <w:rsid w:val="00D427D6"/>
    <w:rsid w:val="00D429EB"/>
    <w:rsid w:val="00D44286"/>
    <w:rsid w:val="00D47346"/>
    <w:rsid w:val="00D515FC"/>
    <w:rsid w:val="00D51FF3"/>
    <w:rsid w:val="00D5327C"/>
    <w:rsid w:val="00D53604"/>
    <w:rsid w:val="00D55874"/>
    <w:rsid w:val="00D55F59"/>
    <w:rsid w:val="00D56522"/>
    <w:rsid w:val="00D56B19"/>
    <w:rsid w:val="00D56C35"/>
    <w:rsid w:val="00D60690"/>
    <w:rsid w:val="00D60EA2"/>
    <w:rsid w:val="00D626B6"/>
    <w:rsid w:val="00D62D6A"/>
    <w:rsid w:val="00D63129"/>
    <w:rsid w:val="00D671E3"/>
    <w:rsid w:val="00D67224"/>
    <w:rsid w:val="00D70546"/>
    <w:rsid w:val="00D71F7D"/>
    <w:rsid w:val="00D72C41"/>
    <w:rsid w:val="00D73B58"/>
    <w:rsid w:val="00D73DD2"/>
    <w:rsid w:val="00D74802"/>
    <w:rsid w:val="00D75669"/>
    <w:rsid w:val="00D775A8"/>
    <w:rsid w:val="00D779E5"/>
    <w:rsid w:val="00D8053B"/>
    <w:rsid w:val="00D875F6"/>
    <w:rsid w:val="00D87EC9"/>
    <w:rsid w:val="00D90DEF"/>
    <w:rsid w:val="00D92040"/>
    <w:rsid w:val="00D92145"/>
    <w:rsid w:val="00D92524"/>
    <w:rsid w:val="00D92ADD"/>
    <w:rsid w:val="00D93FEE"/>
    <w:rsid w:val="00D94079"/>
    <w:rsid w:val="00D949F3"/>
    <w:rsid w:val="00D94C1A"/>
    <w:rsid w:val="00D94C4E"/>
    <w:rsid w:val="00D964D3"/>
    <w:rsid w:val="00D96BF8"/>
    <w:rsid w:val="00DA095E"/>
    <w:rsid w:val="00DA5685"/>
    <w:rsid w:val="00DA7433"/>
    <w:rsid w:val="00DB4D4B"/>
    <w:rsid w:val="00DB525C"/>
    <w:rsid w:val="00DB63D2"/>
    <w:rsid w:val="00DB6916"/>
    <w:rsid w:val="00DB6F34"/>
    <w:rsid w:val="00DB7449"/>
    <w:rsid w:val="00DB746C"/>
    <w:rsid w:val="00DB7F93"/>
    <w:rsid w:val="00DC2E88"/>
    <w:rsid w:val="00DC35B6"/>
    <w:rsid w:val="00DC3930"/>
    <w:rsid w:val="00DC59D6"/>
    <w:rsid w:val="00DD0948"/>
    <w:rsid w:val="00DD11A4"/>
    <w:rsid w:val="00DD18A3"/>
    <w:rsid w:val="00DD1F8C"/>
    <w:rsid w:val="00DD3451"/>
    <w:rsid w:val="00DD5ABB"/>
    <w:rsid w:val="00DD5C07"/>
    <w:rsid w:val="00DD6140"/>
    <w:rsid w:val="00DD6C4C"/>
    <w:rsid w:val="00DE00CE"/>
    <w:rsid w:val="00DE07B1"/>
    <w:rsid w:val="00DE2375"/>
    <w:rsid w:val="00DE557A"/>
    <w:rsid w:val="00DE5991"/>
    <w:rsid w:val="00DE7FB9"/>
    <w:rsid w:val="00DF037A"/>
    <w:rsid w:val="00DF12C6"/>
    <w:rsid w:val="00DF2765"/>
    <w:rsid w:val="00DF521C"/>
    <w:rsid w:val="00DF5A53"/>
    <w:rsid w:val="00DF63CF"/>
    <w:rsid w:val="00E019BB"/>
    <w:rsid w:val="00E02E0A"/>
    <w:rsid w:val="00E040C3"/>
    <w:rsid w:val="00E05E73"/>
    <w:rsid w:val="00E0626E"/>
    <w:rsid w:val="00E06F26"/>
    <w:rsid w:val="00E12AE7"/>
    <w:rsid w:val="00E14692"/>
    <w:rsid w:val="00E14727"/>
    <w:rsid w:val="00E14AE9"/>
    <w:rsid w:val="00E22076"/>
    <w:rsid w:val="00E228DC"/>
    <w:rsid w:val="00E24CE7"/>
    <w:rsid w:val="00E2644F"/>
    <w:rsid w:val="00E26B89"/>
    <w:rsid w:val="00E30994"/>
    <w:rsid w:val="00E3132A"/>
    <w:rsid w:val="00E33C56"/>
    <w:rsid w:val="00E34449"/>
    <w:rsid w:val="00E36B4A"/>
    <w:rsid w:val="00E40801"/>
    <w:rsid w:val="00E4138A"/>
    <w:rsid w:val="00E41BB5"/>
    <w:rsid w:val="00E45706"/>
    <w:rsid w:val="00E51AD0"/>
    <w:rsid w:val="00E53677"/>
    <w:rsid w:val="00E54F5C"/>
    <w:rsid w:val="00E564DE"/>
    <w:rsid w:val="00E57881"/>
    <w:rsid w:val="00E60CAF"/>
    <w:rsid w:val="00E61188"/>
    <w:rsid w:val="00E627BD"/>
    <w:rsid w:val="00E629C5"/>
    <w:rsid w:val="00E62E33"/>
    <w:rsid w:val="00E62ED4"/>
    <w:rsid w:val="00E62EF9"/>
    <w:rsid w:val="00E6603C"/>
    <w:rsid w:val="00E668F9"/>
    <w:rsid w:val="00E672F7"/>
    <w:rsid w:val="00E6793C"/>
    <w:rsid w:val="00E71454"/>
    <w:rsid w:val="00E72B7D"/>
    <w:rsid w:val="00E72C60"/>
    <w:rsid w:val="00E7746C"/>
    <w:rsid w:val="00E82A4C"/>
    <w:rsid w:val="00E8426C"/>
    <w:rsid w:val="00E84C44"/>
    <w:rsid w:val="00E8634B"/>
    <w:rsid w:val="00E87BEA"/>
    <w:rsid w:val="00E905AD"/>
    <w:rsid w:val="00E91F0C"/>
    <w:rsid w:val="00E9326A"/>
    <w:rsid w:val="00E9435D"/>
    <w:rsid w:val="00E95D78"/>
    <w:rsid w:val="00EA2C31"/>
    <w:rsid w:val="00EA338C"/>
    <w:rsid w:val="00EA4FF1"/>
    <w:rsid w:val="00EA5A82"/>
    <w:rsid w:val="00EA7051"/>
    <w:rsid w:val="00EA72D2"/>
    <w:rsid w:val="00EA7398"/>
    <w:rsid w:val="00EA7645"/>
    <w:rsid w:val="00EA7D7A"/>
    <w:rsid w:val="00EB3E12"/>
    <w:rsid w:val="00EB4695"/>
    <w:rsid w:val="00EB46D4"/>
    <w:rsid w:val="00EB484C"/>
    <w:rsid w:val="00EB4DBD"/>
    <w:rsid w:val="00EB6484"/>
    <w:rsid w:val="00EB77FC"/>
    <w:rsid w:val="00EC00E8"/>
    <w:rsid w:val="00EC2405"/>
    <w:rsid w:val="00EC2498"/>
    <w:rsid w:val="00EC3FCC"/>
    <w:rsid w:val="00EC489A"/>
    <w:rsid w:val="00EC547C"/>
    <w:rsid w:val="00EC6F43"/>
    <w:rsid w:val="00ED00F4"/>
    <w:rsid w:val="00ED07B5"/>
    <w:rsid w:val="00ED0837"/>
    <w:rsid w:val="00ED3817"/>
    <w:rsid w:val="00ED5B29"/>
    <w:rsid w:val="00ED792C"/>
    <w:rsid w:val="00EE2566"/>
    <w:rsid w:val="00EE4E95"/>
    <w:rsid w:val="00EE612C"/>
    <w:rsid w:val="00EE651B"/>
    <w:rsid w:val="00EE664C"/>
    <w:rsid w:val="00EF0445"/>
    <w:rsid w:val="00EF2567"/>
    <w:rsid w:val="00EF2F53"/>
    <w:rsid w:val="00EF3FDC"/>
    <w:rsid w:val="00EF49E5"/>
    <w:rsid w:val="00EF4E6D"/>
    <w:rsid w:val="00F0077D"/>
    <w:rsid w:val="00F00BD1"/>
    <w:rsid w:val="00F01220"/>
    <w:rsid w:val="00F02297"/>
    <w:rsid w:val="00F024B0"/>
    <w:rsid w:val="00F02BE9"/>
    <w:rsid w:val="00F05110"/>
    <w:rsid w:val="00F06067"/>
    <w:rsid w:val="00F0673C"/>
    <w:rsid w:val="00F069C4"/>
    <w:rsid w:val="00F06DCC"/>
    <w:rsid w:val="00F07550"/>
    <w:rsid w:val="00F07660"/>
    <w:rsid w:val="00F10206"/>
    <w:rsid w:val="00F10F4F"/>
    <w:rsid w:val="00F13A56"/>
    <w:rsid w:val="00F15D6E"/>
    <w:rsid w:val="00F2336F"/>
    <w:rsid w:val="00F25C98"/>
    <w:rsid w:val="00F27083"/>
    <w:rsid w:val="00F275A5"/>
    <w:rsid w:val="00F27D45"/>
    <w:rsid w:val="00F30378"/>
    <w:rsid w:val="00F34665"/>
    <w:rsid w:val="00F34731"/>
    <w:rsid w:val="00F35D71"/>
    <w:rsid w:val="00F366A6"/>
    <w:rsid w:val="00F3705E"/>
    <w:rsid w:val="00F409FE"/>
    <w:rsid w:val="00F431CB"/>
    <w:rsid w:val="00F44724"/>
    <w:rsid w:val="00F44BCA"/>
    <w:rsid w:val="00F45667"/>
    <w:rsid w:val="00F46074"/>
    <w:rsid w:val="00F50EA0"/>
    <w:rsid w:val="00F52475"/>
    <w:rsid w:val="00F52B3D"/>
    <w:rsid w:val="00F52CA7"/>
    <w:rsid w:val="00F538A7"/>
    <w:rsid w:val="00F564D0"/>
    <w:rsid w:val="00F5657B"/>
    <w:rsid w:val="00F57BCB"/>
    <w:rsid w:val="00F60027"/>
    <w:rsid w:val="00F60467"/>
    <w:rsid w:val="00F61FFA"/>
    <w:rsid w:val="00F624D6"/>
    <w:rsid w:val="00F636C2"/>
    <w:rsid w:val="00F65472"/>
    <w:rsid w:val="00F65831"/>
    <w:rsid w:val="00F71094"/>
    <w:rsid w:val="00F746A7"/>
    <w:rsid w:val="00F746E3"/>
    <w:rsid w:val="00F760D0"/>
    <w:rsid w:val="00F81C67"/>
    <w:rsid w:val="00F81DCD"/>
    <w:rsid w:val="00F824FE"/>
    <w:rsid w:val="00F8377B"/>
    <w:rsid w:val="00F8385D"/>
    <w:rsid w:val="00F851F6"/>
    <w:rsid w:val="00F854B7"/>
    <w:rsid w:val="00F85B5D"/>
    <w:rsid w:val="00F85CB9"/>
    <w:rsid w:val="00F91548"/>
    <w:rsid w:val="00F9169E"/>
    <w:rsid w:val="00F91FC6"/>
    <w:rsid w:val="00F93278"/>
    <w:rsid w:val="00F94673"/>
    <w:rsid w:val="00F9694A"/>
    <w:rsid w:val="00F97551"/>
    <w:rsid w:val="00FA14B8"/>
    <w:rsid w:val="00FA1600"/>
    <w:rsid w:val="00FA2380"/>
    <w:rsid w:val="00FA3110"/>
    <w:rsid w:val="00FA35D0"/>
    <w:rsid w:val="00FA35DA"/>
    <w:rsid w:val="00FA3972"/>
    <w:rsid w:val="00FA7454"/>
    <w:rsid w:val="00FB2FD1"/>
    <w:rsid w:val="00FB32BD"/>
    <w:rsid w:val="00FB4200"/>
    <w:rsid w:val="00FB4452"/>
    <w:rsid w:val="00FB4ABC"/>
    <w:rsid w:val="00FC1A07"/>
    <w:rsid w:val="00FC2345"/>
    <w:rsid w:val="00FC5B82"/>
    <w:rsid w:val="00FC5E26"/>
    <w:rsid w:val="00FC648B"/>
    <w:rsid w:val="00FC75D7"/>
    <w:rsid w:val="00FD3193"/>
    <w:rsid w:val="00FD31E0"/>
    <w:rsid w:val="00FD32FA"/>
    <w:rsid w:val="00FD38D7"/>
    <w:rsid w:val="00FD409E"/>
    <w:rsid w:val="00FD45BA"/>
    <w:rsid w:val="00FD4E30"/>
    <w:rsid w:val="00FD5C00"/>
    <w:rsid w:val="00FD6029"/>
    <w:rsid w:val="00FE1E21"/>
    <w:rsid w:val="00FE23A1"/>
    <w:rsid w:val="00FE378C"/>
    <w:rsid w:val="00FE3BF8"/>
    <w:rsid w:val="00FE41D0"/>
    <w:rsid w:val="00FE5281"/>
    <w:rsid w:val="00FE67FD"/>
    <w:rsid w:val="00FF038C"/>
    <w:rsid w:val="00FF092F"/>
    <w:rsid w:val="00FF1034"/>
    <w:rsid w:val="00FF3F0C"/>
    <w:rsid w:val="00FF4A9E"/>
    <w:rsid w:val="00FF5D9F"/>
    <w:rsid w:val="00FF6E81"/>
    <w:rsid w:val="00FF7A36"/>
    <w:rsid w:val="02D17C60"/>
    <w:rsid w:val="035B1C2C"/>
    <w:rsid w:val="06091D22"/>
    <w:rsid w:val="0692BCEE"/>
    <w:rsid w:val="0BC90918"/>
    <w:rsid w:val="0C63FE0D"/>
    <w:rsid w:val="0D64D979"/>
    <w:rsid w:val="0E7F17CB"/>
    <w:rsid w:val="0F0F0BB5"/>
    <w:rsid w:val="10C26835"/>
    <w:rsid w:val="1137305B"/>
    <w:rsid w:val="126C422C"/>
    <w:rsid w:val="1293BF25"/>
    <w:rsid w:val="13FA1A25"/>
    <w:rsid w:val="1483D4B9"/>
    <w:rsid w:val="148B5E11"/>
    <w:rsid w:val="167CB0D3"/>
    <w:rsid w:val="17AD6D3C"/>
    <w:rsid w:val="19A15245"/>
    <w:rsid w:val="1A317C44"/>
    <w:rsid w:val="1A695BA9"/>
    <w:rsid w:val="1AC97DCB"/>
    <w:rsid w:val="1AE50DFE"/>
    <w:rsid w:val="1C052C0A"/>
    <w:rsid w:val="1D473FE0"/>
    <w:rsid w:val="1E324057"/>
    <w:rsid w:val="2090B1E1"/>
    <w:rsid w:val="20A0BDC8"/>
    <w:rsid w:val="22617718"/>
    <w:rsid w:val="22746D8E"/>
    <w:rsid w:val="232908FC"/>
    <w:rsid w:val="25AC0E50"/>
    <w:rsid w:val="270FFF4C"/>
    <w:rsid w:val="27968B78"/>
    <w:rsid w:val="2A4F8D94"/>
    <w:rsid w:val="2A876CF9"/>
    <w:rsid w:val="352D238F"/>
    <w:rsid w:val="3714E83F"/>
    <w:rsid w:val="371BB3C8"/>
    <w:rsid w:val="3B93B9F3"/>
    <w:rsid w:val="3B9CB1CB"/>
    <w:rsid w:val="3D8429C3"/>
    <w:rsid w:val="3E0DC98F"/>
    <w:rsid w:val="41A84558"/>
    <w:rsid w:val="4689CA24"/>
    <w:rsid w:val="471B0022"/>
    <w:rsid w:val="47369055"/>
    <w:rsid w:val="473E3E87"/>
    <w:rsid w:val="481786DC"/>
    <w:rsid w:val="4B6F981B"/>
    <w:rsid w:val="4B8E4F23"/>
    <w:rsid w:val="4FC7AB40"/>
    <w:rsid w:val="510FD971"/>
    <w:rsid w:val="51C5B142"/>
    <w:rsid w:val="52943E61"/>
    <w:rsid w:val="566FEE21"/>
    <w:rsid w:val="56784EA7"/>
    <w:rsid w:val="56D0BCE7"/>
    <w:rsid w:val="57AB9C60"/>
    <w:rsid w:val="5C95CC14"/>
    <w:rsid w:val="5CDF2FA5"/>
    <w:rsid w:val="5E7B0006"/>
    <w:rsid w:val="5EBEC805"/>
    <w:rsid w:val="5F6D75FF"/>
    <w:rsid w:val="6062F602"/>
    <w:rsid w:val="6625EFC9"/>
    <w:rsid w:val="68138091"/>
    <w:rsid w:val="69D38526"/>
    <w:rsid w:val="6A32768B"/>
    <w:rsid w:val="6CC09084"/>
    <w:rsid w:val="6D309233"/>
    <w:rsid w:val="6DCFEE05"/>
    <w:rsid w:val="6DF9C7AF"/>
    <w:rsid w:val="6E38EF34"/>
    <w:rsid w:val="6EDC7D80"/>
    <w:rsid w:val="7034E1B7"/>
    <w:rsid w:val="737C8E60"/>
    <w:rsid w:val="74A830B8"/>
    <w:rsid w:val="74D9088B"/>
    <w:rsid w:val="7541ED66"/>
    <w:rsid w:val="75D7A6CF"/>
    <w:rsid w:val="77659A15"/>
    <w:rsid w:val="778CCA8A"/>
    <w:rsid w:val="77A0A9F5"/>
    <w:rsid w:val="7864CCA4"/>
    <w:rsid w:val="7A4AED15"/>
    <w:rsid w:val="7CB3429D"/>
    <w:rsid w:val="7D856990"/>
    <w:rsid w:val="7E35EAA1"/>
    <w:rsid w:val="7EDF59A5"/>
    <w:rsid w:val="7FEAE3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D1736"/>
  <w15:chartTrackingRefBased/>
  <w15:docId w15:val="{5C03411D-B4E2-44C8-9F72-55AF2823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FDD"/>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Heading2">
    <w:name w:val="heading 2"/>
    <w:basedOn w:val="Normal"/>
    <w:next w:val="Normal"/>
    <w:link w:val="Heading2Char"/>
    <w:uiPriority w:val="9"/>
    <w:unhideWhenUsed/>
    <w:qFormat/>
    <w:rsid w:val="003B2DCB"/>
    <w:pPr>
      <w:keepNext/>
      <w:keepLines/>
      <w:spacing w:before="40" w:after="0"/>
      <w:outlineLvl w:val="1"/>
    </w:pPr>
    <w:rPr>
      <w:rFonts w:asciiTheme="majorHAnsi" w:eastAsiaTheme="majorEastAsia" w:hAnsiTheme="majorHAnsi" w:cstheme="majorBidi"/>
      <w:color w:val="C77C0E" w:themeColor="accent1" w:themeShade="BF"/>
      <w:sz w:val="26"/>
      <w:szCs w:val="26"/>
    </w:rPr>
  </w:style>
  <w:style w:type="paragraph" w:styleId="Heading3">
    <w:name w:val="heading 3"/>
    <w:basedOn w:val="Normal"/>
    <w:next w:val="Normal"/>
    <w:link w:val="Heading3Char"/>
    <w:uiPriority w:val="9"/>
    <w:unhideWhenUsed/>
    <w:qFormat/>
    <w:rsid w:val="0033672F"/>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Heading4">
    <w:name w:val="heading 4"/>
    <w:basedOn w:val="Normal"/>
    <w:next w:val="Normal"/>
    <w:link w:val="Heading4Char"/>
    <w:uiPriority w:val="9"/>
    <w:unhideWhenUsed/>
    <w:qFormat/>
    <w:rsid w:val="00A4236A"/>
    <w:pPr>
      <w:keepNext/>
      <w:keepLines/>
      <w:spacing w:before="40" w:after="0"/>
      <w:outlineLvl w:val="3"/>
    </w:pPr>
    <w:rPr>
      <w:rFonts w:asciiTheme="majorHAnsi" w:eastAsiaTheme="majorEastAsia" w:hAnsiTheme="majorHAnsi" w:cstheme="majorBidi"/>
      <w:i/>
      <w:iCs/>
      <w:color w:val="C77C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5F6"/>
    <w:pPr>
      <w:spacing w:before="100" w:beforeAutospacing="1" w:after="100" w:afterAutospacing="1" w:line="264" w:lineRule="auto"/>
    </w:pPr>
    <w:rPr>
      <w:rFonts w:eastAsiaTheme="minorEastAsia"/>
      <w:sz w:val="21"/>
      <w:szCs w:val="21"/>
    </w:rPr>
  </w:style>
  <w:style w:type="character" w:customStyle="1" w:styleId="user-generated">
    <w:name w:val="user-generated"/>
    <w:basedOn w:val="DefaultParagraphFont"/>
    <w:rsid w:val="00041016"/>
  </w:style>
  <w:style w:type="paragraph" w:styleId="ListParagraph">
    <w:name w:val="List Paragraph"/>
    <w:basedOn w:val="Normal"/>
    <w:uiPriority w:val="34"/>
    <w:qFormat/>
    <w:rsid w:val="00041016"/>
    <w:pPr>
      <w:ind w:left="720"/>
      <w:contextualSpacing/>
    </w:pPr>
  </w:style>
  <w:style w:type="table" w:styleId="GridTable1Light">
    <w:name w:val="Grid Table 1 Light"/>
    <w:basedOn w:val="TableNormal"/>
    <w:uiPriority w:val="46"/>
    <w:rsid w:val="002F32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D774D"/>
    <w:rPr>
      <w:color w:val="0563C1"/>
      <w:u w:val="single"/>
    </w:rPr>
  </w:style>
  <w:style w:type="character" w:customStyle="1" w:styleId="Heading2Char">
    <w:name w:val="Heading 2 Char"/>
    <w:basedOn w:val="DefaultParagraphFont"/>
    <w:link w:val="Heading2"/>
    <w:uiPriority w:val="9"/>
    <w:rsid w:val="003B2DCB"/>
    <w:rPr>
      <w:rFonts w:asciiTheme="majorHAnsi" w:eastAsiaTheme="majorEastAsia" w:hAnsiTheme="majorHAnsi" w:cstheme="majorBidi"/>
      <w:color w:val="C77C0E" w:themeColor="accent1" w:themeShade="BF"/>
      <w:sz w:val="26"/>
      <w:szCs w:val="26"/>
    </w:rPr>
  </w:style>
  <w:style w:type="paragraph" w:customStyle="1" w:styleId="paragraph">
    <w:name w:val="paragraph"/>
    <w:basedOn w:val="Normal"/>
    <w:rsid w:val="00E41B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41BB5"/>
  </w:style>
  <w:style w:type="character" w:customStyle="1" w:styleId="eop">
    <w:name w:val="eop"/>
    <w:basedOn w:val="DefaultParagraphFont"/>
    <w:rsid w:val="00E41BB5"/>
  </w:style>
  <w:style w:type="character" w:customStyle="1" w:styleId="Heading1Char">
    <w:name w:val="Heading 1 Char"/>
    <w:basedOn w:val="DefaultParagraphFont"/>
    <w:link w:val="Heading1"/>
    <w:uiPriority w:val="9"/>
    <w:rsid w:val="00B00FDD"/>
    <w:rPr>
      <w:rFonts w:asciiTheme="majorHAnsi" w:eastAsiaTheme="majorEastAsia" w:hAnsiTheme="majorHAnsi" w:cstheme="majorBidi"/>
      <w:color w:val="C77C0E" w:themeColor="accent1" w:themeShade="BF"/>
      <w:sz w:val="32"/>
      <w:szCs w:val="32"/>
    </w:rPr>
  </w:style>
  <w:style w:type="table" w:styleId="TableGrid">
    <w:name w:val="Table Grid"/>
    <w:basedOn w:val="TableNormal"/>
    <w:uiPriority w:val="39"/>
    <w:rsid w:val="00B0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2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DFB"/>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86E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E98"/>
    <w:rPr>
      <w:sz w:val="20"/>
      <w:szCs w:val="20"/>
    </w:rPr>
  </w:style>
  <w:style w:type="character" w:styleId="FootnoteReference">
    <w:name w:val="footnote reference"/>
    <w:basedOn w:val="DefaultParagraphFont"/>
    <w:uiPriority w:val="99"/>
    <w:semiHidden/>
    <w:unhideWhenUsed/>
    <w:rsid w:val="00286E98"/>
    <w:rPr>
      <w:vertAlign w:val="superscript"/>
    </w:rPr>
  </w:style>
  <w:style w:type="paragraph" w:styleId="Caption">
    <w:name w:val="caption"/>
    <w:basedOn w:val="Normal"/>
    <w:next w:val="Normal"/>
    <w:uiPriority w:val="35"/>
    <w:unhideWhenUsed/>
    <w:qFormat/>
    <w:rsid w:val="00A87C42"/>
    <w:pPr>
      <w:spacing w:after="200" w:line="240" w:lineRule="auto"/>
    </w:pPr>
    <w:rPr>
      <w:i/>
      <w:iCs/>
      <w:color w:val="4E3B30" w:themeColor="text2"/>
      <w:sz w:val="18"/>
      <w:szCs w:val="18"/>
    </w:rPr>
  </w:style>
  <w:style w:type="character" w:customStyle="1" w:styleId="Heading3Char">
    <w:name w:val="Heading 3 Char"/>
    <w:basedOn w:val="DefaultParagraphFont"/>
    <w:link w:val="Heading3"/>
    <w:uiPriority w:val="9"/>
    <w:rsid w:val="0033672F"/>
    <w:rPr>
      <w:rFonts w:asciiTheme="majorHAnsi" w:eastAsiaTheme="majorEastAsia" w:hAnsiTheme="majorHAnsi" w:cstheme="majorBidi"/>
      <w:color w:val="845209" w:themeColor="accent1" w:themeShade="7F"/>
      <w:sz w:val="24"/>
      <w:szCs w:val="24"/>
    </w:rPr>
  </w:style>
  <w:style w:type="paragraph" w:styleId="Quote">
    <w:name w:val="Quote"/>
    <w:basedOn w:val="Normal"/>
    <w:next w:val="Normal"/>
    <w:link w:val="QuoteChar"/>
    <w:uiPriority w:val="29"/>
    <w:qFormat/>
    <w:rsid w:val="009262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62F5"/>
    <w:rPr>
      <w:i/>
      <w:iCs/>
      <w:color w:val="404040" w:themeColor="text1" w:themeTint="BF"/>
    </w:rPr>
  </w:style>
  <w:style w:type="paragraph" w:styleId="IntenseQuote">
    <w:name w:val="Intense Quote"/>
    <w:basedOn w:val="Normal"/>
    <w:next w:val="Normal"/>
    <w:link w:val="IntenseQuoteChar"/>
    <w:uiPriority w:val="30"/>
    <w:qFormat/>
    <w:rsid w:val="004A662D"/>
    <w:pPr>
      <w:pBdr>
        <w:top w:val="single" w:sz="4" w:space="10" w:color="F0A22E" w:themeColor="accent1"/>
        <w:bottom w:val="single" w:sz="4" w:space="10" w:color="F0A22E" w:themeColor="accent1"/>
      </w:pBdr>
      <w:spacing w:before="360" w:after="360"/>
      <w:ind w:left="864" w:right="864"/>
      <w:jc w:val="center"/>
    </w:pPr>
    <w:rPr>
      <w:i/>
      <w:iCs/>
      <w:color w:val="F0A22E" w:themeColor="accent1"/>
    </w:rPr>
  </w:style>
  <w:style w:type="character" w:customStyle="1" w:styleId="IntenseQuoteChar">
    <w:name w:val="Intense Quote Char"/>
    <w:basedOn w:val="DefaultParagraphFont"/>
    <w:link w:val="IntenseQuote"/>
    <w:uiPriority w:val="30"/>
    <w:rsid w:val="004A662D"/>
    <w:rPr>
      <w:i/>
      <w:iCs/>
      <w:color w:val="F0A22E" w:themeColor="accent1"/>
    </w:rPr>
  </w:style>
  <w:style w:type="character" w:customStyle="1" w:styleId="ta-response-item-highlight">
    <w:name w:val="ta-response-item-highlight"/>
    <w:basedOn w:val="DefaultParagraphFont"/>
    <w:rsid w:val="00B431F0"/>
  </w:style>
  <w:style w:type="paragraph" w:styleId="Header">
    <w:name w:val="header"/>
    <w:basedOn w:val="Normal"/>
    <w:link w:val="HeaderChar"/>
    <w:uiPriority w:val="99"/>
    <w:unhideWhenUsed/>
    <w:rsid w:val="00143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D47"/>
  </w:style>
  <w:style w:type="paragraph" w:styleId="Footer">
    <w:name w:val="footer"/>
    <w:basedOn w:val="Normal"/>
    <w:link w:val="FooterChar"/>
    <w:uiPriority w:val="99"/>
    <w:unhideWhenUsed/>
    <w:rsid w:val="00143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D47"/>
  </w:style>
  <w:style w:type="paragraph" w:styleId="TOC2">
    <w:name w:val="toc 2"/>
    <w:basedOn w:val="Normal"/>
    <w:next w:val="Normal"/>
    <w:autoRedefine/>
    <w:uiPriority w:val="39"/>
    <w:unhideWhenUsed/>
    <w:rsid w:val="00A80637"/>
    <w:pPr>
      <w:spacing w:after="100"/>
      <w:ind w:left="220"/>
    </w:pPr>
  </w:style>
  <w:style w:type="paragraph" w:styleId="TOC1">
    <w:name w:val="toc 1"/>
    <w:basedOn w:val="Normal"/>
    <w:next w:val="Normal"/>
    <w:autoRedefine/>
    <w:uiPriority w:val="39"/>
    <w:unhideWhenUsed/>
    <w:rsid w:val="00A80637"/>
    <w:pPr>
      <w:spacing w:after="100"/>
    </w:pPr>
  </w:style>
  <w:style w:type="paragraph" w:styleId="TOC3">
    <w:name w:val="toc 3"/>
    <w:basedOn w:val="Normal"/>
    <w:next w:val="Normal"/>
    <w:autoRedefine/>
    <w:uiPriority w:val="39"/>
    <w:unhideWhenUsed/>
    <w:rsid w:val="00A80637"/>
    <w:pPr>
      <w:spacing w:after="100"/>
      <w:ind w:left="440"/>
    </w:pPr>
  </w:style>
  <w:style w:type="character" w:styleId="UnresolvedMention">
    <w:name w:val="Unresolved Mention"/>
    <w:basedOn w:val="DefaultParagraphFont"/>
    <w:uiPriority w:val="99"/>
    <w:semiHidden/>
    <w:unhideWhenUsed/>
    <w:rsid w:val="00785E8A"/>
    <w:rPr>
      <w:color w:val="605E5C"/>
      <w:shd w:val="clear" w:color="auto" w:fill="E1DFDD"/>
    </w:rPr>
  </w:style>
  <w:style w:type="paragraph" w:customStyle="1" w:styleId="Default">
    <w:name w:val="Default"/>
    <w:rsid w:val="00B804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A4236A"/>
    <w:rPr>
      <w:rFonts w:asciiTheme="majorHAnsi" w:eastAsiaTheme="majorEastAsia" w:hAnsiTheme="majorHAnsi" w:cstheme="majorBidi"/>
      <w:i/>
      <w:iCs/>
      <w:color w:val="C77C0E"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ACC"/>
    <w:rPr>
      <w:b/>
      <w:bCs/>
    </w:rPr>
  </w:style>
  <w:style w:type="character" w:customStyle="1" w:styleId="CommentSubjectChar">
    <w:name w:val="Comment Subject Char"/>
    <w:basedOn w:val="CommentTextChar"/>
    <w:link w:val="CommentSubject"/>
    <w:uiPriority w:val="99"/>
    <w:semiHidden/>
    <w:rsid w:val="00764ACC"/>
    <w:rPr>
      <w:b/>
      <w:bCs/>
      <w:sz w:val="20"/>
      <w:szCs w:val="20"/>
    </w:rPr>
  </w:style>
  <w:style w:type="paragraph" w:styleId="Revision">
    <w:name w:val="Revision"/>
    <w:hidden/>
    <w:uiPriority w:val="99"/>
    <w:semiHidden/>
    <w:rsid w:val="00AB51CF"/>
    <w:pPr>
      <w:spacing w:after="0" w:line="240" w:lineRule="auto"/>
    </w:pPr>
  </w:style>
  <w:style w:type="character" w:styleId="Emphasis">
    <w:name w:val="Emphasis"/>
    <w:basedOn w:val="DefaultParagraphFont"/>
    <w:uiPriority w:val="20"/>
    <w:qFormat/>
    <w:rsid w:val="00F91FC6"/>
    <w:rPr>
      <w:i/>
      <w:iCs/>
    </w:rPr>
  </w:style>
  <w:style w:type="character" w:styleId="FollowedHyperlink">
    <w:name w:val="FollowedHyperlink"/>
    <w:basedOn w:val="DefaultParagraphFont"/>
    <w:uiPriority w:val="99"/>
    <w:semiHidden/>
    <w:unhideWhenUsed/>
    <w:rsid w:val="00834A89"/>
    <w:rPr>
      <w:color w:val="FFC42F" w:themeColor="followedHyperlink"/>
      <w:u w:val="single"/>
    </w:rPr>
  </w:style>
  <w:style w:type="table" w:styleId="GridTable4-Accent1">
    <w:name w:val="Grid Table 4 Accent 1"/>
    <w:basedOn w:val="TableNormal"/>
    <w:uiPriority w:val="49"/>
    <w:rsid w:val="00595EC3"/>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4-Accent6">
    <w:name w:val="Grid Table 4 Accent 6"/>
    <w:basedOn w:val="TableNormal"/>
    <w:uiPriority w:val="49"/>
    <w:rsid w:val="00595EC3"/>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character" w:customStyle="1" w:styleId="b-cp-employeejobtitle">
    <w:name w:val="b-cp-employee__jobtitle"/>
    <w:basedOn w:val="DefaultParagraphFont"/>
    <w:rsid w:val="00CF09EE"/>
  </w:style>
  <w:style w:type="paragraph" w:styleId="TableofFigures">
    <w:name w:val="table of figures"/>
    <w:basedOn w:val="Normal"/>
    <w:next w:val="Normal"/>
    <w:uiPriority w:val="99"/>
    <w:unhideWhenUsed/>
    <w:rsid w:val="000518DD"/>
    <w:pPr>
      <w:spacing w:after="0"/>
    </w:pPr>
  </w:style>
  <w:style w:type="character" w:styleId="SubtleEmphasis">
    <w:name w:val="Subtle Emphasis"/>
    <w:basedOn w:val="DefaultParagraphFont"/>
    <w:uiPriority w:val="19"/>
    <w:qFormat/>
    <w:rsid w:val="00C758B5"/>
    <w:rPr>
      <w:i/>
      <w:iCs/>
      <w:color w:val="404040" w:themeColor="text1" w:themeTint="BF"/>
    </w:rPr>
  </w:style>
  <w:style w:type="paragraph" w:styleId="NoSpacing">
    <w:name w:val="No Spacing"/>
    <w:link w:val="NoSpacingChar"/>
    <w:uiPriority w:val="1"/>
    <w:qFormat/>
    <w:rsid w:val="00BF1C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1C5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562">
      <w:bodyDiv w:val="1"/>
      <w:marLeft w:val="0"/>
      <w:marRight w:val="0"/>
      <w:marTop w:val="0"/>
      <w:marBottom w:val="0"/>
      <w:divBdr>
        <w:top w:val="none" w:sz="0" w:space="0" w:color="auto"/>
        <w:left w:val="none" w:sz="0" w:space="0" w:color="auto"/>
        <w:bottom w:val="none" w:sz="0" w:space="0" w:color="auto"/>
        <w:right w:val="none" w:sz="0" w:space="0" w:color="auto"/>
      </w:divBdr>
    </w:div>
    <w:div w:id="256404923">
      <w:bodyDiv w:val="1"/>
      <w:marLeft w:val="0"/>
      <w:marRight w:val="0"/>
      <w:marTop w:val="0"/>
      <w:marBottom w:val="0"/>
      <w:divBdr>
        <w:top w:val="none" w:sz="0" w:space="0" w:color="auto"/>
        <w:left w:val="none" w:sz="0" w:space="0" w:color="auto"/>
        <w:bottom w:val="none" w:sz="0" w:space="0" w:color="auto"/>
        <w:right w:val="none" w:sz="0" w:space="0" w:color="auto"/>
      </w:divBdr>
    </w:div>
    <w:div w:id="407076127">
      <w:bodyDiv w:val="1"/>
      <w:marLeft w:val="0"/>
      <w:marRight w:val="0"/>
      <w:marTop w:val="0"/>
      <w:marBottom w:val="0"/>
      <w:divBdr>
        <w:top w:val="none" w:sz="0" w:space="0" w:color="auto"/>
        <w:left w:val="none" w:sz="0" w:space="0" w:color="auto"/>
        <w:bottom w:val="none" w:sz="0" w:space="0" w:color="auto"/>
        <w:right w:val="none" w:sz="0" w:space="0" w:color="auto"/>
      </w:divBdr>
    </w:div>
    <w:div w:id="415053687">
      <w:bodyDiv w:val="1"/>
      <w:marLeft w:val="0"/>
      <w:marRight w:val="0"/>
      <w:marTop w:val="0"/>
      <w:marBottom w:val="0"/>
      <w:divBdr>
        <w:top w:val="none" w:sz="0" w:space="0" w:color="auto"/>
        <w:left w:val="none" w:sz="0" w:space="0" w:color="auto"/>
        <w:bottom w:val="none" w:sz="0" w:space="0" w:color="auto"/>
        <w:right w:val="none" w:sz="0" w:space="0" w:color="auto"/>
      </w:divBdr>
    </w:div>
    <w:div w:id="667177653">
      <w:bodyDiv w:val="1"/>
      <w:marLeft w:val="0"/>
      <w:marRight w:val="0"/>
      <w:marTop w:val="0"/>
      <w:marBottom w:val="0"/>
      <w:divBdr>
        <w:top w:val="none" w:sz="0" w:space="0" w:color="auto"/>
        <w:left w:val="none" w:sz="0" w:space="0" w:color="auto"/>
        <w:bottom w:val="none" w:sz="0" w:space="0" w:color="auto"/>
        <w:right w:val="none" w:sz="0" w:space="0" w:color="auto"/>
      </w:divBdr>
      <w:divsChild>
        <w:div w:id="41100315">
          <w:marLeft w:val="0"/>
          <w:marRight w:val="0"/>
          <w:marTop w:val="0"/>
          <w:marBottom w:val="0"/>
          <w:divBdr>
            <w:top w:val="none" w:sz="0" w:space="0" w:color="auto"/>
            <w:left w:val="none" w:sz="0" w:space="0" w:color="auto"/>
            <w:bottom w:val="none" w:sz="0" w:space="0" w:color="auto"/>
            <w:right w:val="none" w:sz="0" w:space="0" w:color="auto"/>
          </w:divBdr>
          <w:divsChild>
            <w:div w:id="7613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3090">
      <w:bodyDiv w:val="1"/>
      <w:marLeft w:val="0"/>
      <w:marRight w:val="0"/>
      <w:marTop w:val="0"/>
      <w:marBottom w:val="0"/>
      <w:divBdr>
        <w:top w:val="none" w:sz="0" w:space="0" w:color="auto"/>
        <w:left w:val="none" w:sz="0" w:space="0" w:color="auto"/>
        <w:bottom w:val="none" w:sz="0" w:space="0" w:color="auto"/>
        <w:right w:val="none" w:sz="0" w:space="0" w:color="auto"/>
      </w:divBdr>
    </w:div>
    <w:div w:id="824668695">
      <w:bodyDiv w:val="1"/>
      <w:marLeft w:val="0"/>
      <w:marRight w:val="0"/>
      <w:marTop w:val="0"/>
      <w:marBottom w:val="0"/>
      <w:divBdr>
        <w:top w:val="none" w:sz="0" w:space="0" w:color="auto"/>
        <w:left w:val="none" w:sz="0" w:space="0" w:color="auto"/>
        <w:bottom w:val="none" w:sz="0" w:space="0" w:color="auto"/>
        <w:right w:val="none" w:sz="0" w:space="0" w:color="auto"/>
      </w:divBdr>
    </w:div>
    <w:div w:id="963003487">
      <w:bodyDiv w:val="1"/>
      <w:marLeft w:val="0"/>
      <w:marRight w:val="0"/>
      <w:marTop w:val="0"/>
      <w:marBottom w:val="0"/>
      <w:divBdr>
        <w:top w:val="none" w:sz="0" w:space="0" w:color="auto"/>
        <w:left w:val="none" w:sz="0" w:space="0" w:color="auto"/>
        <w:bottom w:val="none" w:sz="0" w:space="0" w:color="auto"/>
        <w:right w:val="none" w:sz="0" w:space="0" w:color="auto"/>
      </w:divBdr>
    </w:div>
    <w:div w:id="968318299">
      <w:bodyDiv w:val="1"/>
      <w:marLeft w:val="0"/>
      <w:marRight w:val="0"/>
      <w:marTop w:val="0"/>
      <w:marBottom w:val="0"/>
      <w:divBdr>
        <w:top w:val="none" w:sz="0" w:space="0" w:color="auto"/>
        <w:left w:val="none" w:sz="0" w:space="0" w:color="auto"/>
        <w:bottom w:val="none" w:sz="0" w:space="0" w:color="auto"/>
        <w:right w:val="none" w:sz="0" w:space="0" w:color="auto"/>
      </w:divBdr>
    </w:div>
    <w:div w:id="1178933050">
      <w:bodyDiv w:val="1"/>
      <w:marLeft w:val="0"/>
      <w:marRight w:val="0"/>
      <w:marTop w:val="0"/>
      <w:marBottom w:val="0"/>
      <w:divBdr>
        <w:top w:val="none" w:sz="0" w:space="0" w:color="auto"/>
        <w:left w:val="none" w:sz="0" w:space="0" w:color="auto"/>
        <w:bottom w:val="none" w:sz="0" w:space="0" w:color="auto"/>
        <w:right w:val="none" w:sz="0" w:space="0" w:color="auto"/>
      </w:divBdr>
    </w:div>
    <w:div w:id="1359429422">
      <w:bodyDiv w:val="1"/>
      <w:marLeft w:val="0"/>
      <w:marRight w:val="0"/>
      <w:marTop w:val="0"/>
      <w:marBottom w:val="0"/>
      <w:divBdr>
        <w:top w:val="none" w:sz="0" w:space="0" w:color="auto"/>
        <w:left w:val="none" w:sz="0" w:space="0" w:color="auto"/>
        <w:bottom w:val="none" w:sz="0" w:space="0" w:color="auto"/>
        <w:right w:val="none" w:sz="0" w:space="0" w:color="auto"/>
      </w:divBdr>
      <w:divsChild>
        <w:div w:id="1353335464">
          <w:marLeft w:val="0"/>
          <w:marRight w:val="0"/>
          <w:marTop w:val="0"/>
          <w:marBottom w:val="0"/>
          <w:divBdr>
            <w:top w:val="none" w:sz="0" w:space="0" w:color="auto"/>
            <w:left w:val="none" w:sz="0" w:space="0" w:color="auto"/>
            <w:bottom w:val="none" w:sz="0" w:space="0" w:color="auto"/>
            <w:right w:val="none" w:sz="0" w:space="0" w:color="auto"/>
          </w:divBdr>
        </w:div>
        <w:div w:id="1377974996">
          <w:marLeft w:val="0"/>
          <w:marRight w:val="0"/>
          <w:marTop w:val="0"/>
          <w:marBottom w:val="0"/>
          <w:divBdr>
            <w:top w:val="none" w:sz="0" w:space="0" w:color="auto"/>
            <w:left w:val="none" w:sz="0" w:space="0" w:color="auto"/>
            <w:bottom w:val="none" w:sz="0" w:space="0" w:color="auto"/>
            <w:right w:val="none" w:sz="0" w:space="0" w:color="auto"/>
          </w:divBdr>
        </w:div>
        <w:div w:id="1457673214">
          <w:marLeft w:val="0"/>
          <w:marRight w:val="0"/>
          <w:marTop w:val="0"/>
          <w:marBottom w:val="0"/>
          <w:divBdr>
            <w:top w:val="none" w:sz="0" w:space="0" w:color="auto"/>
            <w:left w:val="none" w:sz="0" w:space="0" w:color="auto"/>
            <w:bottom w:val="none" w:sz="0" w:space="0" w:color="auto"/>
            <w:right w:val="none" w:sz="0" w:space="0" w:color="auto"/>
          </w:divBdr>
        </w:div>
        <w:div w:id="1853184921">
          <w:marLeft w:val="0"/>
          <w:marRight w:val="0"/>
          <w:marTop w:val="0"/>
          <w:marBottom w:val="0"/>
          <w:divBdr>
            <w:top w:val="none" w:sz="0" w:space="0" w:color="auto"/>
            <w:left w:val="none" w:sz="0" w:space="0" w:color="auto"/>
            <w:bottom w:val="none" w:sz="0" w:space="0" w:color="auto"/>
            <w:right w:val="none" w:sz="0" w:space="0" w:color="auto"/>
          </w:divBdr>
        </w:div>
      </w:divsChild>
    </w:div>
    <w:div w:id="1427387391">
      <w:bodyDiv w:val="1"/>
      <w:marLeft w:val="0"/>
      <w:marRight w:val="0"/>
      <w:marTop w:val="0"/>
      <w:marBottom w:val="0"/>
      <w:divBdr>
        <w:top w:val="none" w:sz="0" w:space="0" w:color="auto"/>
        <w:left w:val="none" w:sz="0" w:space="0" w:color="auto"/>
        <w:bottom w:val="none" w:sz="0" w:space="0" w:color="auto"/>
        <w:right w:val="none" w:sz="0" w:space="0" w:color="auto"/>
      </w:divBdr>
    </w:div>
    <w:div w:id="1688406427">
      <w:bodyDiv w:val="1"/>
      <w:marLeft w:val="0"/>
      <w:marRight w:val="0"/>
      <w:marTop w:val="0"/>
      <w:marBottom w:val="0"/>
      <w:divBdr>
        <w:top w:val="none" w:sz="0" w:space="0" w:color="auto"/>
        <w:left w:val="none" w:sz="0" w:space="0" w:color="auto"/>
        <w:bottom w:val="none" w:sz="0" w:space="0" w:color="auto"/>
        <w:right w:val="none" w:sz="0" w:space="0" w:color="auto"/>
      </w:divBdr>
    </w:div>
    <w:div w:id="1747721839">
      <w:bodyDiv w:val="1"/>
      <w:marLeft w:val="0"/>
      <w:marRight w:val="0"/>
      <w:marTop w:val="0"/>
      <w:marBottom w:val="0"/>
      <w:divBdr>
        <w:top w:val="none" w:sz="0" w:space="0" w:color="auto"/>
        <w:left w:val="none" w:sz="0" w:space="0" w:color="auto"/>
        <w:bottom w:val="none" w:sz="0" w:space="0" w:color="auto"/>
        <w:right w:val="none" w:sz="0" w:space="0" w:color="auto"/>
      </w:divBdr>
      <w:divsChild>
        <w:div w:id="1841699097">
          <w:marLeft w:val="0"/>
          <w:marRight w:val="0"/>
          <w:marTop w:val="0"/>
          <w:marBottom w:val="0"/>
          <w:divBdr>
            <w:top w:val="none" w:sz="0" w:space="0" w:color="auto"/>
            <w:left w:val="none" w:sz="0" w:space="0" w:color="auto"/>
            <w:bottom w:val="none" w:sz="0" w:space="0" w:color="auto"/>
            <w:right w:val="none" w:sz="0" w:space="0" w:color="auto"/>
          </w:divBdr>
        </w:div>
      </w:divsChild>
    </w:div>
    <w:div w:id="1900313728">
      <w:bodyDiv w:val="1"/>
      <w:marLeft w:val="0"/>
      <w:marRight w:val="0"/>
      <w:marTop w:val="0"/>
      <w:marBottom w:val="0"/>
      <w:divBdr>
        <w:top w:val="none" w:sz="0" w:space="0" w:color="auto"/>
        <w:left w:val="none" w:sz="0" w:space="0" w:color="auto"/>
        <w:bottom w:val="none" w:sz="0" w:space="0" w:color="auto"/>
        <w:right w:val="none" w:sz="0" w:space="0" w:color="auto"/>
      </w:divBdr>
    </w:div>
    <w:div w:id="1912085105">
      <w:bodyDiv w:val="1"/>
      <w:marLeft w:val="0"/>
      <w:marRight w:val="0"/>
      <w:marTop w:val="0"/>
      <w:marBottom w:val="0"/>
      <w:divBdr>
        <w:top w:val="none" w:sz="0" w:space="0" w:color="auto"/>
        <w:left w:val="none" w:sz="0" w:space="0" w:color="auto"/>
        <w:bottom w:val="none" w:sz="0" w:space="0" w:color="auto"/>
        <w:right w:val="none" w:sz="0" w:space="0" w:color="auto"/>
      </w:divBdr>
    </w:div>
    <w:div w:id="1975792481">
      <w:bodyDiv w:val="1"/>
      <w:marLeft w:val="0"/>
      <w:marRight w:val="0"/>
      <w:marTop w:val="0"/>
      <w:marBottom w:val="0"/>
      <w:divBdr>
        <w:top w:val="none" w:sz="0" w:space="0" w:color="auto"/>
        <w:left w:val="none" w:sz="0" w:space="0" w:color="auto"/>
        <w:bottom w:val="none" w:sz="0" w:space="0" w:color="auto"/>
        <w:right w:val="none" w:sz="0" w:space="0" w:color="auto"/>
      </w:divBdr>
      <w:divsChild>
        <w:div w:id="152675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genderequalitycommission.vic.gov.au/compliance-gender-equality-act-2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equalitycommission.vic.gov.au/defined-entities-under-gender-equality-a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diagramLayout" Target="diagrams/layout1.xml"/><Relationship Id="rId30"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healthcommcapacity.org/" TargetMode="External"/><Relationship Id="rId2" Type="http://schemas.openxmlformats.org/officeDocument/2006/relationships/hyperlink" Target="https://www.genderequalitycommission.vic.gov.au/promoting-gender-equality" TargetMode="External"/><Relationship Id="rId1" Type="http://schemas.openxmlformats.org/officeDocument/2006/relationships/hyperlink" Target="https://eige.europa.eu/gender-mainstreaming/toolkits/gender-impact-assessment/why-use-gender-impact-assess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hise.sharepoint.com/whiseservices/Gender%20Equity/6.%20Fee%20for%20Service/2.%20In%20Progress/AGEP%20CGEPS%20GIA%20Education%20Strategy/Drafting%20and%20WIP/Survey/Summary%20of%20All%20Responses%20to%20Survey%20to%20determine%20sector%20typ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mcmahon.WHISE\Downloads\Data_Q7_220204\Gender%20Impact%20Assessments%20GIAs%20in%20Victoria%20I%20Needs%20Analysis%20survey%20for%20Defined%20Entit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whise.sharepoint.com/whiseservices/Gender%20Equity/6.%20Fee%20for%20Service/2.%20In%20Progress/AGEP%20CGEPS%20GIA%20Education%20Strategy/Drafting%20and%20WIP/Report/Survey%20Data%20Excel%20and%20Extracts/Question%20Will%20you%20do%20a%20GIA%20So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whise.sharepoint.com/whiseservices/Gender%20Equity/6.%20Fee%20for%20Service/2.%20In%20Progress/AGEP%20CGEPS%20GIA%20Education%20Strategy/Drafting%20and%20WIP/Report/Survey%20Data%20Excel%20and%20Extracts/What%20support%20to%20commence%20a%20G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Respondents</a:t>
            </a:r>
            <a:r>
              <a:rPr lang="en-US" baseline="0"/>
              <a:t> x</a:t>
            </a:r>
            <a:r>
              <a:rPr lang="en-US"/>
              <a:t> Sector who identify</a:t>
            </a:r>
            <a:r>
              <a:rPr lang="en-US" baseline="0"/>
              <a:t> their entity has</a:t>
            </a:r>
            <a:r>
              <a:rPr lang="en-US"/>
              <a:t> low capability and readiness to undertake</a:t>
            </a:r>
            <a:r>
              <a:rPr lang="en-US" baseline="0"/>
              <a:t> GIA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Sheet1!$E$1</c:f>
              <c:strCache>
                <c:ptCount val="1"/>
                <c:pt idx="0">
                  <c:v>% Identify as Low Capability and Readiness</c:v>
                </c:pt>
              </c:strCache>
            </c:strRef>
          </c:tx>
          <c:spPr>
            <a:ln w="28575" cap="rnd">
              <a:solidFill>
                <a:schemeClr val="accent1"/>
              </a:solidFill>
              <a:round/>
            </a:ln>
            <a:effectLst/>
          </c:spPr>
          <c:marker>
            <c:symbol val="none"/>
          </c:marker>
          <c:cat>
            <c:strRef>
              <c:f>Sheet1!$A$2:$A$17</c:f>
              <c:strCache>
                <c:ptCount val="16"/>
                <c:pt idx="0">
                  <c:v>Arts Culture and Tourism</c:v>
                </c:pt>
                <c:pt idx="1">
                  <c:v>Commissions and Independent Agencies/Public Governance and Accountability</c:v>
                </c:pt>
                <c:pt idx="2">
                  <c:v>Emergency Services</c:v>
                </c:pt>
                <c:pt idx="3">
                  <c:v>Environment Parks and Gardens</c:v>
                </c:pt>
                <c:pt idx="4">
                  <c:v>Finance, Funds Management &amp; Insurance</c:v>
                </c:pt>
                <c:pt idx="5">
                  <c:v>Government Departments</c:v>
                </c:pt>
                <c:pt idx="6">
                  <c:v>Health organisations (Metro)</c:v>
                </c:pt>
                <c:pt idx="7">
                  <c:v>Health organisations (Rural, Regional)</c:v>
                </c:pt>
                <c:pt idx="8">
                  <c:v>Infrastructure agencies &amp; essential services/Transport</c:v>
                </c:pt>
                <c:pt idx="9">
                  <c:v>Justice and Law</c:v>
                </c:pt>
                <c:pt idx="10">
                  <c:v>Local Councils (Metro)</c:v>
                </c:pt>
                <c:pt idx="11">
                  <c:v>Local Councils (Rural, Regional)</c:v>
                </c:pt>
                <c:pt idx="12">
                  <c:v>Service provision and community engagement</c:v>
                </c:pt>
                <c:pt idx="13">
                  <c:v>Sport and recreation</c:v>
                </c:pt>
                <c:pt idx="14">
                  <c:v>TAFES and other educational institutions</c:v>
                </c:pt>
                <c:pt idx="15">
                  <c:v>Universities</c:v>
                </c:pt>
              </c:strCache>
            </c:strRef>
          </c:cat>
          <c:val>
            <c:numRef>
              <c:f>Sheet1!$E$2:$E$17</c:f>
              <c:numCache>
                <c:formatCode>0</c:formatCode>
                <c:ptCount val="16"/>
                <c:pt idx="0">
                  <c:v>71.428571428571431</c:v>
                </c:pt>
                <c:pt idx="1">
                  <c:v>50</c:v>
                </c:pt>
                <c:pt idx="2">
                  <c:v>100</c:v>
                </c:pt>
                <c:pt idx="3">
                  <c:v>88.888888888888886</c:v>
                </c:pt>
                <c:pt idx="4">
                  <c:v>100</c:v>
                </c:pt>
                <c:pt idx="5">
                  <c:v>70.588235294117652</c:v>
                </c:pt>
                <c:pt idx="6">
                  <c:v>66.666666666666657</c:v>
                </c:pt>
                <c:pt idx="7">
                  <c:v>72.222222222222214</c:v>
                </c:pt>
                <c:pt idx="8">
                  <c:v>85.714285714285708</c:v>
                </c:pt>
                <c:pt idx="9">
                  <c:v>66.666666666666657</c:v>
                </c:pt>
                <c:pt idx="10">
                  <c:v>68.571428571428569</c:v>
                </c:pt>
                <c:pt idx="11">
                  <c:v>80.555555555555557</c:v>
                </c:pt>
                <c:pt idx="12">
                  <c:v>0</c:v>
                </c:pt>
                <c:pt idx="13">
                  <c:v>75</c:v>
                </c:pt>
                <c:pt idx="14">
                  <c:v>85.714285714285708</c:v>
                </c:pt>
                <c:pt idx="15">
                  <c:v>60</c:v>
                </c:pt>
              </c:numCache>
            </c:numRef>
          </c:val>
          <c:extLst>
            <c:ext xmlns:c16="http://schemas.microsoft.com/office/drawing/2014/chart" uri="{C3380CC4-5D6E-409C-BE32-E72D297353CC}">
              <c16:uniqueId val="{00000000-3FD4-4380-89B0-603D4E5B073B}"/>
            </c:ext>
          </c:extLst>
        </c:ser>
        <c:dLbls>
          <c:showLegendKey val="0"/>
          <c:showVal val="0"/>
          <c:showCatName val="0"/>
          <c:showSerName val="0"/>
          <c:showPercent val="0"/>
          <c:showBubbleSize val="0"/>
        </c:dLbls>
        <c:axId val="771611112"/>
        <c:axId val="771610784"/>
      </c:radarChart>
      <c:catAx>
        <c:axId val="77161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610784"/>
        <c:crosses val="autoZero"/>
        <c:auto val="1"/>
        <c:lblAlgn val="ctr"/>
        <c:lblOffset val="100"/>
        <c:noMultiLvlLbl val="0"/>
      </c:catAx>
      <c:valAx>
        <c:axId val="771610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611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r>
              <a:rPr lang="en-AU"/>
              <a:t>What, if any, additional support would you like to assist you undertake GIAs and/or undertake further GIAs?</a:t>
            </a:r>
          </a:p>
        </c:rich>
      </c:tx>
      <c:overlay val="0"/>
      <c:spPr>
        <a:noFill/>
        <a:ln>
          <a:noFill/>
        </a:ln>
        <a:effectLst/>
      </c:spPr>
    </c:title>
    <c:autoTitleDeleted val="0"/>
    <c:plotArea>
      <c:layout/>
      <c:barChart>
        <c:barDir val="col"/>
        <c:grouping val="clustered"/>
        <c:varyColors val="0"/>
        <c:ser>
          <c:idx val="0"/>
          <c:order val="0"/>
          <c:tx>
            <c:strRef>
              <c:f>'Question 7'!$C$3</c:f>
              <c:strCache>
                <c:ptCount val="1"/>
              </c:strCache>
            </c:strRef>
          </c:tx>
          <c:spPr>
            <a:solidFill>
              <a:schemeClr val="bg2">
                <a:lumMod val="50000"/>
              </a:schemeClr>
            </a:solidFill>
            <a:ln>
              <a:noFill/>
            </a:ln>
            <a:effectLst/>
          </c:spPr>
          <c:invertIfNegative val="0"/>
          <c:cat>
            <c:strRef>
              <c:f>'Question 7'!$A$4:$A$16</c:f>
              <c:strCache>
                <c:ptCount val="13"/>
                <c:pt idx="0">
                  <c:v>More Case Studies - examples of what the GIA was undertaken</c:v>
                </c:pt>
                <c:pt idx="1">
                  <c:v>More Case Studies - examples of HOW the GIA was undertaken</c:v>
                </c:pt>
                <c:pt idx="2">
                  <c:v>More specific examples for my sector</c:v>
                </c:pt>
                <c:pt idx="3">
                  <c:v>More webinars sharing the process of how to do a GIA</c:v>
                </c:pt>
                <c:pt idx="4">
                  <c:v>Small group peer support to share safely how the work is progressing</c:v>
                </c:pt>
                <c:pt idx="5">
                  <c:v>Revision of the Guidance on GIA resource from the Commission</c:v>
                </c:pt>
                <c:pt idx="6">
                  <c:v>More training - short sharp (1 to 2 hour) sessions on specific steps in the process</c:v>
                </c:pt>
                <c:pt idx="7">
                  <c:v>More training - 1 to 2 days to really go into detail about the process</c:v>
                </c:pt>
                <c:pt idx="8">
                  <c:v>Support for leadership and management in organisations to understand how to support this work</c:v>
                </c:pt>
                <c:pt idx="9">
                  <c:v>Demonstration of how to do a GIA on a small program, policy or service</c:v>
                </c:pt>
                <c:pt idx="10">
                  <c:v>Demonstration of how to do a GIA on a major/large strategy (whole of state, region, department)</c:v>
                </c:pt>
                <c:pt idx="11">
                  <c:v>Guidance and tips on how GIA can be implemented across organisation and become "business as usual"</c:v>
                </c:pt>
                <c:pt idx="12">
                  <c:v>Tools to support implementation</c:v>
                </c:pt>
              </c:strCache>
            </c:strRef>
          </c:cat>
          <c:val>
            <c:numRef>
              <c:f>'Question 7'!$C$4:$C$16</c:f>
              <c:numCache>
                <c:formatCode>General</c:formatCode>
                <c:ptCount val="13"/>
                <c:pt idx="0">
                  <c:v>70</c:v>
                </c:pt>
                <c:pt idx="1">
                  <c:v>101</c:v>
                </c:pt>
                <c:pt idx="2">
                  <c:v>96</c:v>
                </c:pt>
                <c:pt idx="3">
                  <c:v>68</c:v>
                </c:pt>
                <c:pt idx="4">
                  <c:v>39</c:v>
                </c:pt>
                <c:pt idx="5">
                  <c:v>45</c:v>
                </c:pt>
                <c:pt idx="6">
                  <c:v>101</c:v>
                </c:pt>
                <c:pt idx="7">
                  <c:v>45</c:v>
                </c:pt>
                <c:pt idx="8">
                  <c:v>91</c:v>
                </c:pt>
                <c:pt idx="9">
                  <c:v>109</c:v>
                </c:pt>
                <c:pt idx="10">
                  <c:v>74</c:v>
                </c:pt>
                <c:pt idx="11">
                  <c:v>120</c:v>
                </c:pt>
                <c:pt idx="12">
                  <c:v>93</c:v>
                </c:pt>
              </c:numCache>
            </c:numRef>
          </c:val>
          <c:extLst>
            <c:ext xmlns:c16="http://schemas.microsoft.com/office/drawing/2014/chart" uri="{C3380CC4-5D6E-409C-BE32-E72D297353CC}">
              <c16:uniqueId val="{00000000-44A2-43E5-A7B7-D1B7BFD3939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sz="1200"/>
              <a:t>Do you anticipate starting a GIA in the next 6 to 12 months?</a:t>
            </a:r>
          </a:p>
        </c:rich>
      </c:tx>
      <c:overlay val="0"/>
      <c:spPr>
        <a:noFill/>
        <a:ln>
          <a:noFill/>
        </a:ln>
        <a:effectLst/>
      </c:spPr>
    </c:title>
    <c:autoTitleDeleted val="0"/>
    <c:plotArea>
      <c:layout/>
      <c:pieChart>
        <c:varyColors val="1"/>
        <c:ser>
          <c:idx val="0"/>
          <c:order val="0"/>
          <c:tx>
            <c:strRef>
              <c:f>'Question 10'!$C$3</c:f>
              <c:strCache>
                <c:ptCount val="1"/>
              </c:strCache>
            </c:strRef>
          </c:tx>
          <c:explosion val="3"/>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B12-4005-B06D-6C858694681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B12-4005-B06D-6C858694681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B12-4005-B06D-6C858694681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B12-4005-B06D-6C8586946816}"/>
              </c:ext>
            </c:extLst>
          </c:dPt>
          <c:dLbls>
            <c:dLbl>
              <c:idx val="0"/>
              <c:layout>
                <c:manualLayout>
                  <c:x val="1.8518518518518413E-2"/>
                  <c:y val="-0.1102106781674638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B12-4005-B06D-6C8586946816}"/>
                </c:ext>
              </c:extLst>
            </c:dLbl>
            <c:dLbl>
              <c:idx val="1"/>
              <c:layout>
                <c:manualLayout>
                  <c:x val="2.8490028490028491E-3"/>
                  <c:y val="1.5126955826906709E-2"/>
                </c:manualLayout>
              </c:layout>
              <c:tx>
                <c:rich>
                  <a:bodyPr rot="0" spcFirstLastPara="1" vertOverflow="ellipsis" vert="horz" wrap="square" lIns="38100" tIns="19050" rIns="38100" bIns="19050" anchor="ctr" anchorCtr="1">
                    <a:spAutoFit/>
                  </a:bodyPr>
                  <a:lstStyle/>
                  <a:p>
                    <a:pPr>
                      <a:defRPr sz="900" b="0" i="0" u="none" strike="noStrike" kern="1200" spc="0" baseline="0">
                        <a:solidFill>
                          <a:schemeClr val="accent2"/>
                        </a:solidFill>
                        <a:latin typeface="+mn-lt"/>
                        <a:ea typeface="+mn-ea"/>
                        <a:cs typeface="+mn-cs"/>
                      </a:defRPr>
                    </a:pPr>
                    <a:fld id="{5CB83A49-F7F7-4FA9-878C-8DE22A1E1322}" type="CATEGORYNAME">
                      <a:rPr lang="en-US" sz="900" b="0"/>
                      <a:pPr>
                        <a:defRPr sz="900" b="0" i="0" u="none" strike="noStrike" kern="1200" spc="0" baseline="0">
                          <a:solidFill>
                            <a:schemeClr val="accent2"/>
                          </a:solidFill>
                          <a:latin typeface="+mn-lt"/>
                          <a:ea typeface="+mn-ea"/>
                          <a:cs typeface="+mn-cs"/>
                        </a:defRPr>
                      </a:pPr>
                      <a:t>[CATEGORY NAME]</a:t>
                    </a:fld>
                    <a:r>
                      <a:rPr lang="en-US" sz="900" b="0" baseline="0"/>
                      <a:t>, </a:t>
                    </a:r>
                    <a:fld id="{F8EC5F24-95F8-48EE-9638-91F8094D4AAD}" type="VALUE">
                      <a:rPr lang="en-US" sz="900" b="0" baseline="0"/>
                      <a:pPr>
                        <a:defRPr sz="900" b="0" i="0" u="none" strike="noStrike" kern="1200" spc="0" baseline="0">
                          <a:solidFill>
                            <a:schemeClr val="accent2"/>
                          </a:solidFill>
                          <a:latin typeface="+mn-lt"/>
                          <a:ea typeface="+mn-ea"/>
                          <a:cs typeface="+mn-cs"/>
                        </a:defRPr>
                      </a:pPr>
                      <a:t>[VALUE]</a:t>
                    </a:fld>
                    <a:r>
                      <a:rPr lang="en-US" sz="900" b="0" baseline="0"/>
                      <a:t>, </a:t>
                    </a:r>
                    <a:fld id="{0FEE5F48-8B90-41D6-83A1-C633D501156D}" type="PERCENTAGE">
                      <a:rPr lang="en-US" sz="900" b="0" baseline="0"/>
                      <a:pPr>
                        <a:defRPr sz="900" b="0" i="0" u="none" strike="noStrike" kern="1200" spc="0" baseline="0">
                          <a:solidFill>
                            <a:schemeClr val="accent2"/>
                          </a:solidFill>
                          <a:latin typeface="+mn-lt"/>
                          <a:ea typeface="+mn-ea"/>
                          <a:cs typeface="+mn-cs"/>
                        </a:defRPr>
                      </a:pPr>
                      <a:t>[PERCENTAGE]</a:t>
                    </a:fld>
                    <a:endParaRPr lang="en-US" sz="900" b="0" baseline="0"/>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B12-4005-B06D-6C8586946816}"/>
                </c:ext>
              </c:extLst>
            </c:dLbl>
            <c:dLbl>
              <c:idx val="2"/>
              <c:layout>
                <c:manualLayout>
                  <c:x val="-8.5470085470085479E-3"/>
                  <c:y val="4.3219873791162247E-3"/>
                </c:manualLayout>
              </c:layout>
              <c:tx>
                <c:rich>
                  <a:bodyPr rot="0" spcFirstLastPara="1" vertOverflow="ellipsis" vert="horz" wrap="square" lIns="38100" tIns="19050" rIns="38100" bIns="19050" anchor="ctr" anchorCtr="1">
                    <a:spAutoFit/>
                  </a:bodyPr>
                  <a:lstStyle/>
                  <a:p>
                    <a:pPr>
                      <a:defRPr sz="900" b="0" i="0" u="none" strike="noStrike" kern="1200" spc="0" baseline="0">
                        <a:solidFill>
                          <a:schemeClr val="accent3"/>
                        </a:solidFill>
                        <a:latin typeface="+mn-lt"/>
                        <a:ea typeface="+mn-ea"/>
                        <a:cs typeface="+mn-cs"/>
                      </a:defRPr>
                    </a:pPr>
                    <a:fld id="{A789E831-0168-4386-A8DF-EE2D2A3F9271}" type="CATEGORYNAME">
                      <a:rPr lang="en-US" sz="900" b="0"/>
                      <a:pPr>
                        <a:defRPr sz="900" b="0" i="0" u="none" strike="noStrike" kern="1200" spc="0" baseline="0">
                          <a:solidFill>
                            <a:schemeClr val="accent3"/>
                          </a:solidFill>
                          <a:latin typeface="+mn-lt"/>
                          <a:ea typeface="+mn-ea"/>
                          <a:cs typeface="+mn-cs"/>
                        </a:defRPr>
                      </a:pPr>
                      <a:t>[CATEGORY NAME]</a:t>
                    </a:fld>
                    <a:r>
                      <a:rPr lang="en-US" sz="900" b="0" baseline="0"/>
                      <a:t>, </a:t>
                    </a:r>
                    <a:fld id="{C9D75079-8FA8-4351-96A0-90DC6232317E}" type="VALUE">
                      <a:rPr lang="en-US" sz="900" b="0" baseline="0"/>
                      <a:pPr>
                        <a:defRPr sz="900" b="0" i="0" u="none" strike="noStrike" kern="1200" spc="0" baseline="0">
                          <a:solidFill>
                            <a:schemeClr val="accent3"/>
                          </a:solidFill>
                          <a:latin typeface="+mn-lt"/>
                          <a:ea typeface="+mn-ea"/>
                          <a:cs typeface="+mn-cs"/>
                        </a:defRPr>
                      </a:pPr>
                      <a:t>[VALUE]</a:t>
                    </a:fld>
                    <a:r>
                      <a:rPr lang="en-US" sz="900" b="0" baseline="0"/>
                      <a:t>, </a:t>
                    </a:r>
                    <a:fld id="{205956CD-A3B3-4CF4-99A0-6B0314262A42}" type="PERCENTAGE">
                      <a:rPr lang="en-US" sz="900" b="0" baseline="0"/>
                      <a:pPr>
                        <a:defRPr sz="900" b="0" i="0" u="none" strike="noStrike" kern="1200" spc="0" baseline="0">
                          <a:solidFill>
                            <a:schemeClr val="accent3"/>
                          </a:solidFill>
                          <a:latin typeface="+mn-lt"/>
                          <a:ea typeface="+mn-ea"/>
                          <a:cs typeface="+mn-cs"/>
                        </a:defRPr>
                      </a:pPr>
                      <a:t>[PERCENTAGE]</a:t>
                    </a:fld>
                    <a:endParaRPr lang="en-US" sz="900" b="0" baseline="0"/>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B12-4005-B06D-6C8586946816}"/>
                </c:ext>
              </c:extLst>
            </c:dLbl>
            <c:dLbl>
              <c:idx val="3"/>
              <c:layout>
                <c:manualLayout>
                  <c:x val="0.37281257925437483"/>
                  <c:y val="8.210559469539992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spc="0" baseline="0">
                      <a:solidFill>
                        <a:schemeClr val="accent4"/>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38839186757754701"/>
                      <c:h val="0.21613427268959801"/>
                    </c:manualLayout>
                  </c15:layout>
                </c:ext>
                <c:ext xmlns:c16="http://schemas.microsoft.com/office/drawing/2014/chart" uri="{C3380CC4-5D6E-409C-BE32-E72D297353CC}">
                  <c16:uniqueId val="{00000007-DB12-4005-B06D-6C8586946816}"/>
                </c:ext>
              </c:extLst>
            </c:dLbl>
            <c:spPr>
              <a:noFill/>
              <a:ln>
                <a:noFill/>
              </a:ln>
              <a:effectLst/>
            </c:spPr>
            <c:txPr>
              <a:bodyPr wrap="square" lIns="38100" tIns="19050" rIns="38100" bIns="19050" anchor="ctr">
                <a:spAutoFit/>
              </a:bodyPr>
              <a:lstStyle/>
              <a:p>
                <a:pPr>
                  <a:defRPr sz="900" b="0"/>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10'!$A$4:$A$7</c:f>
              <c:strCache>
                <c:ptCount val="4"/>
                <c:pt idx="0">
                  <c:v>Yes, next 6 months</c:v>
                </c:pt>
                <c:pt idx="1">
                  <c:v>Yes, next 12 months</c:v>
                </c:pt>
                <c:pt idx="2">
                  <c:v>I can't be sure</c:v>
                </c:pt>
                <c:pt idx="3">
                  <c:v>No I don't think we will be starting one until after 12 months.</c:v>
                </c:pt>
              </c:strCache>
            </c:strRef>
          </c:cat>
          <c:val>
            <c:numRef>
              <c:f>'Question 10'!$C$4:$C$7</c:f>
              <c:numCache>
                <c:formatCode>General</c:formatCode>
                <c:ptCount val="4"/>
                <c:pt idx="0">
                  <c:v>33</c:v>
                </c:pt>
                <c:pt idx="1">
                  <c:v>12</c:v>
                </c:pt>
                <c:pt idx="2">
                  <c:v>5</c:v>
                </c:pt>
                <c:pt idx="3">
                  <c:v>3</c:v>
                </c:pt>
              </c:numCache>
            </c:numRef>
          </c:val>
          <c:extLst>
            <c:ext xmlns:c16="http://schemas.microsoft.com/office/drawing/2014/chart" uri="{C3380CC4-5D6E-409C-BE32-E72D297353CC}">
              <c16:uniqueId val="{00000008-DB12-4005-B06D-6C858694681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r>
              <a:rPr lang="en-AU" sz="1200"/>
              <a:t>What support do you need to commence a GIA in your organisation?</a:t>
            </a:r>
          </a:p>
        </c:rich>
      </c:tx>
      <c:layout>
        <c:manualLayout>
          <c:xMode val="edge"/>
          <c:yMode val="edge"/>
          <c:x val="0.16741626552165134"/>
          <c:y val="2.3108030040439051E-3"/>
        </c:manualLayout>
      </c:layout>
      <c:overlay val="0"/>
      <c:spPr>
        <a:noFill/>
        <a:ln>
          <a:noFill/>
        </a:ln>
        <a:effectLst/>
      </c:spPr>
    </c:title>
    <c:autoTitleDeleted val="0"/>
    <c:plotArea>
      <c:layout/>
      <c:radarChart>
        <c:radarStyle val="marker"/>
        <c:varyColors val="0"/>
        <c:ser>
          <c:idx val="0"/>
          <c:order val="0"/>
          <c:tx>
            <c:strRef>
              <c:f>'Question 11'!$B$3</c:f>
              <c:strCache>
                <c:ptCount val="1"/>
                <c:pt idx="0">
                  <c:v>Responses</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'Question 11'!$A$4:$A$12</c:f>
              <c:strCache>
                <c:ptCount val="9"/>
                <c:pt idx="0">
                  <c:v>More time - I just don't have enough of it</c:v>
                </c:pt>
                <c:pt idx="1">
                  <c:v>More people - we need more resources to do this work</c:v>
                </c:pt>
                <c:pt idx="2">
                  <c:v>Better leadership support - I think that our leaders need to better understand what a GIA and its role</c:v>
                </c:pt>
                <c:pt idx="3">
                  <c:v>Training - 1 to 2 hours short sessions on the process focussing on each stage</c:v>
                </c:pt>
                <c:pt idx="4">
                  <c:v>Training - 1 to 2 days hands on deep dive into the GIA methodology and processes</c:v>
                </c:pt>
                <c:pt idx="5">
                  <c:v>Case studies on how a GIA is done</c:v>
                </c:pt>
                <c:pt idx="6">
                  <c:v>More case studies on what you can apply a GIA too</c:v>
                </c:pt>
                <c:pt idx="7">
                  <c:v>More resources that are for my sector - there are not enough</c:v>
                </c:pt>
                <c:pt idx="8">
                  <c:v>Peer led learning networks and groups were, in confidence, I can share and learn.</c:v>
                </c:pt>
              </c:strCache>
            </c:strRef>
          </c:cat>
          <c:val>
            <c:numRef>
              <c:f>'Question 11'!$B$4:$B$12</c:f>
              <c:numCache>
                <c:formatCode>0.00%</c:formatCode>
                <c:ptCount val="9"/>
                <c:pt idx="0">
                  <c:v>0.73470000000000002</c:v>
                </c:pt>
                <c:pt idx="1">
                  <c:v>0.61219999999999997</c:v>
                </c:pt>
                <c:pt idx="2">
                  <c:v>0.22450000000000001</c:v>
                </c:pt>
                <c:pt idx="3">
                  <c:v>0.73470000000000002</c:v>
                </c:pt>
                <c:pt idx="4">
                  <c:v>0.30609999999999998</c:v>
                </c:pt>
                <c:pt idx="5">
                  <c:v>0.69389999999999996</c:v>
                </c:pt>
                <c:pt idx="6">
                  <c:v>0.36730000000000002</c:v>
                </c:pt>
                <c:pt idx="7">
                  <c:v>0.28570000000000001</c:v>
                </c:pt>
                <c:pt idx="8">
                  <c:v>0.30609999999999998</c:v>
                </c:pt>
              </c:numCache>
            </c:numRef>
          </c:val>
          <c:extLst>
            <c:ext xmlns:c16="http://schemas.microsoft.com/office/drawing/2014/chart" uri="{C3380CC4-5D6E-409C-BE32-E72D297353CC}">
              <c16:uniqueId val="{00000000-2096-4C9D-8637-4FF4EAF41B5D}"/>
            </c:ext>
          </c:extLst>
        </c:ser>
        <c:dLbls>
          <c:showLegendKey val="0"/>
          <c:showVal val="0"/>
          <c:showCatName val="0"/>
          <c:showSerName val="0"/>
          <c:showPercent val="0"/>
          <c:showBubbleSize val="0"/>
        </c:dLbls>
        <c:axId val="10"/>
        <c:axId val="100"/>
      </c:rad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3A03F8-57BB-489D-9F1E-2672CF810D7F}" type="doc">
      <dgm:prSet loTypeId="urn:microsoft.com/office/officeart/2005/8/layout/chart3" loCatId="relationship" qsTypeId="urn:microsoft.com/office/officeart/2005/8/quickstyle/simple1" qsCatId="simple" csTypeId="urn:microsoft.com/office/officeart/2005/8/colors/accent1_2" csCatId="accent1" phldr="1"/>
      <dgm:spPr/>
    </dgm:pt>
    <dgm:pt modelId="{367E1474-CEC8-49E4-84C6-9EC008272219}">
      <dgm:prSet phldrT="[Text]"/>
      <dgm:spPr/>
      <dgm:t>
        <a:bodyPr/>
        <a:lstStyle/>
        <a:p>
          <a:pPr algn="ctr"/>
          <a:r>
            <a:rPr lang="en-AU"/>
            <a:t>Readiness for transformational change</a:t>
          </a:r>
        </a:p>
      </dgm:t>
    </dgm:pt>
    <dgm:pt modelId="{DD1A4C7C-3026-4424-8642-D685A62EC79B}" type="parTrans" cxnId="{93F7ABF6-39E3-450C-8D7E-AAD2014E13D1}">
      <dgm:prSet/>
      <dgm:spPr/>
      <dgm:t>
        <a:bodyPr/>
        <a:lstStyle/>
        <a:p>
          <a:pPr algn="ctr"/>
          <a:endParaRPr lang="en-AU"/>
        </a:p>
      </dgm:t>
    </dgm:pt>
    <dgm:pt modelId="{E95A09DA-7A4A-454A-8789-E2FB83FF1CE6}" type="sibTrans" cxnId="{93F7ABF6-39E3-450C-8D7E-AAD2014E13D1}">
      <dgm:prSet/>
      <dgm:spPr/>
      <dgm:t>
        <a:bodyPr/>
        <a:lstStyle/>
        <a:p>
          <a:pPr algn="ctr"/>
          <a:endParaRPr lang="en-AU"/>
        </a:p>
      </dgm:t>
    </dgm:pt>
    <dgm:pt modelId="{C56C0D43-3307-45D9-96A6-FE0D3BDD0191}">
      <dgm:prSet phldrT="[Text]"/>
      <dgm:spPr/>
      <dgm:t>
        <a:bodyPr/>
        <a:lstStyle/>
        <a:p>
          <a:pPr algn="ctr"/>
          <a:r>
            <a:rPr lang="en-AU"/>
            <a:t>Value placed upon gender equality skill and activity</a:t>
          </a:r>
        </a:p>
      </dgm:t>
    </dgm:pt>
    <dgm:pt modelId="{0FFA0C3B-0013-40D3-A722-AF9CF138DC4F}" type="parTrans" cxnId="{B08B05BF-6F6A-45F9-AE3A-D2D44F4F01D5}">
      <dgm:prSet/>
      <dgm:spPr/>
      <dgm:t>
        <a:bodyPr/>
        <a:lstStyle/>
        <a:p>
          <a:pPr algn="ctr"/>
          <a:endParaRPr lang="en-AU"/>
        </a:p>
      </dgm:t>
    </dgm:pt>
    <dgm:pt modelId="{64E8BE24-2076-405C-9025-5BBF24E211F0}" type="sibTrans" cxnId="{B08B05BF-6F6A-45F9-AE3A-D2D44F4F01D5}">
      <dgm:prSet/>
      <dgm:spPr/>
      <dgm:t>
        <a:bodyPr/>
        <a:lstStyle/>
        <a:p>
          <a:pPr algn="ctr"/>
          <a:endParaRPr lang="en-AU"/>
        </a:p>
      </dgm:t>
    </dgm:pt>
    <dgm:pt modelId="{941930A4-6A5B-4D7E-A3EB-D56906BB7AAE}">
      <dgm:prSet phldrT="[Text]"/>
      <dgm:spPr/>
      <dgm:t>
        <a:bodyPr/>
        <a:lstStyle/>
        <a:p>
          <a:pPr algn="ctr"/>
          <a:r>
            <a:rPr lang="en-AU"/>
            <a:t>Role of the Commission as a regulator</a:t>
          </a:r>
        </a:p>
      </dgm:t>
    </dgm:pt>
    <dgm:pt modelId="{6D8C5716-582E-43F0-84F9-FC23580D0321}" type="parTrans" cxnId="{E5CB7327-D0B1-4D9B-A77B-54B13F3EC847}">
      <dgm:prSet/>
      <dgm:spPr/>
      <dgm:t>
        <a:bodyPr/>
        <a:lstStyle/>
        <a:p>
          <a:pPr algn="ctr"/>
          <a:endParaRPr lang="en-AU"/>
        </a:p>
      </dgm:t>
    </dgm:pt>
    <dgm:pt modelId="{8CADB94F-0C2B-41A9-B7C4-C31F4378B68D}" type="sibTrans" cxnId="{E5CB7327-D0B1-4D9B-A77B-54B13F3EC847}">
      <dgm:prSet/>
      <dgm:spPr/>
      <dgm:t>
        <a:bodyPr/>
        <a:lstStyle/>
        <a:p>
          <a:pPr algn="ctr"/>
          <a:endParaRPr lang="en-AU"/>
        </a:p>
      </dgm:t>
    </dgm:pt>
    <dgm:pt modelId="{14721D7C-5884-4BEF-975D-77C8F0B4C90E}" type="pres">
      <dgm:prSet presAssocID="{1A3A03F8-57BB-489D-9F1E-2672CF810D7F}" presName="compositeShape" presStyleCnt="0">
        <dgm:presLayoutVars>
          <dgm:chMax val="7"/>
          <dgm:dir/>
          <dgm:resizeHandles val="exact"/>
        </dgm:presLayoutVars>
      </dgm:prSet>
      <dgm:spPr/>
    </dgm:pt>
    <dgm:pt modelId="{7A716AF8-4D98-4996-9C88-2FDA28D00C13}" type="pres">
      <dgm:prSet presAssocID="{1A3A03F8-57BB-489D-9F1E-2672CF810D7F}" presName="wedge1" presStyleLbl="node1" presStyleIdx="0" presStyleCnt="3"/>
      <dgm:spPr/>
    </dgm:pt>
    <dgm:pt modelId="{9CECC4D3-3EF3-4377-8F36-868FC0C56168}" type="pres">
      <dgm:prSet presAssocID="{1A3A03F8-57BB-489D-9F1E-2672CF810D7F}" presName="wedge1Tx" presStyleLbl="node1" presStyleIdx="0" presStyleCnt="3">
        <dgm:presLayoutVars>
          <dgm:chMax val="0"/>
          <dgm:chPref val="0"/>
          <dgm:bulletEnabled val="1"/>
        </dgm:presLayoutVars>
      </dgm:prSet>
      <dgm:spPr/>
    </dgm:pt>
    <dgm:pt modelId="{809FE4CA-92B5-4C85-99F8-9A0314CF948E}" type="pres">
      <dgm:prSet presAssocID="{1A3A03F8-57BB-489D-9F1E-2672CF810D7F}" presName="wedge2" presStyleLbl="node1" presStyleIdx="1" presStyleCnt="3"/>
      <dgm:spPr/>
    </dgm:pt>
    <dgm:pt modelId="{7432E352-B918-4F3C-ACFF-C70E1ADD5A4C}" type="pres">
      <dgm:prSet presAssocID="{1A3A03F8-57BB-489D-9F1E-2672CF810D7F}" presName="wedge2Tx" presStyleLbl="node1" presStyleIdx="1" presStyleCnt="3">
        <dgm:presLayoutVars>
          <dgm:chMax val="0"/>
          <dgm:chPref val="0"/>
          <dgm:bulletEnabled val="1"/>
        </dgm:presLayoutVars>
      </dgm:prSet>
      <dgm:spPr/>
    </dgm:pt>
    <dgm:pt modelId="{87D428C2-FAC8-436B-ADA7-48F20DE3D48E}" type="pres">
      <dgm:prSet presAssocID="{1A3A03F8-57BB-489D-9F1E-2672CF810D7F}" presName="wedge3" presStyleLbl="node1" presStyleIdx="2" presStyleCnt="3"/>
      <dgm:spPr/>
    </dgm:pt>
    <dgm:pt modelId="{44ED43A9-5A33-4B0A-BECC-546D9F8E5EC8}" type="pres">
      <dgm:prSet presAssocID="{1A3A03F8-57BB-489D-9F1E-2672CF810D7F}" presName="wedge3Tx" presStyleLbl="node1" presStyleIdx="2" presStyleCnt="3">
        <dgm:presLayoutVars>
          <dgm:chMax val="0"/>
          <dgm:chPref val="0"/>
          <dgm:bulletEnabled val="1"/>
        </dgm:presLayoutVars>
      </dgm:prSet>
      <dgm:spPr/>
    </dgm:pt>
  </dgm:ptLst>
  <dgm:cxnLst>
    <dgm:cxn modelId="{C04B5A03-4B2D-4F8E-9377-3C7106BAC5DB}" type="presOf" srcId="{941930A4-6A5B-4D7E-A3EB-D56906BB7AAE}" destId="{9CECC4D3-3EF3-4377-8F36-868FC0C56168}" srcOrd="1" destOrd="0" presId="urn:microsoft.com/office/officeart/2005/8/layout/chart3"/>
    <dgm:cxn modelId="{BDC8871D-D0AE-422C-BCD9-C921EBC1147A}" type="presOf" srcId="{941930A4-6A5B-4D7E-A3EB-D56906BB7AAE}" destId="{7A716AF8-4D98-4996-9C88-2FDA28D00C13}" srcOrd="0" destOrd="0" presId="urn:microsoft.com/office/officeart/2005/8/layout/chart3"/>
    <dgm:cxn modelId="{E5CB7327-D0B1-4D9B-A77B-54B13F3EC847}" srcId="{1A3A03F8-57BB-489D-9F1E-2672CF810D7F}" destId="{941930A4-6A5B-4D7E-A3EB-D56906BB7AAE}" srcOrd="0" destOrd="0" parTransId="{6D8C5716-582E-43F0-84F9-FC23580D0321}" sibTransId="{8CADB94F-0C2B-41A9-B7C4-C31F4378B68D}"/>
    <dgm:cxn modelId="{80ED5827-0F65-493A-844E-323BB582691F}" type="presOf" srcId="{367E1474-CEC8-49E4-84C6-9EC008272219}" destId="{809FE4CA-92B5-4C85-99F8-9A0314CF948E}" srcOrd="0" destOrd="0" presId="urn:microsoft.com/office/officeart/2005/8/layout/chart3"/>
    <dgm:cxn modelId="{E8D61769-2D89-45F6-8113-CA4F620D3D2D}" type="presOf" srcId="{1A3A03F8-57BB-489D-9F1E-2672CF810D7F}" destId="{14721D7C-5884-4BEF-975D-77C8F0B4C90E}" srcOrd="0" destOrd="0" presId="urn:microsoft.com/office/officeart/2005/8/layout/chart3"/>
    <dgm:cxn modelId="{217A6C71-5B0A-4F67-9566-A73C3008C0BF}" type="presOf" srcId="{C56C0D43-3307-45D9-96A6-FE0D3BDD0191}" destId="{87D428C2-FAC8-436B-ADA7-48F20DE3D48E}" srcOrd="0" destOrd="0" presId="urn:microsoft.com/office/officeart/2005/8/layout/chart3"/>
    <dgm:cxn modelId="{6C36D791-E1DF-42D9-AE08-050A6C847006}" type="presOf" srcId="{367E1474-CEC8-49E4-84C6-9EC008272219}" destId="{7432E352-B918-4F3C-ACFF-C70E1ADD5A4C}" srcOrd="1" destOrd="0" presId="urn:microsoft.com/office/officeart/2005/8/layout/chart3"/>
    <dgm:cxn modelId="{B08B05BF-6F6A-45F9-AE3A-D2D44F4F01D5}" srcId="{1A3A03F8-57BB-489D-9F1E-2672CF810D7F}" destId="{C56C0D43-3307-45D9-96A6-FE0D3BDD0191}" srcOrd="2" destOrd="0" parTransId="{0FFA0C3B-0013-40D3-A722-AF9CF138DC4F}" sibTransId="{64E8BE24-2076-405C-9025-5BBF24E211F0}"/>
    <dgm:cxn modelId="{E97F3AF5-EC56-4924-B99D-E629FB19E932}" type="presOf" srcId="{C56C0D43-3307-45D9-96A6-FE0D3BDD0191}" destId="{44ED43A9-5A33-4B0A-BECC-546D9F8E5EC8}" srcOrd="1" destOrd="0" presId="urn:microsoft.com/office/officeart/2005/8/layout/chart3"/>
    <dgm:cxn modelId="{93F7ABF6-39E3-450C-8D7E-AAD2014E13D1}" srcId="{1A3A03F8-57BB-489D-9F1E-2672CF810D7F}" destId="{367E1474-CEC8-49E4-84C6-9EC008272219}" srcOrd="1" destOrd="0" parTransId="{DD1A4C7C-3026-4424-8642-D685A62EC79B}" sibTransId="{E95A09DA-7A4A-454A-8789-E2FB83FF1CE6}"/>
    <dgm:cxn modelId="{13D5F664-1EB9-4232-94E0-E998C31611C2}" type="presParOf" srcId="{14721D7C-5884-4BEF-975D-77C8F0B4C90E}" destId="{7A716AF8-4D98-4996-9C88-2FDA28D00C13}" srcOrd="0" destOrd="0" presId="urn:microsoft.com/office/officeart/2005/8/layout/chart3"/>
    <dgm:cxn modelId="{B45C2283-E059-493C-813E-CD72A56D1AB4}" type="presParOf" srcId="{14721D7C-5884-4BEF-975D-77C8F0B4C90E}" destId="{9CECC4D3-3EF3-4377-8F36-868FC0C56168}" srcOrd="1" destOrd="0" presId="urn:microsoft.com/office/officeart/2005/8/layout/chart3"/>
    <dgm:cxn modelId="{02A452D7-9DA5-42E1-B1E6-E3CE67CA355F}" type="presParOf" srcId="{14721D7C-5884-4BEF-975D-77C8F0B4C90E}" destId="{809FE4CA-92B5-4C85-99F8-9A0314CF948E}" srcOrd="2" destOrd="0" presId="urn:microsoft.com/office/officeart/2005/8/layout/chart3"/>
    <dgm:cxn modelId="{AC3FF5B9-8DB1-4836-A0DD-9879FB41A602}" type="presParOf" srcId="{14721D7C-5884-4BEF-975D-77C8F0B4C90E}" destId="{7432E352-B918-4F3C-ACFF-C70E1ADD5A4C}" srcOrd="3" destOrd="0" presId="urn:microsoft.com/office/officeart/2005/8/layout/chart3"/>
    <dgm:cxn modelId="{C954A96E-6BD7-4A3B-A461-BCBA2EE5E81A}" type="presParOf" srcId="{14721D7C-5884-4BEF-975D-77C8F0B4C90E}" destId="{87D428C2-FAC8-436B-ADA7-48F20DE3D48E}" srcOrd="4" destOrd="0" presId="urn:microsoft.com/office/officeart/2005/8/layout/chart3"/>
    <dgm:cxn modelId="{B7195049-E4B0-4182-A2A2-DC6119E3C640}" type="presParOf" srcId="{14721D7C-5884-4BEF-975D-77C8F0B4C90E}" destId="{44ED43A9-5A33-4B0A-BECC-546D9F8E5EC8}" srcOrd="5" destOrd="0" presId="urn:microsoft.com/office/officeart/2005/8/layout/char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16AF8-4D98-4996-9C88-2FDA28D00C13}">
      <dsp:nvSpPr>
        <dsp:cNvPr id="0" name=""/>
        <dsp:cNvSpPr/>
      </dsp:nvSpPr>
      <dsp:spPr>
        <a:xfrm>
          <a:off x="1459820" y="180022"/>
          <a:ext cx="2240280" cy="2240280"/>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Role of the Commission as a regulator</a:t>
          </a:r>
        </a:p>
      </dsp:txBody>
      <dsp:txXfrm>
        <a:off x="2677839" y="593407"/>
        <a:ext cx="760095" cy="746760"/>
      </dsp:txXfrm>
    </dsp:sp>
    <dsp:sp modelId="{809FE4CA-92B5-4C85-99F8-9A0314CF948E}">
      <dsp:nvSpPr>
        <dsp:cNvPr id="0" name=""/>
        <dsp:cNvSpPr/>
      </dsp:nvSpPr>
      <dsp:spPr>
        <a:xfrm>
          <a:off x="1344339" y="246697"/>
          <a:ext cx="2240280" cy="2240280"/>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Readiness for transformational change</a:t>
          </a:r>
        </a:p>
      </dsp:txBody>
      <dsp:txXfrm>
        <a:off x="1957749" y="1660207"/>
        <a:ext cx="1013460" cy="693420"/>
      </dsp:txXfrm>
    </dsp:sp>
    <dsp:sp modelId="{87D428C2-FAC8-436B-ADA7-48F20DE3D48E}">
      <dsp:nvSpPr>
        <dsp:cNvPr id="0" name=""/>
        <dsp:cNvSpPr/>
      </dsp:nvSpPr>
      <dsp:spPr>
        <a:xfrm>
          <a:off x="1344339" y="246697"/>
          <a:ext cx="2240280" cy="2240280"/>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Value placed upon gender equality skill and activity</a:t>
          </a:r>
        </a:p>
      </dsp:txBody>
      <dsp:txXfrm>
        <a:off x="1584369" y="686752"/>
        <a:ext cx="760095" cy="746760"/>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SharedWithUsers xmlns="27cb37dd-16a1-4d7b-8276-5c0e4168f63b">
      <UserInfo>
        <DisplayName>Kate Berry (CGEPS)</DisplayName>
        <AccountId>21</AccountId>
        <AccountType/>
      </UserInfo>
      <UserInfo>
        <DisplayName>Monique Failla (CGEPS)</DisplayName>
        <AccountId>465</AccountId>
        <AccountType/>
      </UserInfo>
      <UserInfo>
        <DisplayName>Margot Paxman (CGEPS)</DisplayName>
        <AccountId>18</AccountId>
        <AccountType/>
      </UserInfo>
      <UserInfo>
        <DisplayName>Imogen Scully (CGEPS)</DisplayName>
        <AccountId>352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f8d96cf8d24f050fc10a1016b8d497a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37ed569dfb13ccbf1deac3b8f9256ec1"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08281-0646-47E9-8554-7AB79F1CB302}">
  <ds:schemaRef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2812EA31-D91F-47C0-B41B-C6586815FC21}">
  <ds:schemaRefs>
    <ds:schemaRef ds:uri="http://schemas.microsoft.com/sharepoint/v3/contenttype/forms"/>
  </ds:schemaRefs>
</ds:datastoreItem>
</file>

<file path=customXml/itemProps3.xml><?xml version="1.0" encoding="utf-8"?>
<ds:datastoreItem xmlns:ds="http://schemas.openxmlformats.org/officeDocument/2006/customXml" ds:itemID="{DFDF91CF-CB8C-4D33-821C-248768F1B0E4}">
  <ds:schemaRefs>
    <ds:schemaRef ds:uri="http://schemas.openxmlformats.org/officeDocument/2006/bibliography"/>
  </ds:schemaRefs>
</ds:datastoreItem>
</file>

<file path=customXml/itemProps4.xml><?xml version="1.0" encoding="utf-8"?>
<ds:datastoreItem xmlns:ds="http://schemas.openxmlformats.org/officeDocument/2006/customXml" ds:itemID="{1B3515BB-3FCF-4CE2-9E4E-68E35DB6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13638</Words>
  <Characters>77741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91197</CharactersWithSpaces>
  <SharedDoc>false</SharedDoc>
  <HLinks>
    <vt:vector size="204" baseType="variant">
      <vt:variant>
        <vt:i4>3014759</vt:i4>
      </vt:variant>
      <vt:variant>
        <vt:i4>183</vt:i4>
      </vt:variant>
      <vt:variant>
        <vt:i4>0</vt:i4>
      </vt:variant>
      <vt:variant>
        <vt:i4>5</vt:i4>
      </vt:variant>
      <vt:variant>
        <vt:lpwstr>https://www.genderequalitycommission.vic.gov.au/compliance-gender-equality-act-2020</vt:lpwstr>
      </vt:variant>
      <vt:variant>
        <vt:lpwstr/>
      </vt:variant>
      <vt:variant>
        <vt:i4>6881332</vt:i4>
      </vt:variant>
      <vt:variant>
        <vt:i4>180</vt:i4>
      </vt:variant>
      <vt:variant>
        <vt:i4>0</vt:i4>
      </vt:variant>
      <vt:variant>
        <vt:i4>5</vt:i4>
      </vt:variant>
      <vt:variant>
        <vt:lpwstr>https://www.genderequalitycommission.vic.gov.au/defined-entities-under-gender-equality-act</vt:lpwstr>
      </vt:variant>
      <vt:variant>
        <vt:lpwstr/>
      </vt:variant>
      <vt:variant>
        <vt:i4>1179707</vt:i4>
      </vt:variant>
      <vt:variant>
        <vt:i4>170</vt:i4>
      </vt:variant>
      <vt:variant>
        <vt:i4>0</vt:i4>
      </vt:variant>
      <vt:variant>
        <vt:i4>5</vt:i4>
      </vt:variant>
      <vt:variant>
        <vt:lpwstr/>
      </vt:variant>
      <vt:variant>
        <vt:lpwstr>_Toc96348295</vt:lpwstr>
      </vt:variant>
      <vt:variant>
        <vt:i4>1245243</vt:i4>
      </vt:variant>
      <vt:variant>
        <vt:i4>164</vt:i4>
      </vt:variant>
      <vt:variant>
        <vt:i4>0</vt:i4>
      </vt:variant>
      <vt:variant>
        <vt:i4>5</vt:i4>
      </vt:variant>
      <vt:variant>
        <vt:lpwstr/>
      </vt:variant>
      <vt:variant>
        <vt:lpwstr>_Toc96348294</vt:lpwstr>
      </vt:variant>
      <vt:variant>
        <vt:i4>1310779</vt:i4>
      </vt:variant>
      <vt:variant>
        <vt:i4>158</vt:i4>
      </vt:variant>
      <vt:variant>
        <vt:i4>0</vt:i4>
      </vt:variant>
      <vt:variant>
        <vt:i4>5</vt:i4>
      </vt:variant>
      <vt:variant>
        <vt:lpwstr/>
      </vt:variant>
      <vt:variant>
        <vt:lpwstr>_Toc96348293</vt:lpwstr>
      </vt:variant>
      <vt:variant>
        <vt:i4>1376315</vt:i4>
      </vt:variant>
      <vt:variant>
        <vt:i4>152</vt:i4>
      </vt:variant>
      <vt:variant>
        <vt:i4>0</vt:i4>
      </vt:variant>
      <vt:variant>
        <vt:i4>5</vt:i4>
      </vt:variant>
      <vt:variant>
        <vt:lpwstr/>
      </vt:variant>
      <vt:variant>
        <vt:lpwstr>_Toc96348292</vt:lpwstr>
      </vt:variant>
      <vt:variant>
        <vt:i4>1441851</vt:i4>
      </vt:variant>
      <vt:variant>
        <vt:i4>146</vt:i4>
      </vt:variant>
      <vt:variant>
        <vt:i4>0</vt:i4>
      </vt:variant>
      <vt:variant>
        <vt:i4>5</vt:i4>
      </vt:variant>
      <vt:variant>
        <vt:lpwstr/>
      </vt:variant>
      <vt:variant>
        <vt:lpwstr>_Toc96348291</vt:lpwstr>
      </vt:variant>
      <vt:variant>
        <vt:i4>1507387</vt:i4>
      </vt:variant>
      <vt:variant>
        <vt:i4>140</vt:i4>
      </vt:variant>
      <vt:variant>
        <vt:i4>0</vt:i4>
      </vt:variant>
      <vt:variant>
        <vt:i4>5</vt:i4>
      </vt:variant>
      <vt:variant>
        <vt:lpwstr/>
      </vt:variant>
      <vt:variant>
        <vt:lpwstr>_Toc96348290</vt:lpwstr>
      </vt:variant>
      <vt:variant>
        <vt:i4>1966138</vt:i4>
      </vt:variant>
      <vt:variant>
        <vt:i4>134</vt:i4>
      </vt:variant>
      <vt:variant>
        <vt:i4>0</vt:i4>
      </vt:variant>
      <vt:variant>
        <vt:i4>5</vt:i4>
      </vt:variant>
      <vt:variant>
        <vt:lpwstr/>
      </vt:variant>
      <vt:variant>
        <vt:lpwstr>_Toc96348289</vt:lpwstr>
      </vt:variant>
      <vt:variant>
        <vt:i4>2031674</vt:i4>
      </vt:variant>
      <vt:variant>
        <vt:i4>128</vt:i4>
      </vt:variant>
      <vt:variant>
        <vt:i4>0</vt:i4>
      </vt:variant>
      <vt:variant>
        <vt:i4>5</vt:i4>
      </vt:variant>
      <vt:variant>
        <vt:lpwstr/>
      </vt:variant>
      <vt:variant>
        <vt:lpwstr>_Toc96348288</vt:lpwstr>
      </vt:variant>
      <vt:variant>
        <vt:i4>1048634</vt:i4>
      </vt:variant>
      <vt:variant>
        <vt:i4>122</vt:i4>
      </vt:variant>
      <vt:variant>
        <vt:i4>0</vt:i4>
      </vt:variant>
      <vt:variant>
        <vt:i4>5</vt:i4>
      </vt:variant>
      <vt:variant>
        <vt:lpwstr/>
      </vt:variant>
      <vt:variant>
        <vt:lpwstr>_Toc96348287</vt:lpwstr>
      </vt:variant>
      <vt:variant>
        <vt:i4>1114170</vt:i4>
      </vt:variant>
      <vt:variant>
        <vt:i4>116</vt:i4>
      </vt:variant>
      <vt:variant>
        <vt:i4>0</vt:i4>
      </vt:variant>
      <vt:variant>
        <vt:i4>5</vt:i4>
      </vt:variant>
      <vt:variant>
        <vt:lpwstr/>
      </vt:variant>
      <vt:variant>
        <vt:lpwstr>_Toc96348286</vt:lpwstr>
      </vt:variant>
      <vt:variant>
        <vt:i4>1179706</vt:i4>
      </vt:variant>
      <vt:variant>
        <vt:i4>110</vt:i4>
      </vt:variant>
      <vt:variant>
        <vt:i4>0</vt:i4>
      </vt:variant>
      <vt:variant>
        <vt:i4>5</vt:i4>
      </vt:variant>
      <vt:variant>
        <vt:lpwstr/>
      </vt:variant>
      <vt:variant>
        <vt:lpwstr>_Toc96348285</vt:lpwstr>
      </vt:variant>
      <vt:variant>
        <vt:i4>1245242</vt:i4>
      </vt:variant>
      <vt:variant>
        <vt:i4>104</vt:i4>
      </vt:variant>
      <vt:variant>
        <vt:i4>0</vt:i4>
      </vt:variant>
      <vt:variant>
        <vt:i4>5</vt:i4>
      </vt:variant>
      <vt:variant>
        <vt:lpwstr/>
      </vt:variant>
      <vt:variant>
        <vt:lpwstr>_Toc96348284</vt:lpwstr>
      </vt:variant>
      <vt:variant>
        <vt:i4>1310778</vt:i4>
      </vt:variant>
      <vt:variant>
        <vt:i4>98</vt:i4>
      </vt:variant>
      <vt:variant>
        <vt:i4>0</vt:i4>
      </vt:variant>
      <vt:variant>
        <vt:i4>5</vt:i4>
      </vt:variant>
      <vt:variant>
        <vt:lpwstr/>
      </vt:variant>
      <vt:variant>
        <vt:lpwstr>_Toc96348283</vt:lpwstr>
      </vt:variant>
      <vt:variant>
        <vt:i4>1376314</vt:i4>
      </vt:variant>
      <vt:variant>
        <vt:i4>92</vt:i4>
      </vt:variant>
      <vt:variant>
        <vt:i4>0</vt:i4>
      </vt:variant>
      <vt:variant>
        <vt:i4>5</vt:i4>
      </vt:variant>
      <vt:variant>
        <vt:lpwstr/>
      </vt:variant>
      <vt:variant>
        <vt:lpwstr>_Toc96348282</vt:lpwstr>
      </vt:variant>
      <vt:variant>
        <vt:i4>1441850</vt:i4>
      </vt:variant>
      <vt:variant>
        <vt:i4>86</vt:i4>
      </vt:variant>
      <vt:variant>
        <vt:i4>0</vt:i4>
      </vt:variant>
      <vt:variant>
        <vt:i4>5</vt:i4>
      </vt:variant>
      <vt:variant>
        <vt:lpwstr/>
      </vt:variant>
      <vt:variant>
        <vt:lpwstr>_Toc96348281</vt:lpwstr>
      </vt:variant>
      <vt:variant>
        <vt:i4>1507386</vt:i4>
      </vt:variant>
      <vt:variant>
        <vt:i4>80</vt:i4>
      </vt:variant>
      <vt:variant>
        <vt:i4>0</vt:i4>
      </vt:variant>
      <vt:variant>
        <vt:i4>5</vt:i4>
      </vt:variant>
      <vt:variant>
        <vt:lpwstr/>
      </vt:variant>
      <vt:variant>
        <vt:lpwstr>_Toc96348280</vt:lpwstr>
      </vt:variant>
      <vt:variant>
        <vt:i4>1966133</vt:i4>
      </vt:variant>
      <vt:variant>
        <vt:i4>74</vt:i4>
      </vt:variant>
      <vt:variant>
        <vt:i4>0</vt:i4>
      </vt:variant>
      <vt:variant>
        <vt:i4>5</vt:i4>
      </vt:variant>
      <vt:variant>
        <vt:lpwstr/>
      </vt:variant>
      <vt:variant>
        <vt:lpwstr>_Toc96348279</vt:lpwstr>
      </vt:variant>
      <vt:variant>
        <vt:i4>2031669</vt:i4>
      </vt:variant>
      <vt:variant>
        <vt:i4>68</vt:i4>
      </vt:variant>
      <vt:variant>
        <vt:i4>0</vt:i4>
      </vt:variant>
      <vt:variant>
        <vt:i4>5</vt:i4>
      </vt:variant>
      <vt:variant>
        <vt:lpwstr/>
      </vt:variant>
      <vt:variant>
        <vt:lpwstr>_Toc96348278</vt:lpwstr>
      </vt:variant>
      <vt:variant>
        <vt:i4>1048629</vt:i4>
      </vt:variant>
      <vt:variant>
        <vt:i4>62</vt:i4>
      </vt:variant>
      <vt:variant>
        <vt:i4>0</vt:i4>
      </vt:variant>
      <vt:variant>
        <vt:i4>5</vt:i4>
      </vt:variant>
      <vt:variant>
        <vt:lpwstr/>
      </vt:variant>
      <vt:variant>
        <vt:lpwstr>_Toc96348277</vt:lpwstr>
      </vt:variant>
      <vt:variant>
        <vt:i4>1114165</vt:i4>
      </vt:variant>
      <vt:variant>
        <vt:i4>56</vt:i4>
      </vt:variant>
      <vt:variant>
        <vt:i4>0</vt:i4>
      </vt:variant>
      <vt:variant>
        <vt:i4>5</vt:i4>
      </vt:variant>
      <vt:variant>
        <vt:lpwstr/>
      </vt:variant>
      <vt:variant>
        <vt:lpwstr>_Toc96348276</vt:lpwstr>
      </vt:variant>
      <vt:variant>
        <vt:i4>1179701</vt:i4>
      </vt:variant>
      <vt:variant>
        <vt:i4>50</vt:i4>
      </vt:variant>
      <vt:variant>
        <vt:i4>0</vt:i4>
      </vt:variant>
      <vt:variant>
        <vt:i4>5</vt:i4>
      </vt:variant>
      <vt:variant>
        <vt:lpwstr/>
      </vt:variant>
      <vt:variant>
        <vt:lpwstr>_Toc96348275</vt:lpwstr>
      </vt:variant>
      <vt:variant>
        <vt:i4>1245237</vt:i4>
      </vt:variant>
      <vt:variant>
        <vt:i4>44</vt:i4>
      </vt:variant>
      <vt:variant>
        <vt:i4>0</vt:i4>
      </vt:variant>
      <vt:variant>
        <vt:i4>5</vt:i4>
      </vt:variant>
      <vt:variant>
        <vt:lpwstr/>
      </vt:variant>
      <vt:variant>
        <vt:lpwstr>_Toc96348274</vt:lpwstr>
      </vt:variant>
      <vt:variant>
        <vt:i4>1310773</vt:i4>
      </vt:variant>
      <vt:variant>
        <vt:i4>38</vt:i4>
      </vt:variant>
      <vt:variant>
        <vt:i4>0</vt:i4>
      </vt:variant>
      <vt:variant>
        <vt:i4>5</vt:i4>
      </vt:variant>
      <vt:variant>
        <vt:lpwstr/>
      </vt:variant>
      <vt:variant>
        <vt:lpwstr>_Toc96348273</vt:lpwstr>
      </vt:variant>
      <vt:variant>
        <vt:i4>1376309</vt:i4>
      </vt:variant>
      <vt:variant>
        <vt:i4>32</vt:i4>
      </vt:variant>
      <vt:variant>
        <vt:i4>0</vt:i4>
      </vt:variant>
      <vt:variant>
        <vt:i4>5</vt:i4>
      </vt:variant>
      <vt:variant>
        <vt:lpwstr/>
      </vt:variant>
      <vt:variant>
        <vt:lpwstr>_Toc96348272</vt:lpwstr>
      </vt:variant>
      <vt:variant>
        <vt:i4>1441845</vt:i4>
      </vt:variant>
      <vt:variant>
        <vt:i4>26</vt:i4>
      </vt:variant>
      <vt:variant>
        <vt:i4>0</vt:i4>
      </vt:variant>
      <vt:variant>
        <vt:i4>5</vt:i4>
      </vt:variant>
      <vt:variant>
        <vt:lpwstr/>
      </vt:variant>
      <vt:variant>
        <vt:lpwstr>_Toc96348271</vt:lpwstr>
      </vt:variant>
      <vt:variant>
        <vt:i4>1507381</vt:i4>
      </vt:variant>
      <vt:variant>
        <vt:i4>20</vt:i4>
      </vt:variant>
      <vt:variant>
        <vt:i4>0</vt:i4>
      </vt:variant>
      <vt:variant>
        <vt:i4>5</vt:i4>
      </vt:variant>
      <vt:variant>
        <vt:lpwstr/>
      </vt:variant>
      <vt:variant>
        <vt:lpwstr>_Toc96348270</vt:lpwstr>
      </vt:variant>
      <vt:variant>
        <vt:i4>1966132</vt:i4>
      </vt:variant>
      <vt:variant>
        <vt:i4>14</vt:i4>
      </vt:variant>
      <vt:variant>
        <vt:i4>0</vt:i4>
      </vt:variant>
      <vt:variant>
        <vt:i4>5</vt:i4>
      </vt:variant>
      <vt:variant>
        <vt:lpwstr/>
      </vt:variant>
      <vt:variant>
        <vt:lpwstr>_Toc96348269</vt:lpwstr>
      </vt:variant>
      <vt:variant>
        <vt:i4>2031668</vt:i4>
      </vt:variant>
      <vt:variant>
        <vt:i4>8</vt:i4>
      </vt:variant>
      <vt:variant>
        <vt:i4>0</vt:i4>
      </vt:variant>
      <vt:variant>
        <vt:i4>5</vt:i4>
      </vt:variant>
      <vt:variant>
        <vt:lpwstr/>
      </vt:variant>
      <vt:variant>
        <vt:lpwstr>_Toc96348268</vt:lpwstr>
      </vt:variant>
      <vt:variant>
        <vt:i4>1048628</vt:i4>
      </vt:variant>
      <vt:variant>
        <vt:i4>2</vt:i4>
      </vt:variant>
      <vt:variant>
        <vt:i4>0</vt:i4>
      </vt:variant>
      <vt:variant>
        <vt:i4>5</vt:i4>
      </vt:variant>
      <vt:variant>
        <vt:lpwstr/>
      </vt:variant>
      <vt:variant>
        <vt:lpwstr>_Toc96348267</vt:lpwstr>
      </vt:variant>
      <vt:variant>
        <vt:i4>6946923</vt:i4>
      </vt:variant>
      <vt:variant>
        <vt:i4>6</vt:i4>
      </vt:variant>
      <vt:variant>
        <vt:i4>0</vt:i4>
      </vt:variant>
      <vt:variant>
        <vt:i4>5</vt:i4>
      </vt:variant>
      <vt:variant>
        <vt:lpwstr>https://healthcommcapacity.org/</vt:lpwstr>
      </vt:variant>
      <vt:variant>
        <vt:lpwstr/>
      </vt:variant>
      <vt:variant>
        <vt:i4>5505092</vt:i4>
      </vt:variant>
      <vt:variant>
        <vt:i4>3</vt:i4>
      </vt:variant>
      <vt:variant>
        <vt:i4>0</vt:i4>
      </vt:variant>
      <vt:variant>
        <vt:i4>5</vt:i4>
      </vt:variant>
      <vt:variant>
        <vt:lpwstr>https://www.genderequalitycommission.vic.gov.au/promoting-gender-equality</vt:lpwstr>
      </vt:variant>
      <vt:variant>
        <vt:lpwstr/>
      </vt:variant>
      <vt:variant>
        <vt:i4>3538990</vt:i4>
      </vt:variant>
      <vt:variant>
        <vt:i4>0</vt:i4>
      </vt:variant>
      <vt:variant>
        <vt:i4>0</vt:i4>
      </vt:variant>
      <vt:variant>
        <vt:i4>5</vt:i4>
      </vt:variant>
      <vt:variant>
        <vt:lpwstr>https://eige.europa.eu/gender-mainstreaming/toolkits/gender-impact-assessment/why-use-gender-impact-assessment</vt:lpwstr>
      </vt:variant>
      <vt:variant>
        <vt:lpwstr>:~:text=Performing%20gender%20impact%20assessment%20ensures,and%20men%2C%20girls%20and%20boys.&amp;text=GIA%20allows%20policy%20makers%20to%20build%20up%20their%20capacity%20on%20gender%20equality.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Scully (CGEPS)</dc:creator>
  <cp:keywords/>
  <dc:description/>
  <cp:lastModifiedBy>Imogen Scully (CGEPS)</cp:lastModifiedBy>
  <cp:revision>2</cp:revision>
  <cp:lastPrinted>2022-07-26T06:09:00Z</cp:lastPrinted>
  <dcterms:created xsi:type="dcterms:W3CDTF">2022-07-29T04:36:00Z</dcterms:created>
  <dcterms:modified xsi:type="dcterms:W3CDTF">2022-07-29T04:36:00Z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ies>
</file>