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B90" w14:textId="35FB8460" w:rsidR="002D5523" w:rsidRPr="00D841E8" w:rsidRDefault="00671867" w:rsidP="0029299C">
      <w:pPr>
        <w:pStyle w:val="MajorHeading"/>
      </w:pPr>
      <w:bookmarkStart w:id="0" w:name="_Toc131443301"/>
      <w:r w:rsidRPr="00D841E8">
        <w:t xml:space="preserve">Practice </w:t>
      </w:r>
      <w:proofErr w:type="gramStart"/>
      <w:r w:rsidRPr="00D841E8">
        <w:t>note</w:t>
      </w:r>
      <w:proofErr w:type="gramEnd"/>
      <w:r w:rsidR="00217BB9">
        <w:t xml:space="preserve"> for progress audits</w:t>
      </w:r>
      <w:r w:rsidR="008D5F2E" w:rsidRPr="00D841E8">
        <w:t xml:space="preserve">: </w:t>
      </w:r>
      <w:r w:rsidR="009D0282" w:rsidRPr="00D841E8">
        <w:t xml:space="preserve">administering an </w:t>
      </w:r>
      <w:r w:rsidR="00D02729" w:rsidRPr="00D841E8">
        <w:t>employee experience survey</w:t>
      </w:r>
      <w:r w:rsidR="003E733A" w:rsidRPr="00D841E8">
        <w:t xml:space="preserve"> </w:t>
      </w:r>
      <w:r w:rsidR="00D02729" w:rsidRPr="00D841E8">
        <w:t xml:space="preserve">under the </w:t>
      </w:r>
      <w:r w:rsidR="00D02729" w:rsidRPr="00D841E8">
        <w:rPr>
          <w:i/>
          <w:iCs/>
        </w:rPr>
        <w:t>Gender Equality Act 2020</w:t>
      </w:r>
      <w:bookmarkEnd w:id="0"/>
      <w:r w:rsidR="00D02729" w:rsidRPr="00D841E8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7ED" w:themeFill="accent4" w:themeFillTint="33"/>
        <w:tblLook w:val="04A0" w:firstRow="1" w:lastRow="0" w:firstColumn="1" w:lastColumn="0" w:noHBand="0" w:noVBand="1"/>
      </w:tblPr>
      <w:tblGrid>
        <w:gridCol w:w="9060"/>
      </w:tblGrid>
      <w:tr w:rsidR="007833F9" w:rsidRPr="003650BD" w14:paraId="5567BAEF" w14:textId="77777777" w:rsidTr="00D841E8">
        <w:trPr>
          <w:trHeight w:val="1079"/>
        </w:trPr>
        <w:tc>
          <w:tcPr>
            <w:tcW w:w="9060" w:type="dxa"/>
            <w:shd w:val="clear" w:color="auto" w:fill="CCF7ED" w:themeFill="accent4" w:themeFillTint="33"/>
          </w:tcPr>
          <w:p w14:paraId="196511C7" w14:textId="3A518628" w:rsidR="007833F9" w:rsidRPr="00D841E8" w:rsidRDefault="007833F9" w:rsidP="66C947CD">
            <w:pPr>
              <w:pStyle w:val="Body"/>
            </w:pPr>
            <w:r w:rsidRPr="00D841E8">
              <w:t xml:space="preserve">Disclaimer: This document contains guidance relating to </w:t>
            </w:r>
            <w:r w:rsidR="00084FC9">
              <w:t xml:space="preserve">the </w:t>
            </w:r>
            <w:r w:rsidRPr="00D841E8">
              <w:t xml:space="preserve">privacy, confidentiality, and safety of employees. </w:t>
            </w:r>
            <w:r w:rsidR="009F708C">
              <w:t>T</w:t>
            </w:r>
            <w:r w:rsidRPr="00D841E8">
              <w:t xml:space="preserve">his </w:t>
            </w:r>
            <w:r w:rsidR="00C679C6">
              <w:t>guidance</w:t>
            </w:r>
            <w:r w:rsidR="009F708C">
              <w:t xml:space="preserve"> is general in nature</w:t>
            </w:r>
            <w:r w:rsidR="00C679C6">
              <w:t xml:space="preserve"> and </w:t>
            </w:r>
            <w:r w:rsidR="00C80A1B" w:rsidRPr="00C80A1B">
              <w:t>does not constitute legal advice</w:t>
            </w:r>
            <w:r w:rsidR="00C679C6">
              <w:t>.</w:t>
            </w:r>
            <w:r w:rsidR="00C80A1B" w:rsidRPr="00C80A1B">
              <w:t xml:space="preserve"> </w:t>
            </w:r>
            <w:r w:rsidR="00C679C6">
              <w:t>D</w:t>
            </w:r>
            <w:r w:rsidR="00C80A1B" w:rsidRPr="00C80A1B">
              <w:t xml:space="preserve">efined entities are responsible for their own compliance with privacy laws, including the </w:t>
            </w:r>
            <w:r w:rsidR="00C80A1B" w:rsidRPr="00C679C6">
              <w:rPr>
                <w:i/>
                <w:iCs/>
              </w:rPr>
              <w:t>Privacy and Data Protection Act 2014</w:t>
            </w:r>
            <w:r w:rsidR="00C80A1B" w:rsidRPr="00C80A1B">
              <w:t xml:space="preserve"> (Vic) (PDP</w:t>
            </w:r>
            <w:r w:rsidR="007130CE">
              <w:t xml:space="preserve"> </w:t>
            </w:r>
            <w:r w:rsidR="00C80A1B" w:rsidRPr="00C80A1B">
              <w:t>A</w:t>
            </w:r>
            <w:r w:rsidR="007130CE">
              <w:t>ct</w:t>
            </w:r>
            <w:r w:rsidR="00C80A1B" w:rsidRPr="00C80A1B">
              <w:t xml:space="preserve">).  The Information Principles (IPPs) </w:t>
            </w:r>
            <w:r w:rsidR="00BE1817" w:rsidRPr="00BE1817">
              <w:t xml:space="preserve">contained in Schedule 1 of the PDP Act set </w:t>
            </w:r>
            <w:r w:rsidR="00BE1817">
              <w:t xml:space="preserve">out </w:t>
            </w:r>
            <w:r w:rsidR="00C80A1B" w:rsidRPr="00C80A1B">
              <w:t>the minimum standards for how Victorian public sector bodies should manage personal information</w:t>
            </w:r>
            <w:r w:rsidR="00C679C6">
              <w:t>.</w:t>
            </w:r>
          </w:p>
        </w:tc>
      </w:tr>
    </w:tbl>
    <w:sdt>
      <w:sdtPr>
        <w:rPr>
          <w:rFonts w:ascii="Arial" w:eastAsiaTheme="minorHAnsi" w:hAnsi="Arial" w:cstheme="minorBidi"/>
          <w:color w:val="auto"/>
          <w:sz w:val="20"/>
          <w:szCs w:val="22"/>
          <w:lang w:val="en-AU"/>
        </w:rPr>
        <w:id w:val="-5200127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F40A72" w14:textId="21590E29" w:rsidR="00615B69" w:rsidRPr="00772FFA" w:rsidRDefault="00615B69">
          <w:pPr>
            <w:pStyle w:val="TOCHeading"/>
            <w:rPr>
              <w:rFonts w:ascii="VIC" w:hAnsi="VIC"/>
              <w:b/>
              <w:bCs/>
              <w:color w:val="7030A0"/>
            </w:rPr>
          </w:pPr>
          <w:r w:rsidRPr="00772FFA">
            <w:rPr>
              <w:rFonts w:ascii="VIC" w:hAnsi="VIC"/>
              <w:b/>
              <w:bCs/>
              <w:color w:val="7030A0"/>
            </w:rPr>
            <w:t>Contents</w:t>
          </w:r>
        </w:p>
        <w:p w14:paraId="56F52FBE" w14:textId="4F07CC7A" w:rsidR="00615B69" w:rsidRPr="00772FFA" w:rsidRDefault="00615B69" w:rsidP="00976389">
          <w:pPr>
            <w:pStyle w:val="TOC1"/>
            <w:rPr>
              <w:sz w:val="22"/>
              <w:szCs w:val="22"/>
            </w:rPr>
          </w:pPr>
          <w:r w:rsidRPr="00772FFA">
            <w:fldChar w:fldCharType="begin"/>
          </w:r>
          <w:r w:rsidRPr="00286D40">
            <w:rPr>
              <w:rFonts w:eastAsia="Times New Roman" w:cs="Times New Roman"/>
              <w:b/>
            </w:rPr>
            <w:instrText xml:space="preserve"> TOC \o "1-3" \h \z \u </w:instrText>
          </w:r>
          <w:r w:rsidRPr="00772FFA">
            <w:fldChar w:fldCharType="separate"/>
          </w:r>
          <w:hyperlink w:anchor="_Toc131443302" w:history="1">
            <w:r w:rsidRPr="00772FFA">
              <w:rPr>
                <w:rStyle w:val="Hyperlink"/>
              </w:rPr>
              <w:t>Introduction</w:t>
            </w:r>
            <w:r w:rsidRPr="00772FFA">
              <w:rPr>
                <w:webHidden/>
              </w:rPr>
              <w:tab/>
            </w:r>
            <w:r w:rsidRPr="00772FFA">
              <w:rPr>
                <w:webHidden/>
              </w:rPr>
              <w:fldChar w:fldCharType="begin"/>
            </w:r>
            <w:r w:rsidRPr="00772FFA">
              <w:rPr>
                <w:webHidden/>
              </w:rPr>
              <w:instrText xml:space="preserve"> PAGEREF _Toc131443302 \h </w:instrText>
            </w:r>
            <w:r w:rsidRPr="00772FFA">
              <w:rPr>
                <w:webHidden/>
              </w:rPr>
            </w:r>
            <w:r w:rsidRPr="00772FFA">
              <w:rPr>
                <w:webHidden/>
              </w:rPr>
              <w:fldChar w:fldCharType="separate"/>
            </w:r>
            <w:r w:rsidRPr="00772FFA">
              <w:rPr>
                <w:webHidden/>
              </w:rPr>
              <w:t>1</w:t>
            </w:r>
            <w:r w:rsidRPr="00772FFA">
              <w:rPr>
                <w:webHidden/>
              </w:rPr>
              <w:fldChar w:fldCharType="end"/>
            </w:r>
          </w:hyperlink>
        </w:p>
        <w:p w14:paraId="2C718685" w14:textId="5B5F272E" w:rsidR="00615B69" w:rsidRPr="00976389" w:rsidRDefault="00976389" w:rsidP="00976389">
          <w:pPr>
            <w:pStyle w:val="TOC1"/>
            <w:rPr>
              <w:sz w:val="22"/>
              <w:szCs w:val="22"/>
            </w:rPr>
          </w:pPr>
          <w:r w:rsidRPr="00976389">
            <w:rPr>
              <w:rStyle w:val="Hyperlink"/>
              <w:color w:val="auto"/>
              <w:u w:val="none"/>
            </w:rPr>
            <w:t xml:space="preserve">1. </w:t>
          </w:r>
          <w:hyperlink w:anchor="_Toc131443314" w:history="1">
            <w:r w:rsidR="00615B69" w:rsidRPr="00976389">
              <w:rPr>
                <w:rStyle w:val="Hyperlink"/>
              </w:rPr>
              <w:t>Privacy and confidentiality</w:t>
            </w:r>
            <w:r w:rsidR="00615B69" w:rsidRPr="00976389">
              <w:rPr>
                <w:webHidden/>
              </w:rPr>
              <w:tab/>
            </w:r>
            <w:r w:rsidR="00615B69" w:rsidRPr="00976389">
              <w:rPr>
                <w:webHidden/>
              </w:rPr>
              <w:fldChar w:fldCharType="begin"/>
            </w:r>
            <w:r w:rsidR="00615B69" w:rsidRPr="00976389">
              <w:rPr>
                <w:webHidden/>
              </w:rPr>
              <w:instrText xml:space="preserve"> PAGEREF _Toc131443314 \h </w:instrText>
            </w:r>
            <w:r w:rsidR="00615B69" w:rsidRPr="00976389">
              <w:rPr>
                <w:webHidden/>
              </w:rPr>
            </w:r>
            <w:r w:rsidR="00615B69" w:rsidRPr="00976389">
              <w:rPr>
                <w:webHidden/>
              </w:rPr>
              <w:fldChar w:fldCharType="separate"/>
            </w:r>
            <w:r w:rsidR="00615B69" w:rsidRPr="00976389">
              <w:rPr>
                <w:webHidden/>
              </w:rPr>
              <w:t>2</w:t>
            </w:r>
            <w:r w:rsidR="00615B69" w:rsidRPr="00976389">
              <w:rPr>
                <w:webHidden/>
              </w:rPr>
              <w:fldChar w:fldCharType="end"/>
            </w:r>
          </w:hyperlink>
        </w:p>
        <w:p w14:paraId="01B755BD" w14:textId="755EE224" w:rsidR="00615B69" w:rsidRPr="00976389" w:rsidRDefault="00952698" w:rsidP="00976389">
          <w:pPr>
            <w:pStyle w:val="TOC1"/>
          </w:pPr>
          <w:hyperlink w:anchor="_Toc131443317" w:history="1">
            <w:r w:rsidR="00045A50" w:rsidRPr="00976389">
              <w:t xml:space="preserve">2. </w:t>
            </w:r>
            <w:r w:rsidR="00615B69" w:rsidRPr="00976389">
              <w:rPr>
                <w:rStyle w:val="Hyperlink"/>
              </w:rPr>
              <w:t>Distress protocol to protect the wellbeing of respondents</w:t>
            </w:r>
            <w:r w:rsidR="00615B69" w:rsidRPr="00976389">
              <w:rPr>
                <w:webHidden/>
              </w:rPr>
              <w:tab/>
            </w:r>
            <w:r w:rsidR="00615B69" w:rsidRPr="00976389">
              <w:rPr>
                <w:webHidden/>
              </w:rPr>
              <w:fldChar w:fldCharType="begin"/>
            </w:r>
            <w:r w:rsidR="00615B69" w:rsidRPr="00976389">
              <w:rPr>
                <w:webHidden/>
              </w:rPr>
              <w:instrText xml:space="preserve"> PAGEREF _Toc131443317 \h </w:instrText>
            </w:r>
            <w:r w:rsidR="00615B69" w:rsidRPr="00976389">
              <w:rPr>
                <w:webHidden/>
              </w:rPr>
            </w:r>
            <w:r w:rsidR="00615B69" w:rsidRPr="00976389">
              <w:rPr>
                <w:webHidden/>
              </w:rPr>
              <w:fldChar w:fldCharType="separate"/>
            </w:r>
            <w:r w:rsidR="00615B69" w:rsidRPr="00976389">
              <w:rPr>
                <w:webHidden/>
              </w:rPr>
              <w:t>5</w:t>
            </w:r>
            <w:r w:rsidR="00615B69" w:rsidRPr="00976389">
              <w:rPr>
                <w:webHidden/>
              </w:rPr>
              <w:fldChar w:fldCharType="end"/>
            </w:r>
          </w:hyperlink>
        </w:p>
        <w:p w14:paraId="7160D274" w14:textId="7AF60351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18" w:history="1">
            <w:r w:rsidR="00615B69" w:rsidRPr="00772FFA">
              <w:rPr>
                <w:rStyle w:val="Hyperlink"/>
              </w:rPr>
              <w:t>3</w:t>
            </w:r>
            <w:r w:rsidR="00045A50" w:rsidRPr="00772FFA">
              <w:rPr>
                <w:sz w:val="22"/>
                <w:szCs w:val="22"/>
              </w:rPr>
              <w:t xml:space="preserve">. </w:t>
            </w:r>
            <w:r w:rsidR="00615B69" w:rsidRPr="00772FFA">
              <w:rPr>
                <w:rStyle w:val="Hyperlink"/>
              </w:rPr>
              <w:t>Survey methodology – question wording, order and response options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_Toc131443318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5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2A769F16" w14:textId="142EC2F7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19" w:history="1">
            <w:r w:rsidR="00615B69" w:rsidRPr="00772FFA">
              <w:rPr>
                <w:rStyle w:val="Hyperlink"/>
              </w:rPr>
              <w:t>4</w:t>
            </w:r>
            <w:r w:rsidR="00045A50" w:rsidRPr="00772FFA">
              <w:rPr>
                <w:sz w:val="22"/>
                <w:szCs w:val="22"/>
              </w:rPr>
              <w:t xml:space="preserve">. </w:t>
            </w:r>
            <w:r w:rsidR="00615B69" w:rsidRPr="00772FFA">
              <w:rPr>
                <w:rStyle w:val="Hyperlink"/>
              </w:rPr>
              <w:t>Specification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_Toc131443319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5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5CACF77D" w14:textId="7C4635F7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21" w:history="1">
            <w:r w:rsidR="00615B69" w:rsidRPr="00772FFA">
              <w:rPr>
                <w:rStyle w:val="Hyperlink"/>
              </w:rPr>
              <w:t>5.</w:t>
            </w:r>
            <w:r w:rsidR="00045A50" w:rsidRPr="00772FFA">
              <w:rPr>
                <w:b/>
                <w:sz w:val="22"/>
                <w:szCs w:val="22"/>
              </w:rPr>
              <w:t xml:space="preserve"> </w:t>
            </w:r>
            <w:r w:rsidR="00615B69" w:rsidRPr="00772FFA">
              <w:rPr>
                <w:rStyle w:val="Hyperlink"/>
              </w:rPr>
              <w:t>Maximising response rates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_Toc131443321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8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729F4BC0" w14:textId="2C91332D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22" w:history="1">
            <w:r w:rsidR="00615B69" w:rsidRPr="00772FFA">
              <w:rPr>
                <w:rStyle w:val="Hyperlink"/>
              </w:rPr>
              <w:t>6.</w:t>
            </w:r>
            <w:r w:rsidR="00045A50" w:rsidRPr="00772FFA">
              <w:rPr>
                <w:b/>
                <w:sz w:val="22"/>
                <w:szCs w:val="22"/>
              </w:rPr>
              <w:t xml:space="preserve"> </w:t>
            </w:r>
            <w:r w:rsidR="00615B69" w:rsidRPr="00772FFA">
              <w:rPr>
                <w:rStyle w:val="Hyperlink"/>
              </w:rPr>
              <w:t>Quality assurance and compliance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_Toc131443322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9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642A00AE" w14:textId="5965154B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23" w:history="1">
            <w:r w:rsidR="00615B69" w:rsidRPr="00772FFA">
              <w:rPr>
                <w:rStyle w:val="Hyperlink"/>
              </w:rPr>
              <w:t>7.</w:t>
            </w:r>
            <w:r w:rsidR="00045A50" w:rsidRPr="00772FFA">
              <w:rPr>
                <w:b/>
                <w:sz w:val="22"/>
                <w:szCs w:val="22"/>
              </w:rPr>
              <w:t xml:space="preserve"> </w:t>
            </w:r>
            <w:r w:rsidR="00615B69" w:rsidRPr="00772FFA">
              <w:rPr>
                <w:rStyle w:val="Hyperlink"/>
              </w:rPr>
              <w:t>Timing for data collection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_Toc131443323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9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3A68FDD6" w14:textId="15EED72F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24" w:history="1">
            <w:r w:rsidR="00615B69" w:rsidRPr="00772FFA">
              <w:rPr>
                <w:rStyle w:val="Hyperlink"/>
              </w:rPr>
              <w:t>8.</w:t>
            </w:r>
            <w:r w:rsidR="00045A50" w:rsidRPr="00772FFA">
              <w:rPr>
                <w:b/>
                <w:sz w:val="22"/>
                <w:szCs w:val="22"/>
              </w:rPr>
              <w:t xml:space="preserve"> </w:t>
            </w:r>
            <w:r w:rsidR="00615B69" w:rsidRPr="00772FFA">
              <w:rPr>
                <w:rStyle w:val="Hyperlink"/>
              </w:rPr>
              <w:t>Contract considerations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_Toc131443324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9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68DEC06C" w14:textId="0C57AE30" w:rsidR="00615B69" w:rsidRPr="00772FFA" w:rsidRDefault="00952698" w:rsidP="00976389">
          <w:pPr>
            <w:pStyle w:val="TOC1"/>
            <w:rPr>
              <w:sz w:val="22"/>
              <w:szCs w:val="22"/>
            </w:rPr>
          </w:pPr>
          <w:hyperlink w:anchor="_Toc131443325" w:history="1">
            <w:r w:rsidR="00615B69" w:rsidRPr="00772FFA">
              <w:rPr>
                <w:rStyle w:val="Hyperlink"/>
              </w:rPr>
              <w:t>Further information</w:t>
            </w:r>
            <w:r w:rsidR="00615B69" w:rsidRPr="00772FFA">
              <w:rPr>
                <w:webHidden/>
              </w:rPr>
              <w:tab/>
            </w:r>
            <w:r w:rsidR="00615B69" w:rsidRPr="00772FFA">
              <w:rPr>
                <w:webHidden/>
              </w:rPr>
              <w:fldChar w:fldCharType="begin"/>
            </w:r>
            <w:r w:rsidR="00615B69" w:rsidRPr="00772FFA">
              <w:rPr>
                <w:webHidden/>
              </w:rPr>
              <w:instrText xml:space="preserve"> PAGEREF _Toc131443325 \h </w:instrText>
            </w:r>
            <w:r w:rsidR="00615B69" w:rsidRPr="00772FFA">
              <w:rPr>
                <w:webHidden/>
              </w:rPr>
            </w:r>
            <w:r w:rsidR="00615B69" w:rsidRPr="00772FFA">
              <w:rPr>
                <w:webHidden/>
              </w:rPr>
              <w:fldChar w:fldCharType="separate"/>
            </w:r>
            <w:r w:rsidR="00615B69" w:rsidRPr="00772FFA">
              <w:rPr>
                <w:webHidden/>
              </w:rPr>
              <w:t>10</w:t>
            </w:r>
            <w:r w:rsidR="00615B69" w:rsidRPr="00772FFA">
              <w:rPr>
                <w:webHidden/>
              </w:rPr>
              <w:fldChar w:fldCharType="end"/>
            </w:r>
          </w:hyperlink>
        </w:p>
        <w:p w14:paraId="3F8ABAB6" w14:textId="1188A710" w:rsidR="00615B69" w:rsidRDefault="00615B69" w:rsidP="00772FFA">
          <w:r w:rsidRPr="00772FFA">
            <w:rPr>
              <w:rFonts w:ascii="VIC" w:hAnsi="VIC"/>
              <w:bCs/>
              <w:noProof/>
            </w:rPr>
            <w:fldChar w:fldCharType="end"/>
          </w:r>
        </w:p>
      </w:sdtContent>
    </w:sdt>
    <w:p w14:paraId="4D5260BA" w14:textId="316A73C6" w:rsidR="00725FF7" w:rsidRPr="00D841E8" w:rsidRDefault="007D2EB6" w:rsidP="0029299C">
      <w:pPr>
        <w:pStyle w:val="SubHeading1"/>
      </w:pPr>
      <w:bookmarkStart w:id="1" w:name="_Toc131443302"/>
      <w:r w:rsidRPr="0029299C">
        <w:t>Introduction</w:t>
      </w:r>
      <w:bookmarkEnd w:id="1"/>
    </w:p>
    <w:p w14:paraId="6C85440C" w14:textId="46EAD103" w:rsidR="0000244B" w:rsidRPr="00771154" w:rsidRDefault="00A35C54" w:rsidP="00BD7A75">
      <w:pPr>
        <w:pStyle w:val="Body"/>
      </w:pPr>
      <w:r w:rsidRPr="00E14BA7">
        <w:t>The</w:t>
      </w:r>
      <w:r w:rsidR="00D57F0E" w:rsidRPr="00E14BA7">
        <w:rPr>
          <w:rFonts w:eastAsia="Calibri"/>
        </w:rPr>
        <w:t xml:space="preserve"> Gender</w:t>
      </w:r>
      <w:r w:rsidR="00D57F0E" w:rsidRPr="00E14BA7">
        <w:rPr>
          <w:rStyle w:val="normaltextrun"/>
          <w:rFonts w:eastAsia="Calibri" w:cs="Calibri"/>
          <w:i/>
          <w:color w:val="000000"/>
          <w:shd w:val="clear" w:color="auto" w:fill="FFFFFF"/>
        </w:rPr>
        <w:t xml:space="preserve"> Equality Act 2020</w:t>
      </w:r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 xml:space="preserve"> (the Act)</w:t>
      </w:r>
      <w:r>
        <w:rPr>
          <w:rStyle w:val="normaltextrun"/>
          <w:rFonts w:eastAsia="Calibri" w:cs="Calibri"/>
          <w:color w:val="000000"/>
          <w:shd w:val="clear" w:color="auto" w:fill="FFFFFF"/>
        </w:rPr>
        <w:t xml:space="preserve"> requires </w:t>
      </w:r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>defined entities</w:t>
      </w:r>
      <w:r>
        <w:rPr>
          <w:rStyle w:val="normaltextrun"/>
          <w:rFonts w:eastAsia="Calibri" w:cs="Calibri"/>
          <w:color w:val="000000"/>
          <w:shd w:val="clear" w:color="auto" w:fill="FFFFFF"/>
        </w:rPr>
        <w:t xml:space="preserve"> to </w:t>
      </w:r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 xml:space="preserve">prepare and submit a progress report </w:t>
      </w:r>
      <w:r w:rsidR="002C4BB5" w:rsidRPr="00E14BA7">
        <w:rPr>
          <w:rStyle w:val="normaltextrun"/>
          <w:rFonts w:eastAsia="Calibri" w:cs="Calibri"/>
          <w:color w:val="000000"/>
          <w:shd w:val="clear" w:color="auto" w:fill="FFFFFF"/>
        </w:rPr>
        <w:t>two</w:t>
      </w:r>
      <w:r w:rsidR="002C4BB5">
        <w:rPr>
          <w:rStyle w:val="normaltextrun"/>
          <w:rFonts w:eastAsia="Calibri" w:cs="Calibri"/>
          <w:color w:val="000000"/>
          <w:shd w:val="clear" w:color="auto" w:fill="FFFFFF"/>
        </w:rPr>
        <w:t xml:space="preserve"> </w:t>
      </w:r>
      <w:r w:rsidR="00927F10">
        <w:rPr>
          <w:rStyle w:val="normaltextrun"/>
          <w:rFonts w:eastAsia="Calibri" w:cs="Calibri"/>
          <w:color w:val="000000"/>
          <w:shd w:val="clear" w:color="auto" w:fill="FFFFFF"/>
        </w:rPr>
        <w:t>years after submitting a Gender Equality Action Plan</w:t>
      </w:r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>.</w:t>
      </w:r>
      <w:r w:rsidR="00982A3E">
        <w:rPr>
          <w:rStyle w:val="normaltextrun"/>
          <w:rFonts w:eastAsia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eastAsia="Calibri" w:cs="Calibri"/>
          <w:color w:val="000000"/>
          <w:shd w:val="clear" w:color="auto" w:fill="FFFFFF"/>
        </w:rPr>
        <w:t xml:space="preserve">Under </w:t>
      </w:r>
      <w:r w:rsidRPr="00914B9C">
        <w:t>section 19(3)(</w:t>
      </w:r>
      <w:r>
        <w:t>c</w:t>
      </w:r>
      <w:r w:rsidRPr="00914B9C">
        <w:t xml:space="preserve">) </w:t>
      </w:r>
      <w:r>
        <w:rPr>
          <w:rStyle w:val="normaltextrun"/>
          <w:rFonts w:eastAsia="Calibri" w:cs="Calibri"/>
          <w:color w:val="000000"/>
          <w:shd w:val="clear" w:color="auto" w:fill="FFFFFF"/>
        </w:rPr>
        <w:t>of the Act, o</w:t>
      </w:r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>ne of the requirements of your progress report</w:t>
      </w:r>
      <w:r>
        <w:rPr>
          <w:rStyle w:val="normaltextrun"/>
          <w:rFonts w:eastAsia="Calibri" w:cs="Calibri"/>
          <w:color w:val="000000"/>
          <w:shd w:val="clear" w:color="auto" w:fill="FFFFFF"/>
        </w:rPr>
        <w:t xml:space="preserve"> </w:t>
      </w:r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 xml:space="preserve">is to report on progress against the </w:t>
      </w:r>
      <w:hyperlink r:id="rId12" w:tgtFrame="_blank" w:history="1">
        <w:r w:rsidR="00D57F0E" w:rsidRPr="00E14BA7">
          <w:rPr>
            <w:rStyle w:val="normaltextrun"/>
            <w:rFonts w:eastAsia="Calibri" w:cs="Calibri"/>
            <w:color w:val="0563C1"/>
            <w:u w:val="single"/>
            <w:shd w:val="clear" w:color="auto" w:fill="FFFFFF"/>
          </w:rPr>
          <w:t>seven gender equality indicators</w:t>
        </w:r>
      </w:hyperlink>
      <w:r w:rsidR="00D57F0E" w:rsidRPr="00E14BA7">
        <w:rPr>
          <w:rStyle w:val="normaltextrun"/>
          <w:rFonts w:eastAsia="Calibri" w:cs="Calibri"/>
          <w:color w:val="000000"/>
          <w:shd w:val="clear" w:color="auto" w:fill="FFFFFF"/>
        </w:rPr>
        <w:t xml:space="preserve">. </w:t>
      </w:r>
      <w:r w:rsidR="00E22C5D" w:rsidRPr="00E14BA7">
        <w:rPr>
          <w:rStyle w:val="normaltextrun"/>
          <w:rFonts w:eastAsia="Calibri" w:cs="Calibri"/>
          <w:color w:val="000000"/>
          <w:shd w:val="clear" w:color="auto" w:fill="FFFFFF"/>
        </w:rPr>
        <w:t>Collecting</w:t>
      </w:r>
      <w:r w:rsidR="00B338E3" w:rsidRPr="00E14BA7">
        <w:rPr>
          <w:rStyle w:val="normaltextrun"/>
          <w:rFonts w:eastAsia="Calibri" w:cs="Calibri"/>
          <w:color w:val="000000"/>
          <w:shd w:val="clear" w:color="auto" w:fill="FFFFFF"/>
        </w:rPr>
        <w:t xml:space="preserve"> </w:t>
      </w:r>
      <w:r w:rsidR="00B338E3" w:rsidRPr="00E14BA7">
        <w:rPr>
          <w:rStyle w:val="normaltextrun"/>
          <w:rFonts w:cs="Calibri"/>
          <w:color w:val="000000"/>
          <w:shd w:val="clear" w:color="auto" w:fill="FFFFFF"/>
        </w:rPr>
        <w:t>e</w:t>
      </w:r>
      <w:r w:rsidR="00FF310C" w:rsidRPr="00E14BA7">
        <w:rPr>
          <w:rStyle w:val="normaltextrun"/>
          <w:rFonts w:cs="Calibri"/>
          <w:color w:val="000000"/>
          <w:shd w:val="clear" w:color="auto" w:fill="FFFFFF"/>
        </w:rPr>
        <w:t xml:space="preserve">mployee experience data </w:t>
      </w:r>
      <w:r w:rsidR="004C0CA4">
        <w:rPr>
          <w:rStyle w:val="normaltextrun"/>
          <w:rFonts w:cs="Calibri"/>
          <w:color w:val="000000"/>
          <w:shd w:val="clear" w:color="auto" w:fill="FFFFFF"/>
        </w:rPr>
        <w:t xml:space="preserve">via a survey </w:t>
      </w:r>
      <w:r w:rsidR="00FF310C" w:rsidRPr="00E14BA7">
        <w:rPr>
          <w:rStyle w:val="normaltextrun"/>
          <w:rFonts w:cs="Calibri"/>
          <w:color w:val="000000"/>
          <w:shd w:val="clear" w:color="auto" w:fill="FFFFFF"/>
        </w:rPr>
        <w:t xml:space="preserve">will support you </w:t>
      </w:r>
      <w:r w:rsidR="00474ECE">
        <w:rPr>
          <w:rStyle w:val="normaltextrun"/>
          <w:rFonts w:cs="Calibri"/>
          <w:color w:val="000000"/>
          <w:shd w:val="clear" w:color="auto" w:fill="FFFFFF"/>
        </w:rPr>
        <w:t>in</w:t>
      </w:r>
      <w:r w:rsidR="00FF310C" w:rsidRPr="00E14BA7">
        <w:rPr>
          <w:rStyle w:val="normaltextrun"/>
          <w:rFonts w:cs="Calibri"/>
          <w:color w:val="000000"/>
          <w:shd w:val="clear" w:color="auto" w:fill="FFFFFF"/>
        </w:rPr>
        <w:t xml:space="preserve"> measur</w:t>
      </w:r>
      <w:r w:rsidR="00474ECE">
        <w:rPr>
          <w:rStyle w:val="normaltextrun"/>
          <w:rFonts w:cs="Calibri"/>
          <w:color w:val="000000"/>
          <w:shd w:val="clear" w:color="auto" w:fill="FFFFFF"/>
        </w:rPr>
        <w:t xml:space="preserve">ing </w:t>
      </w:r>
      <w:r w:rsidR="00FF310C" w:rsidRPr="00E14BA7">
        <w:rPr>
          <w:rStyle w:val="normaltextrun"/>
          <w:rFonts w:cs="Calibri"/>
          <w:color w:val="000000"/>
          <w:shd w:val="clear" w:color="auto" w:fill="FFFFFF"/>
        </w:rPr>
        <w:t>progress against the</w:t>
      </w:r>
      <w:r w:rsidR="00474ECE">
        <w:rPr>
          <w:rStyle w:val="normaltextrun"/>
          <w:rFonts w:cs="Calibri"/>
          <w:color w:val="000000"/>
          <w:shd w:val="clear" w:color="auto" w:fill="FFFFFF"/>
        </w:rPr>
        <w:t xml:space="preserve">se </w:t>
      </w:r>
      <w:r w:rsidR="00FF310C" w:rsidRPr="00E14BA7">
        <w:rPr>
          <w:rStyle w:val="normaltextrun"/>
          <w:rFonts w:cs="Calibri"/>
          <w:color w:val="000000"/>
          <w:shd w:val="clear" w:color="auto" w:fill="FFFFFF"/>
        </w:rPr>
        <w:t>indicators</w:t>
      </w:r>
      <w:r w:rsidR="00771154" w:rsidRPr="00E14BA7">
        <w:rPr>
          <w:rStyle w:val="normaltextrun"/>
          <w:rFonts w:cs="Calibri"/>
          <w:color w:val="000000"/>
          <w:shd w:val="clear" w:color="auto" w:fill="FFFFFF"/>
        </w:rPr>
        <w:t xml:space="preserve">. </w:t>
      </w:r>
    </w:p>
    <w:p w14:paraId="5A99CEE5" w14:textId="2E7B2373" w:rsidR="00431A74" w:rsidRDefault="00474ECE" w:rsidP="00BD7A75">
      <w:pPr>
        <w:pStyle w:val="Body"/>
      </w:pPr>
      <w:r>
        <w:t xml:space="preserve">Collecting </w:t>
      </w:r>
      <w:r w:rsidRPr="00E14BA7">
        <w:t>e</w:t>
      </w:r>
      <w:r w:rsidR="5F50311E" w:rsidRPr="00E14BA7">
        <w:t>mployee</w:t>
      </w:r>
      <w:r w:rsidR="00F22A87" w:rsidRPr="00D841E8">
        <w:t xml:space="preserve"> experience </w:t>
      </w:r>
      <w:r w:rsidR="00F22A87" w:rsidRPr="00002152">
        <w:t xml:space="preserve">data </w:t>
      </w:r>
      <w:r w:rsidR="0078653B" w:rsidRPr="00002152">
        <w:t>is critical becaus</w:t>
      </w:r>
      <w:r w:rsidR="00424A24" w:rsidRPr="00002152">
        <w:t xml:space="preserve">e </w:t>
      </w:r>
      <w:r w:rsidR="1A921C2F" w:rsidRPr="00E14BA7">
        <w:rPr>
          <w:rStyle w:val="normaltextrun"/>
          <w:rFonts w:cs="Calibri"/>
          <w:color w:val="000000"/>
          <w:shd w:val="clear" w:color="auto" w:fill="FFFFFF"/>
        </w:rPr>
        <w:t>it</w:t>
      </w:r>
      <w:r w:rsidR="00BA2DDD" w:rsidRPr="00E14BA7">
        <w:rPr>
          <w:rStyle w:val="normaltextrun"/>
          <w:rFonts w:cs="Calibri"/>
          <w:color w:val="000000"/>
          <w:shd w:val="clear" w:color="auto" w:fill="FFFFFF"/>
        </w:rPr>
        <w:t xml:space="preserve"> complements workforce data to tell a more complete story about the state and nature of gender inequality in your workplace.</w:t>
      </w:r>
      <w:r w:rsidR="00BA2DDD" w:rsidRPr="00E14BA7"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 w:rsidR="00A5785D" w:rsidRPr="00002152">
        <w:t>However, employee experience data can be very sensitive</w:t>
      </w:r>
      <w:r w:rsidR="00F80CA6" w:rsidRPr="00002152">
        <w:t>. I</w:t>
      </w:r>
      <w:r w:rsidR="001B70AB" w:rsidRPr="00002152">
        <w:t xml:space="preserve">f </w:t>
      </w:r>
      <w:r w:rsidR="004460EE" w:rsidRPr="00002152">
        <w:t xml:space="preserve">its collection and reporting </w:t>
      </w:r>
      <w:r w:rsidR="00595F04" w:rsidRPr="00002152">
        <w:t xml:space="preserve">are </w:t>
      </w:r>
      <w:r w:rsidR="001B70AB" w:rsidRPr="00002152">
        <w:t>mishandled</w:t>
      </w:r>
      <w:r w:rsidR="00595F04" w:rsidRPr="00002152">
        <w:t>,</w:t>
      </w:r>
      <w:r w:rsidR="001B70AB" w:rsidRPr="00002152">
        <w:t xml:space="preserve"> </w:t>
      </w:r>
      <w:r w:rsidR="00F80CA6" w:rsidRPr="00002152">
        <w:t xml:space="preserve">it </w:t>
      </w:r>
      <w:r w:rsidR="0035047E" w:rsidRPr="00002152">
        <w:t xml:space="preserve">has the potential </w:t>
      </w:r>
      <w:r w:rsidR="00F15F4C" w:rsidRPr="00002152">
        <w:t xml:space="preserve">to </w:t>
      </w:r>
      <w:r w:rsidR="001B70AB" w:rsidRPr="00002152">
        <w:t>cause unintended harm</w:t>
      </w:r>
      <w:r w:rsidR="00431A74">
        <w:rPr>
          <w:rFonts w:cs="Arial"/>
        </w:rPr>
        <w:t xml:space="preserve">. </w:t>
      </w:r>
      <w:r w:rsidR="66A6B388" w:rsidRPr="53EDF6F3">
        <w:t xml:space="preserve">For this </w:t>
      </w:r>
      <w:r w:rsidR="66A6B388" w:rsidRPr="0BCBB008">
        <w:t xml:space="preserve">reason, we strongly recommend </w:t>
      </w:r>
      <w:r w:rsidR="00CF04F6">
        <w:t xml:space="preserve">that </w:t>
      </w:r>
      <w:r w:rsidR="66A6B388" w:rsidRPr="0BCBB008">
        <w:t xml:space="preserve">you </w:t>
      </w:r>
      <w:r w:rsidR="66A6B388" w:rsidRPr="4DF6CA9E">
        <w:t xml:space="preserve">engage a third-party </w:t>
      </w:r>
      <w:r w:rsidR="66A6B388" w:rsidRPr="57C32282">
        <w:t xml:space="preserve">survey </w:t>
      </w:r>
      <w:r w:rsidR="66A6B388" w:rsidRPr="70730B6C">
        <w:t xml:space="preserve">provider to </w:t>
      </w:r>
      <w:r w:rsidR="66A6B388" w:rsidRPr="478FA876">
        <w:t xml:space="preserve">administer your survey. </w:t>
      </w:r>
    </w:p>
    <w:p w14:paraId="406B9B71" w14:textId="71B6251E" w:rsidR="00D159FA" w:rsidRDefault="006C1FFB" w:rsidP="00CD47C3">
      <w:pPr>
        <w:pStyle w:val="Body"/>
      </w:pPr>
      <w:r w:rsidRPr="478FA876">
        <w:t>This</w:t>
      </w:r>
      <w:r w:rsidRPr="00C613DA">
        <w:t xml:space="preserve"> practice note is designed to ensure </w:t>
      </w:r>
      <w:r w:rsidR="006D544C">
        <w:t xml:space="preserve">that </w:t>
      </w:r>
      <w:r w:rsidRPr="00C613DA">
        <w:t xml:space="preserve">third-party </w:t>
      </w:r>
      <w:r w:rsidR="00ED2B28">
        <w:t xml:space="preserve">survey </w:t>
      </w:r>
      <w:r w:rsidRPr="00C613DA">
        <w:t>providers and defined entities are aware of important standards for administering and handling employee experience survey data</w:t>
      </w:r>
      <w:r w:rsidR="004D691A">
        <w:t>.</w:t>
      </w:r>
      <w:r w:rsidR="003764D7">
        <w:t xml:space="preserve"> It also</w:t>
      </w:r>
      <w:r w:rsidR="00D159FA">
        <w:t xml:space="preserve"> </w:t>
      </w:r>
      <w:r w:rsidR="00117148">
        <w:t>steps through</w:t>
      </w:r>
      <w:r w:rsidR="00130FD4">
        <w:t xml:space="preserve"> </w:t>
      </w:r>
      <w:r w:rsidR="00463428">
        <w:t>critical</w:t>
      </w:r>
      <w:r w:rsidR="007464EC">
        <w:t xml:space="preserve"> </w:t>
      </w:r>
      <w:r w:rsidR="00106063">
        <w:t>information on</w:t>
      </w:r>
      <w:r w:rsidR="00C51761">
        <w:t xml:space="preserve"> survey methodology</w:t>
      </w:r>
      <w:r w:rsidR="00AD4443">
        <w:t>, specifications and</w:t>
      </w:r>
      <w:r w:rsidR="003653F0">
        <w:t xml:space="preserve"> contract</w:t>
      </w:r>
      <w:r w:rsidR="00AD4443">
        <w:t xml:space="preserve"> considerations when engaging with </w:t>
      </w:r>
      <w:r w:rsidR="00117148">
        <w:t>a</w:t>
      </w:r>
      <w:r w:rsidR="00AD4443">
        <w:t xml:space="preserve"> </w:t>
      </w:r>
      <w:r w:rsidR="003653F0" w:rsidRPr="00C613DA">
        <w:t xml:space="preserve">third-party </w:t>
      </w:r>
      <w:r w:rsidR="003653F0">
        <w:t xml:space="preserve">survey </w:t>
      </w:r>
      <w:r w:rsidR="003653F0" w:rsidRPr="00C613DA">
        <w:t>provider</w:t>
      </w:r>
      <w:r w:rsidR="003653F0">
        <w:t>.</w:t>
      </w:r>
      <w:r w:rsidR="004505A2">
        <w:t xml:space="preserve"> </w:t>
      </w:r>
    </w:p>
    <w:p w14:paraId="1EAAF599" w14:textId="49200B7D" w:rsidR="00BF36E1" w:rsidRPr="00772FFA" w:rsidRDefault="00BF36E1" w:rsidP="0029299C">
      <w:pPr>
        <w:pStyle w:val="SubHeading1"/>
        <w:rPr>
          <w:sz w:val="22"/>
          <w:szCs w:val="22"/>
        </w:rPr>
      </w:pPr>
      <w:bookmarkStart w:id="2" w:name="_Toc131443303"/>
      <w:r w:rsidRPr="00772FFA">
        <w:rPr>
          <w:sz w:val="22"/>
          <w:szCs w:val="22"/>
        </w:rPr>
        <w:t xml:space="preserve">Using the People Matter Survey </w:t>
      </w:r>
      <w:r w:rsidR="08FB3F18" w:rsidRPr="00772FFA">
        <w:rPr>
          <w:sz w:val="22"/>
          <w:szCs w:val="22"/>
        </w:rPr>
        <w:t>202</w:t>
      </w:r>
      <w:r w:rsidR="11A0FDD6" w:rsidRPr="00772FFA">
        <w:rPr>
          <w:sz w:val="22"/>
          <w:szCs w:val="22"/>
        </w:rPr>
        <w:t>3</w:t>
      </w:r>
      <w:r w:rsidRPr="00772FFA">
        <w:rPr>
          <w:sz w:val="22"/>
          <w:szCs w:val="22"/>
        </w:rPr>
        <w:t xml:space="preserve"> for data collection</w:t>
      </w:r>
      <w:bookmarkEnd w:id="2"/>
      <w:r w:rsidRPr="00772FFA">
        <w:rPr>
          <w:sz w:val="22"/>
          <w:szCs w:val="22"/>
        </w:rPr>
        <w:t xml:space="preserve"> </w:t>
      </w:r>
    </w:p>
    <w:p w14:paraId="47E54E3E" w14:textId="5F10E833" w:rsidR="006C4B87" w:rsidRDefault="00613E83" w:rsidP="00BD7A75">
      <w:pPr>
        <w:pStyle w:val="Body"/>
      </w:pPr>
      <w:r w:rsidRPr="00D841E8">
        <w:t>Public sector organisations</w:t>
      </w:r>
      <w:r w:rsidR="004C070A" w:rsidRPr="00D841E8">
        <w:rPr>
          <w:rStyle w:val="FootnoteReference"/>
        </w:rPr>
        <w:footnoteReference w:id="2"/>
      </w:r>
      <w:r w:rsidRPr="00D841E8">
        <w:t xml:space="preserve"> </w:t>
      </w:r>
      <w:r w:rsidR="1318CCC1" w:rsidRPr="00E14BA7">
        <w:t>can</w:t>
      </w:r>
      <w:r w:rsidRPr="00D841E8">
        <w:t xml:space="preserve"> use their </w:t>
      </w:r>
      <w:r w:rsidR="1F8BDBF1" w:rsidRPr="00E14BA7">
        <w:t>202</w:t>
      </w:r>
      <w:r w:rsidR="11A0FDD6" w:rsidRPr="00E14BA7">
        <w:t>3</w:t>
      </w:r>
      <w:r w:rsidRPr="00D841E8">
        <w:t xml:space="preserve"> People </w:t>
      </w:r>
      <w:r w:rsidR="006C4B87">
        <w:t>m</w:t>
      </w:r>
      <w:r w:rsidRPr="00D841E8">
        <w:t xml:space="preserve">atter </w:t>
      </w:r>
      <w:r w:rsidR="006C4B87">
        <w:t>s</w:t>
      </w:r>
      <w:r w:rsidRPr="00D841E8">
        <w:t>urvey</w:t>
      </w:r>
      <w:r w:rsidR="00FB277E" w:rsidRPr="00D841E8">
        <w:t xml:space="preserve"> results</w:t>
      </w:r>
      <w:r w:rsidRPr="00D841E8">
        <w:t xml:space="preserve"> </w:t>
      </w:r>
      <w:r w:rsidR="004C070A" w:rsidRPr="00D841E8">
        <w:t>(</w:t>
      </w:r>
      <w:r w:rsidR="4661F10A" w:rsidRPr="00E14BA7">
        <w:t>including</w:t>
      </w:r>
      <w:r w:rsidR="004C070A" w:rsidRPr="00D841E8">
        <w:t xml:space="preserve"> the employee experience survey data</w:t>
      </w:r>
      <w:r w:rsidR="7BABE6BA" w:rsidRPr="00E14BA7">
        <w:t xml:space="preserve">) </w:t>
      </w:r>
      <w:r w:rsidR="51A6A9CF" w:rsidRPr="00E14BA7">
        <w:t>for</w:t>
      </w:r>
      <w:r w:rsidR="00B10190">
        <w:t xml:space="preserve"> their</w:t>
      </w:r>
      <w:r w:rsidR="005B4D7D">
        <w:t xml:space="preserve"> progress</w:t>
      </w:r>
      <w:r w:rsidRPr="00D841E8">
        <w:t xml:space="preserve"> </w:t>
      </w:r>
      <w:r w:rsidR="1F8BDBF1" w:rsidRPr="00E14BA7">
        <w:t>audit</w:t>
      </w:r>
      <w:r w:rsidR="00B10190">
        <w:t xml:space="preserve"> to help measure progress against the </w:t>
      </w:r>
      <w:r w:rsidR="009F61F0">
        <w:t>seven gender equality indicators</w:t>
      </w:r>
      <w:r w:rsidRPr="00D841E8">
        <w:t>.</w:t>
      </w:r>
      <w:r w:rsidR="003E733A" w:rsidRPr="00D841E8">
        <w:t xml:space="preserve"> </w:t>
      </w:r>
      <w:r w:rsidR="003A1259">
        <w:t xml:space="preserve">Local </w:t>
      </w:r>
      <w:r w:rsidR="004C070A" w:rsidRPr="00D841E8">
        <w:t>c</w:t>
      </w:r>
      <w:r w:rsidRPr="00D841E8">
        <w:t>ouncils</w:t>
      </w:r>
      <w:r w:rsidR="003A1259">
        <w:t xml:space="preserve"> </w:t>
      </w:r>
      <w:r w:rsidRPr="00D841E8">
        <w:t xml:space="preserve">can </w:t>
      </w:r>
      <w:r w:rsidR="003A1259">
        <w:t>also opt</w:t>
      </w:r>
      <w:r w:rsidR="00C021EC">
        <w:t>-in to</w:t>
      </w:r>
      <w:r w:rsidR="00B56FAC">
        <w:t xml:space="preserve"> </w:t>
      </w:r>
      <w:r w:rsidRPr="00D841E8">
        <w:t xml:space="preserve">use the </w:t>
      </w:r>
      <w:r w:rsidR="7BABE6BA" w:rsidRPr="00E14BA7">
        <w:t>202</w:t>
      </w:r>
      <w:r w:rsidR="77DA2823" w:rsidRPr="00E14BA7">
        <w:t>3</w:t>
      </w:r>
      <w:r w:rsidR="004C070A" w:rsidRPr="00D841E8">
        <w:t xml:space="preserve"> </w:t>
      </w:r>
      <w:r w:rsidRPr="00D841E8">
        <w:t>People Matter Survey</w:t>
      </w:r>
      <w:r w:rsidR="004A0101">
        <w:t xml:space="preserve"> for local government</w:t>
      </w:r>
      <w:r w:rsidR="003E733A" w:rsidRPr="00D841E8">
        <w:t xml:space="preserve"> for a nominal fee</w:t>
      </w:r>
      <w:r w:rsidR="00E653C8">
        <w:t xml:space="preserve">. </w:t>
      </w:r>
    </w:p>
    <w:p w14:paraId="2E5830D6" w14:textId="26A8D74D" w:rsidR="00E653C8" w:rsidRDefault="00E653C8" w:rsidP="00BD7A75">
      <w:pPr>
        <w:pStyle w:val="Body"/>
      </w:pPr>
      <w:r w:rsidRPr="00D841E8">
        <w:t>The Victorian Public Sector Commission (VPSC)</w:t>
      </w:r>
      <w:r w:rsidR="00F35C24">
        <w:t>,</w:t>
      </w:r>
      <w:r w:rsidR="006C4B87">
        <w:t xml:space="preserve"> </w:t>
      </w:r>
      <w:r w:rsidR="00993AFE">
        <w:t>which</w:t>
      </w:r>
      <w:r w:rsidR="006C4B87">
        <w:t xml:space="preserve"> administers </w:t>
      </w:r>
      <w:r w:rsidR="00F35C24">
        <w:t xml:space="preserve">the </w:t>
      </w:r>
      <w:r w:rsidR="006C4B87" w:rsidRPr="00D841E8">
        <w:t xml:space="preserve">People </w:t>
      </w:r>
      <w:r w:rsidR="006C4B87">
        <w:t>m</w:t>
      </w:r>
      <w:r w:rsidR="006C4B87" w:rsidRPr="00D841E8">
        <w:t xml:space="preserve">atter </w:t>
      </w:r>
      <w:r w:rsidR="006C4B87">
        <w:t>s</w:t>
      </w:r>
      <w:r w:rsidR="006C4B87" w:rsidRPr="00D841E8">
        <w:t>urvey</w:t>
      </w:r>
      <w:r w:rsidR="00303DB0">
        <w:t>,</w:t>
      </w:r>
      <w:r w:rsidR="006C4B87" w:rsidRPr="00D841E8">
        <w:t xml:space="preserve"> </w:t>
      </w:r>
      <w:r w:rsidRPr="00D841E8">
        <w:t>applies strict rules to protect the privacy and anonymity of survey participants.</w:t>
      </w:r>
      <w:r w:rsidR="006C4B87">
        <w:t xml:space="preserve"> </w:t>
      </w:r>
      <w:r w:rsidR="006C4B87" w:rsidRPr="00D841E8">
        <w:t xml:space="preserve">CGEPS recommends using the VPSC’s </w:t>
      </w:r>
      <w:r w:rsidR="006C4B87" w:rsidRPr="00E14BA7">
        <w:t>2023</w:t>
      </w:r>
      <w:r w:rsidR="006C4B87" w:rsidRPr="00D841E8">
        <w:t xml:space="preserve"> People Matter Survey service</w:t>
      </w:r>
      <w:r w:rsidR="006C4B87">
        <w:t>,</w:t>
      </w:r>
      <w:r w:rsidR="006C4B87" w:rsidRPr="00D841E8">
        <w:t xml:space="preserve"> as it will provide your defined entity with the most complete data set with minimal financial and administrative burden. </w:t>
      </w:r>
    </w:p>
    <w:p w14:paraId="0C68A48E" w14:textId="1200F385" w:rsidR="004C070A" w:rsidRPr="00D841E8" w:rsidRDefault="005C043F" w:rsidP="00BD7A75">
      <w:pPr>
        <w:pStyle w:val="Body"/>
      </w:pPr>
      <w:r>
        <w:t>D</w:t>
      </w:r>
      <w:r w:rsidR="004B0ACF">
        <w:t>efined en</w:t>
      </w:r>
      <w:r w:rsidR="002D2660">
        <w:t>tities who</w:t>
      </w:r>
      <w:r w:rsidR="004A0101">
        <w:t xml:space="preserve"> do not wish to use the </w:t>
      </w:r>
      <w:r w:rsidR="004A0101" w:rsidRPr="00E14BA7">
        <w:t>2023</w:t>
      </w:r>
      <w:r w:rsidR="004A0101" w:rsidRPr="00D841E8">
        <w:t xml:space="preserve"> People Matter Survey</w:t>
      </w:r>
      <w:r w:rsidR="004A0101">
        <w:t xml:space="preserve"> or who do not have access to </w:t>
      </w:r>
      <w:r w:rsidR="00F92824">
        <w:t>it</w:t>
      </w:r>
      <w:r w:rsidR="00613E83" w:rsidRPr="00D841E8">
        <w:t xml:space="preserve"> </w:t>
      </w:r>
      <w:r w:rsidR="0077469D">
        <w:t>can</w:t>
      </w:r>
      <w:r w:rsidR="00613E83" w:rsidRPr="00D841E8">
        <w:t xml:space="preserve"> </w:t>
      </w:r>
      <w:r w:rsidR="003E733A" w:rsidRPr="00D841E8">
        <w:t xml:space="preserve">engage a third-party provider to administer </w:t>
      </w:r>
      <w:r w:rsidR="00DA52EE">
        <w:t>the</w:t>
      </w:r>
      <w:r w:rsidR="003E733A" w:rsidRPr="00D841E8">
        <w:t xml:space="preserve"> employee experience survey</w:t>
      </w:r>
      <w:r w:rsidR="0077469D">
        <w:t>.</w:t>
      </w:r>
      <w:r w:rsidR="00ED1BAF">
        <w:t xml:space="preserve"> </w:t>
      </w:r>
    </w:p>
    <w:p w14:paraId="6A14E7EE" w14:textId="0A9EC556" w:rsidR="001314CD" w:rsidRPr="00772FFA" w:rsidRDefault="00E13392" w:rsidP="0029299C">
      <w:pPr>
        <w:pStyle w:val="SubHeading1"/>
        <w:rPr>
          <w:b w:val="0"/>
          <w:sz w:val="22"/>
          <w:szCs w:val="22"/>
        </w:rPr>
      </w:pPr>
      <w:bookmarkStart w:id="3" w:name="_Toc131443304"/>
      <w:r w:rsidRPr="00772FFA">
        <w:rPr>
          <w:sz w:val="22"/>
          <w:szCs w:val="22"/>
        </w:rPr>
        <w:t>E</w:t>
      </w:r>
      <w:r w:rsidR="001314CD" w:rsidRPr="00772FFA">
        <w:rPr>
          <w:sz w:val="22"/>
          <w:szCs w:val="22"/>
        </w:rPr>
        <w:t>ngaging another third-party provider for data collection</w:t>
      </w:r>
      <w:bookmarkEnd w:id="3"/>
      <w:r w:rsidR="001314CD" w:rsidRPr="00772FFA">
        <w:rPr>
          <w:sz w:val="22"/>
          <w:szCs w:val="22"/>
        </w:rPr>
        <w:t xml:space="preserve"> </w:t>
      </w:r>
    </w:p>
    <w:p w14:paraId="768D52A2" w14:textId="613F18C1" w:rsidR="00292135" w:rsidRPr="00D841E8" w:rsidRDefault="00E13392" w:rsidP="00BD7A75">
      <w:pPr>
        <w:pStyle w:val="Body"/>
      </w:pPr>
      <w:r w:rsidRPr="00D841E8">
        <w:t xml:space="preserve">Your defined entity may select another third-party provider </w:t>
      </w:r>
      <w:r w:rsidR="70FD46A5" w:rsidRPr="00E14BA7">
        <w:t>to</w:t>
      </w:r>
      <w:r w:rsidR="00B978E0">
        <w:t xml:space="preserve"> collect your employee experience data</w:t>
      </w:r>
      <w:r w:rsidRPr="00D841E8">
        <w:t xml:space="preserve">. </w:t>
      </w:r>
      <w:r w:rsidR="00292135" w:rsidRPr="00D841E8">
        <w:t>The survey questions can either be run as a specific gender equality survey or be integrated into an existing employee experience survey.</w:t>
      </w:r>
    </w:p>
    <w:p w14:paraId="347E81BA" w14:textId="01EA0C07" w:rsidR="003E733A" w:rsidRPr="00D841E8" w:rsidRDefault="001314CD" w:rsidP="00E14BA7">
      <w:pPr>
        <w:pStyle w:val="Heading1"/>
      </w:pPr>
      <w:bookmarkStart w:id="4" w:name="_Toc131443314"/>
      <w:r w:rsidRPr="0027493F">
        <w:t>Privacy</w:t>
      </w:r>
      <w:r w:rsidRPr="00D841E8">
        <w:t xml:space="preserve"> and confidentiality</w:t>
      </w:r>
      <w:bookmarkEnd w:id="4"/>
    </w:p>
    <w:p w14:paraId="14A9B211" w14:textId="5FA8B040" w:rsidR="00D02729" w:rsidRDefault="00080144" w:rsidP="00BD7A75">
      <w:pPr>
        <w:pStyle w:val="Body"/>
      </w:pPr>
      <w:r>
        <w:t xml:space="preserve">We strongly recommend </w:t>
      </w:r>
      <w:r w:rsidR="00724EE5">
        <w:t xml:space="preserve">that </w:t>
      </w:r>
      <w:r>
        <w:t>you</w:t>
      </w:r>
      <w:r w:rsidR="00074169" w:rsidRPr="00D841E8">
        <w:t xml:space="preserve"> engage</w:t>
      </w:r>
      <w:r w:rsidR="007B150F" w:rsidRPr="00D841E8">
        <w:t xml:space="preserve"> </w:t>
      </w:r>
      <w:r w:rsidR="00074169" w:rsidRPr="00D841E8">
        <w:t>an</w:t>
      </w:r>
      <w:r w:rsidR="009A23C7" w:rsidRPr="00D841E8">
        <w:t xml:space="preserve"> external third-party provider to administer </w:t>
      </w:r>
      <w:r w:rsidR="003E733A" w:rsidRPr="00D841E8">
        <w:t xml:space="preserve">your </w:t>
      </w:r>
      <w:r w:rsidR="009A23C7" w:rsidRPr="00D841E8">
        <w:t>survey</w:t>
      </w:r>
      <w:r w:rsidR="001C6BB5" w:rsidRPr="00D841E8">
        <w:t>.</w:t>
      </w:r>
      <w:r w:rsidR="00A35C54">
        <w:t xml:space="preserve"> </w:t>
      </w:r>
      <w:r w:rsidR="00BC3F8C" w:rsidRPr="00D841E8">
        <w:t>This is because s</w:t>
      </w:r>
      <w:r w:rsidR="003C6EB2" w:rsidRPr="00D841E8">
        <w:t>ome of the demographic</w:t>
      </w:r>
      <w:r w:rsidR="009A23C7" w:rsidRPr="00D841E8">
        <w:t xml:space="preserve"> information</w:t>
      </w:r>
      <w:r w:rsidR="003C6EB2" w:rsidRPr="00D841E8">
        <w:t xml:space="preserve"> requested </w:t>
      </w:r>
      <w:r w:rsidR="009A23C7" w:rsidRPr="00D841E8">
        <w:t>is considered</w:t>
      </w:r>
      <w:r w:rsidR="003C6EB2" w:rsidRPr="00D841E8">
        <w:t xml:space="preserve"> sensitive information under the </w:t>
      </w:r>
      <w:r w:rsidR="00DA1A1D" w:rsidRPr="00DA1A1D">
        <w:t>PDP</w:t>
      </w:r>
      <w:r w:rsidR="007130CE">
        <w:t xml:space="preserve"> </w:t>
      </w:r>
      <w:r w:rsidR="00DA1A1D" w:rsidRPr="00DA1A1D">
        <w:t>A</w:t>
      </w:r>
      <w:r w:rsidR="007130CE">
        <w:t>ct</w:t>
      </w:r>
      <w:r w:rsidR="003C6EB2" w:rsidRPr="00D841E8">
        <w:t xml:space="preserve"> and</w:t>
      </w:r>
      <w:r w:rsidR="003C6EB2" w:rsidRPr="00D841E8">
        <w:rPr>
          <w:i/>
          <w:iCs/>
        </w:rPr>
        <w:t xml:space="preserve"> Privacy Act 1988</w:t>
      </w:r>
      <w:r w:rsidR="003C6EB2" w:rsidRPr="00D841E8">
        <w:t xml:space="preserve"> (</w:t>
      </w:r>
      <w:proofErr w:type="spellStart"/>
      <w:r w:rsidR="003C6EB2" w:rsidRPr="00D841E8">
        <w:t>Cth</w:t>
      </w:r>
      <w:proofErr w:type="spellEnd"/>
      <w:r w:rsidR="003C6EB2" w:rsidRPr="00D841E8">
        <w:t xml:space="preserve">), including </w:t>
      </w:r>
      <w:r w:rsidR="009A23C7" w:rsidRPr="00D841E8">
        <w:t>cultural identity</w:t>
      </w:r>
      <w:r w:rsidR="00906D90">
        <w:t xml:space="preserve"> </w:t>
      </w:r>
      <w:r w:rsidR="003C6EB2" w:rsidRPr="00D841E8">
        <w:t>and sexual orientation, and most other information would be considered personal information.</w:t>
      </w:r>
      <w:r w:rsidR="00906D90">
        <w:t xml:space="preserve"> Information about</w:t>
      </w:r>
      <w:r w:rsidR="00D52A5D" w:rsidDel="00E86EF5">
        <w:t xml:space="preserve"> </w:t>
      </w:r>
      <w:r w:rsidR="00D52A5D">
        <w:t>person</w:t>
      </w:r>
      <w:r w:rsidR="00E86EF5">
        <w:t>’s disability</w:t>
      </w:r>
      <w:r w:rsidR="00D52A5D">
        <w:t xml:space="preserve"> </w:t>
      </w:r>
      <w:r w:rsidR="00EF36B5">
        <w:t xml:space="preserve">is also considered health information </w:t>
      </w:r>
      <w:r w:rsidR="008A2BFE">
        <w:t xml:space="preserve">under </w:t>
      </w:r>
      <w:r w:rsidR="008A2BFE" w:rsidRPr="008A2BFE">
        <w:t xml:space="preserve">the </w:t>
      </w:r>
      <w:r w:rsidR="008A2BFE" w:rsidRPr="008A2BFE">
        <w:rPr>
          <w:i/>
          <w:iCs/>
        </w:rPr>
        <w:t>Health Records Act 2001</w:t>
      </w:r>
      <w:r w:rsidR="008A2BFE" w:rsidRPr="008A2BFE">
        <w:t xml:space="preserve"> (Vic)</w:t>
      </w:r>
      <w:r w:rsidR="00422EF9">
        <w:t>,</w:t>
      </w:r>
      <w:r w:rsidR="008A2BFE" w:rsidRPr="008A2BFE">
        <w:t xml:space="preserve"> and</w:t>
      </w:r>
      <w:r w:rsidR="008A2BFE">
        <w:t xml:space="preserve"> </w:t>
      </w:r>
      <w:r w:rsidR="00A53065">
        <w:t>therefore</w:t>
      </w:r>
      <w:r w:rsidR="008A2BFE" w:rsidRPr="008A2BFE">
        <w:t xml:space="preserve"> the Health Privacy Principles will apply to that information</w:t>
      </w:r>
      <w:r w:rsidR="008A2BFE">
        <w:t>.</w:t>
      </w:r>
      <w:r w:rsidR="00837867" w:rsidRPr="00D841E8">
        <w:t xml:space="preserve"> </w:t>
      </w:r>
      <w:r w:rsidR="00BC3F8C" w:rsidRPr="00D841E8">
        <w:t>In addition, o</w:t>
      </w:r>
      <w:r w:rsidR="00F41201" w:rsidRPr="00D841E8">
        <w:t xml:space="preserve">ther </w:t>
      </w:r>
      <w:r w:rsidR="000B4997" w:rsidRPr="00D841E8">
        <w:t xml:space="preserve">collected </w:t>
      </w:r>
      <w:r w:rsidR="00F41201" w:rsidRPr="00D841E8">
        <w:t>information</w:t>
      </w:r>
      <w:r w:rsidR="000B4997" w:rsidRPr="00D841E8">
        <w:t>,</w:t>
      </w:r>
      <w:r w:rsidR="00F41201" w:rsidRPr="00D841E8">
        <w:t xml:space="preserve"> such as reports of </w:t>
      </w:r>
      <w:r w:rsidR="00D86716" w:rsidRPr="00D841E8">
        <w:t>sexual harassment and bullying</w:t>
      </w:r>
      <w:r w:rsidR="000B4997" w:rsidRPr="00D841E8">
        <w:t>,</w:t>
      </w:r>
      <w:r w:rsidR="00D86716" w:rsidRPr="00D841E8">
        <w:t xml:space="preserve"> </w:t>
      </w:r>
      <w:r w:rsidR="00CD5C88" w:rsidRPr="00D841E8">
        <w:t xml:space="preserve">is </w:t>
      </w:r>
      <w:r w:rsidR="00D86716" w:rsidRPr="00D841E8">
        <w:t>extremely sensitive.</w:t>
      </w:r>
    </w:p>
    <w:p w14:paraId="7E27B6A2" w14:textId="155FEFE6" w:rsidR="001E0711" w:rsidRPr="00F1723D" w:rsidRDefault="001E0711" w:rsidP="00D841E8">
      <w:pPr>
        <w:pStyle w:val="Bullets1"/>
        <w:numPr>
          <w:ilvl w:val="0"/>
          <w:numId w:val="0"/>
        </w:numPr>
        <w:rPr>
          <w:rFonts w:ascii="VIC" w:hAnsi="VIC"/>
        </w:rPr>
      </w:pPr>
      <w:r w:rsidRPr="00C613DA">
        <w:rPr>
          <w:rFonts w:ascii="VIC" w:hAnsi="VIC"/>
        </w:rPr>
        <w:t>Employee participation in the employee survey should be voluntary</w:t>
      </w:r>
      <w:r w:rsidR="004704E0">
        <w:rPr>
          <w:rFonts w:ascii="VIC" w:hAnsi="VIC"/>
        </w:rPr>
        <w:t>,</w:t>
      </w:r>
      <w:r w:rsidR="00636553">
        <w:rPr>
          <w:rFonts w:ascii="VIC" w:hAnsi="VIC"/>
        </w:rPr>
        <w:t xml:space="preserve"> and a</w:t>
      </w:r>
      <w:r w:rsidR="00636553" w:rsidRPr="00636553">
        <w:rPr>
          <w:rFonts w:ascii="VIC" w:hAnsi="VIC"/>
        </w:rPr>
        <w:t>ll employees</w:t>
      </w:r>
      <w:r w:rsidR="00824081">
        <w:rPr>
          <w:rStyle w:val="FootnoteReference"/>
          <w:rFonts w:ascii="VIC" w:hAnsi="VIC"/>
        </w:rPr>
        <w:footnoteReference w:id="3"/>
      </w:r>
      <w:r w:rsidR="00636553" w:rsidRPr="00636553">
        <w:rPr>
          <w:rFonts w:ascii="VIC" w:hAnsi="VIC"/>
        </w:rPr>
        <w:t xml:space="preserve"> </w:t>
      </w:r>
      <w:r w:rsidR="00636553">
        <w:rPr>
          <w:rFonts w:ascii="VIC" w:hAnsi="VIC"/>
        </w:rPr>
        <w:t>should</w:t>
      </w:r>
      <w:r w:rsidR="00636553" w:rsidRPr="00636553">
        <w:rPr>
          <w:rFonts w:ascii="VIC" w:hAnsi="VIC"/>
        </w:rPr>
        <w:t xml:space="preserve"> be invited to</w:t>
      </w:r>
      <w:r w:rsidR="009F10F8">
        <w:rPr>
          <w:rFonts w:ascii="VIC" w:hAnsi="VIC"/>
        </w:rPr>
        <w:t xml:space="preserve"> participate </w:t>
      </w:r>
      <w:r w:rsidR="00636553" w:rsidRPr="00E14BA7">
        <w:rPr>
          <w:rFonts w:ascii="VIC" w:hAnsi="VIC"/>
        </w:rPr>
        <w:t>anonymous</w:t>
      </w:r>
      <w:r w:rsidR="004704E0" w:rsidRPr="00E14BA7">
        <w:rPr>
          <w:rFonts w:ascii="VIC" w:hAnsi="VIC"/>
        </w:rPr>
        <w:t>ly</w:t>
      </w:r>
      <w:r w:rsidR="00636553" w:rsidRPr="00636553">
        <w:rPr>
          <w:rFonts w:ascii="VIC" w:hAnsi="VIC"/>
        </w:rPr>
        <w:t>.</w:t>
      </w:r>
    </w:p>
    <w:p w14:paraId="2C8E579C" w14:textId="53A16D2A" w:rsidR="00240777" w:rsidRPr="00D841E8" w:rsidRDefault="008347AA" w:rsidP="006448ED">
      <w:pPr>
        <w:pStyle w:val="Heading4"/>
      </w:pPr>
      <w:r w:rsidRPr="00D841E8">
        <w:t>What sort of pri</w:t>
      </w:r>
      <w:r w:rsidR="003D1D35" w:rsidRPr="00D841E8">
        <w:t>vacy protocols</w:t>
      </w:r>
      <w:r w:rsidRPr="00D841E8">
        <w:t xml:space="preserve"> should be in place?</w:t>
      </w:r>
    </w:p>
    <w:p w14:paraId="4EB36FF2" w14:textId="406D7C84" w:rsidR="00925BD2" w:rsidRPr="00D841E8" w:rsidRDefault="00074169" w:rsidP="00BD7A75">
      <w:pPr>
        <w:pStyle w:val="Body"/>
      </w:pPr>
      <w:r w:rsidRPr="00D841E8">
        <w:t>It is essential that your third-party provider is familiar with laws affecting data collection and has robust data security systems in place</w:t>
      </w:r>
      <w:r w:rsidR="00DB3950" w:rsidRPr="00D841E8">
        <w:t>, including</w:t>
      </w:r>
      <w:r w:rsidR="00925BD2" w:rsidRPr="00D841E8">
        <w:t>:</w:t>
      </w:r>
    </w:p>
    <w:p w14:paraId="7BA72EEF" w14:textId="1302719C" w:rsidR="00937E83" w:rsidRPr="00E14BA7" w:rsidRDefault="00937E83" w:rsidP="00E328BC">
      <w:pPr>
        <w:pStyle w:val="Bullets1"/>
        <w:rPr>
          <w:rFonts w:ascii="VIC" w:hAnsi="VIC"/>
          <w:i/>
        </w:rPr>
      </w:pPr>
      <w:r w:rsidRPr="00D841E8">
        <w:rPr>
          <w:rFonts w:ascii="VIC" w:hAnsi="VIC"/>
        </w:rPr>
        <w:t>Ensur</w:t>
      </w:r>
      <w:r w:rsidR="00E844F2" w:rsidRPr="00D841E8">
        <w:rPr>
          <w:rFonts w:ascii="VIC" w:hAnsi="VIC"/>
        </w:rPr>
        <w:t>ing</w:t>
      </w:r>
      <w:r w:rsidRPr="00D841E8">
        <w:rPr>
          <w:rFonts w:ascii="VIC" w:hAnsi="VIC"/>
        </w:rPr>
        <w:t xml:space="preserve"> that your data collection </w:t>
      </w:r>
      <w:r w:rsidR="00BF5178" w:rsidRPr="00D841E8">
        <w:rPr>
          <w:rFonts w:ascii="VIC" w:hAnsi="VIC"/>
        </w:rPr>
        <w:t>complies with</w:t>
      </w:r>
      <w:r w:rsidR="00DA1A1D">
        <w:rPr>
          <w:rFonts w:ascii="VIC" w:hAnsi="VIC"/>
        </w:rPr>
        <w:t xml:space="preserve"> </w:t>
      </w:r>
      <w:r w:rsidR="008B65D4" w:rsidRPr="00D841E8">
        <w:rPr>
          <w:rFonts w:ascii="VIC" w:hAnsi="VIC"/>
        </w:rPr>
        <w:t>IPP</w:t>
      </w:r>
      <w:r w:rsidR="00DA1A1D">
        <w:rPr>
          <w:rFonts w:ascii="VIC" w:hAnsi="VIC"/>
        </w:rPr>
        <w:t>s</w:t>
      </w:r>
      <w:r w:rsidR="008B65D4" w:rsidRPr="00D841E8">
        <w:rPr>
          <w:rFonts w:ascii="VIC" w:hAnsi="VIC"/>
        </w:rPr>
        <w:t xml:space="preserve"> found in</w:t>
      </w:r>
      <w:r w:rsidR="00BF5178" w:rsidRPr="00D841E8">
        <w:rPr>
          <w:rFonts w:ascii="VIC" w:hAnsi="VIC"/>
        </w:rPr>
        <w:t xml:space="preserve"> the </w:t>
      </w:r>
      <w:r w:rsidR="00DA1A1D" w:rsidRPr="00DA1A1D">
        <w:rPr>
          <w:rFonts w:ascii="VIC" w:hAnsi="VIC"/>
        </w:rPr>
        <w:t>PDP</w:t>
      </w:r>
      <w:r w:rsidR="007130CE">
        <w:rPr>
          <w:rFonts w:ascii="VIC" w:hAnsi="VIC"/>
        </w:rPr>
        <w:t xml:space="preserve"> </w:t>
      </w:r>
      <w:r w:rsidR="00DA1A1D" w:rsidRPr="00DA1A1D">
        <w:rPr>
          <w:rFonts w:ascii="VIC" w:hAnsi="VIC"/>
        </w:rPr>
        <w:t>A</w:t>
      </w:r>
      <w:r w:rsidR="007130CE">
        <w:rPr>
          <w:rFonts w:ascii="VIC" w:hAnsi="VIC"/>
        </w:rPr>
        <w:t>ct</w:t>
      </w:r>
      <w:r w:rsidR="00BF5178" w:rsidRPr="00D841E8">
        <w:rPr>
          <w:rFonts w:ascii="VIC" w:hAnsi="VIC"/>
        </w:rPr>
        <w:t xml:space="preserve"> and Australian Privacy Principles</w:t>
      </w:r>
      <w:r w:rsidR="00F061F4" w:rsidRPr="00D841E8">
        <w:rPr>
          <w:rFonts w:ascii="VIC" w:hAnsi="VIC"/>
        </w:rPr>
        <w:t xml:space="preserve"> (APP)</w:t>
      </w:r>
      <w:r w:rsidR="00BF5178" w:rsidRPr="00D841E8">
        <w:rPr>
          <w:rFonts w:ascii="VIC" w:hAnsi="VIC"/>
        </w:rPr>
        <w:t xml:space="preserve"> found in the</w:t>
      </w:r>
      <w:r w:rsidR="00BF5178" w:rsidRPr="00D841E8">
        <w:rPr>
          <w:rFonts w:ascii="VIC" w:hAnsi="VIC"/>
          <w:i/>
          <w:iCs/>
        </w:rPr>
        <w:t xml:space="preserve"> Privacy Act 1988</w:t>
      </w:r>
      <w:r w:rsidR="00BF5178" w:rsidRPr="00D841E8">
        <w:rPr>
          <w:rFonts w:ascii="VIC" w:hAnsi="VIC"/>
        </w:rPr>
        <w:t xml:space="preserve"> (</w:t>
      </w:r>
      <w:proofErr w:type="spellStart"/>
      <w:r w:rsidR="00BF5178" w:rsidRPr="00D841E8">
        <w:rPr>
          <w:rFonts w:ascii="VIC" w:hAnsi="VIC"/>
        </w:rPr>
        <w:t>Cth</w:t>
      </w:r>
      <w:proofErr w:type="spellEnd"/>
      <w:r w:rsidR="00BF5178" w:rsidRPr="00D841E8">
        <w:rPr>
          <w:rFonts w:ascii="VIC" w:hAnsi="VIC"/>
        </w:rPr>
        <w:t>).</w:t>
      </w:r>
      <w:r w:rsidR="008B65D4" w:rsidRPr="00D841E8">
        <w:rPr>
          <w:rFonts w:ascii="VIC" w:hAnsi="VIC"/>
        </w:rPr>
        <w:t xml:space="preserve"> For more on the IPPs, see </w:t>
      </w:r>
      <w:hyperlink r:id="rId13" w:history="1">
        <w:r w:rsidR="008B65D4" w:rsidRPr="00D841E8">
          <w:rPr>
            <w:rStyle w:val="Hyperlink"/>
            <w:rFonts w:ascii="VIC" w:hAnsi="VIC"/>
          </w:rPr>
          <w:t>https://ovic.vic.gov.au/</w:t>
        </w:r>
        <w:r w:rsidR="008B65D4" w:rsidRPr="00D841E8">
          <w:rPr>
            <w:rStyle w:val="Hyperlink"/>
            <w:rFonts w:ascii="Times New Roman" w:hAnsi="Times New Roman"/>
          </w:rPr>
          <w:t>‌</w:t>
        </w:r>
        <w:r w:rsidR="008B65D4" w:rsidRPr="00D841E8">
          <w:rPr>
            <w:rStyle w:val="Hyperlink"/>
            <w:rFonts w:ascii="VIC" w:hAnsi="VIC"/>
          </w:rPr>
          <w:t>privacy/</w:t>
        </w:r>
        <w:r w:rsidR="008B65D4" w:rsidRPr="00D841E8">
          <w:rPr>
            <w:rStyle w:val="Hyperlink"/>
            <w:rFonts w:ascii="Times New Roman" w:hAnsi="Times New Roman"/>
          </w:rPr>
          <w:t>‌</w:t>
        </w:r>
        <w:r w:rsidR="008B65D4" w:rsidRPr="00D841E8">
          <w:rPr>
            <w:rStyle w:val="Hyperlink"/>
            <w:rFonts w:ascii="VIC" w:hAnsi="VIC"/>
          </w:rPr>
          <w:t>for-agencies/information-privacy-principles/</w:t>
        </w:r>
      </w:hyperlink>
      <w:r w:rsidR="008B65D4" w:rsidRPr="00D841E8">
        <w:rPr>
          <w:rFonts w:ascii="VIC" w:hAnsi="VIC"/>
        </w:rPr>
        <w:t xml:space="preserve">. For more on the APPs, see </w:t>
      </w:r>
      <w:hyperlink r:id="rId14" w:history="1">
        <w:r w:rsidR="00407873" w:rsidRPr="00D841E8">
          <w:rPr>
            <w:rStyle w:val="Hyperlink"/>
            <w:rFonts w:ascii="VIC" w:hAnsi="VIC"/>
          </w:rPr>
          <w:t>www.oaic.gov.au/privacy/australian-privacy-principles-guidelines/</w:t>
        </w:r>
      </w:hyperlink>
      <w:r w:rsidR="008B65D4" w:rsidRPr="00D841E8">
        <w:rPr>
          <w:rFonts w:ascii="VIC" w:hAnsi="VIC"/>
        </w:rPr>
        <w:t xml:space="preserve">. </w:t>
      </w:r>
      <w:r w:rsidR="00B61DA2" w:rsidRPr="00D841E8">
        <w:rPr>
          <w:rFonts w:ascii="VIC" w:hAnsi="VIC"/>
        </w:rPr>
        <w:t>When choosing data collection</w:t>
      </w:r>
      <w:r w:rsidR="00D60485" w:rsidRPr="00D841E8">
        <w:rPr>
          <w:rFonts w:ascii="VIC" w:hAnsi="VIC"/>
        </w:rPr>
        <w:t xml:space="preserve"> and storage</w:t>
      </w:r>
      <w:r w:rsidR="00B61DA2" w:rsidRPr="00D841E8">
        <w:rPr>
          <w:rFonts w:ascii="VIC" w:hAnsi="VIC"/>
        </w:rPr>
        <w:t xml:space="preserve"> systems, you should </w:t>
      </w:r>
      <w:r w:rsidR="00F061F4" w:rsidRPr="00D841E8">
        <w:rPr>
          <w:rFonts w:ascii="VIC" w:hAnsi="VIC"/>
        </w:rPr>
        <w:t xml:space="preserve">either </w:t>
      </w:r>
      <w:r w:rsidR="00B61DA2" w:rsidRPr="00D841E8">
        <w:rPr>
          <w:rFonts w:ascii="VIC" w:hAnsi="VIC"/>
        </w:rPr>
        <w:t>ensure that your data remain in Australia at all time</w:t>
      </w:r>
      <w:r w:rsidR="00F061F4" w:rsidRPr="00D841E8">
        <w:rPr>
          <w:rFonts w:ascii="VIC" w:hAnsi="VIC"/>
        </w:rPr>
        <w:t>s or that you make appropriate disclosures (see APP 8</w:t>
      </w:r>
      <w:r w:rsidR="008B65D4" w:rsidRPr="00D841E8">
        <w:rPr>
          <w:rFonts w:ascii="VIC" w:hAnsi="VIC"/>
        </w:rPr>
        <w:t xml:space="preserve"> and IPP 9</w:t>
      </w:r>
      <w:r w:rsidR="00F061F4" w:rsidRPr="00D841E8">
        <w:rPr>
          <w:rFonts w:ascii="VIC" w:hAnsi="VIC"/>
        </w:rPr>
        <w:t>)</w:t>
      </w:r>
      <w:r w:rsidR="00B61DA2" w:rsidRPr="00D841E8">
        <w:rPr>
          <w:rFonts w:ascii="VIC" w:hAnsi="VIC"/>
        </w:rPr>
        <w:t>.</w:t>
      </w:r>
    </w:p>
    <w:p w14:paraId="40ADFAC9" w14:textId="11A3B63F" w:rsidR="002153D4" w:rsidRPr="002153D4" w:rsidRDefault="002153D4" w:rsidP="002153D4">
      <w:pPr>
        <w:pStyle w:val="Bullets1"/>
        <w:rPr>
          <w:rFonts w:ascii="VIC" w:hAnsi="VIC"/>
          <w:i/>
          <w:iCs/>
        </w:rPr>
      </w:pPr>
      <w:r w:rsidRPr="00E14BA7">
        <w:rPr>
          <w:rFonts w:ascii="VIC" w:hAnsi="VIC"/>
        </w:rPr>
        <w:t>Ensuring that you seek appropriate guidance</w:t>
      </w:r>
      <w:r w:rsidR="00217BB9">
        <w:rPr>
          <w:rFonts w:ascii="VIC" w:hAnsi="VIC"/>
        </w:rPr>
        <w:t xml:space="preserve"> to</w:t>
      </w:r>
      <w:r w:rsidRPr="002153D4">
        <w:rPr>
          <w:rFonts w:ascii="VIC" w:hAnsi="VIC"/>
          <w:i/>
          <w:iCs/>
        </w:rPr>
        <w:t xml:space="preserve"> </w:t>
      </w:r>
      <w:r w:rsidRPr="00E14BA7">
        <w:rPr>
          <w:rFonts w:ascii="VIC" w:hAnsi="VIC"/>
        </w:rPr>
        <w:t>meet your organisation’s privacy and confidentiality requirements and comply with enterprise agreements, workplace determinations and modern awards.</w:t>
      </w:r>
    </w:p>
    <w:p w14:paraId="49E1C0D3" w14:textId="25DD37E9" w:rsidR="00925BD2" w:rsidRPr="00D03E80" w:rsidRDefault="001B686B" w:rsidP="00E328BC">
      <w:pPr>
        <w:pStyle w:val="Bullets1"/>
        <w:rPr>
          <w:rFonts w:ascii="VIC" w:hAnsi="VIC"/>
          <w:i/>
          <w:iCs/>
        </w:rPr>
      </w:pPr>
      <w:r w:rsidRPr="00D841E8">
        <w:rPr>
          <w:rFonts w:ascii="VIC" w:hAnsi="VIC"/>
        </w:rPr>
        <w:t>Ensur</w:t>
      </w:r>
      <w:r w:rsidR="00E844F2" w:rsidRPr="00D841E8">
        <w:rPr>
          <w:rFonts w:ascii="VIC" w:hAnsi="VIC"/>
        </w:rPr>
        <w:t>ing</w:t>
      </w:r>
      <w:r w:rsidRPr="00D841E8">
        <w:rPr>
          <w:rFonts w:ascii="VIC" w:hAnsi="VIC"/>
        </w:rPr>
        <w:t xml:space="preserve"> that access to survey systems and identifiable data </w:t>
      </w:r>
      <w:r w:rsidR="00D70E89">
        <w:rPr>
          <w:rFonts w:ascii="VIC" w:hAnsi="VIC"/>
        </w:rPr>
        <w:t>is</w:t>
      </w:r>
      <w:r w:rsidR="00D70E89" w:rsidRPr="00D841E8">
        <w:rPr>
          <w:rFonts w:ascii="VIC" w:hAnsi="VIC"/>
        </w:rPr>
        <w:t xml:space="preserve"> </w:t>
      </w:r>
      <w:r w:rsidRPr="00D841E8">
        <w:rPr>
          <w:rFonts w:ascii="VIC" w:hAnsi="VIC"/>
        </w:rPr>
        <w:t>restricted to authorised staff</w:t>
      </w:r>
      <w:r w:rsidR="00A63AAA" w:rsidRPr="00D841E8">
        <w:rPr>
          <w:rFonts w:ascii="VIC" w:hAnsi="VIC"/>
        </w:rPr>
        <w:t>,</w:t>
      </w:r>
      <w:r w:rsidRPr="00D841E8">
        <w:rPr>
          <w:rFonts w:ascii="VIC" w:hAnsi="VIC"/>
        </w:rPr>
        <w:t xml:space="preserve"> </w:t>
      </w:r>
      <w:r w:rsidR="00A63AAA" w:rsidRPr="00D841E8">
        <w:rPr>
          <w:rFonts w:ascii="VIC" w:hAnsi="VIC"/>
        </w:rPr>
        <w:t>where the minimum number of staff possible are provided access</w:t>
      </w:r>
      <w:r w:rsidR="002153D4">
        <w:rPr>
          <w:rFonts w:ascii="VIC" w:hAnsi="VIC"/>
        </w:rPr>
        <w:t>.</w:t>
      </w:r>
    </w:p>
    <w:p w14:paraId="1C643A3B" w14:textId="32B69FDD" w:rsidR="00D03E80" w:rsidRPr="00D841E8" w:rsidRDefault="00D03E80" w:rsidP="00E328BC">
      <w:pPr>
        <w:pStyle w:val="Bullets1"/>
        <w:rPr>
          <w:rFonts w:ascii="VIC" w:hAnsi="VIC"/>
          <w:i/>
          <w:iCs/>
        </w:rPr>
      </w:pPr>
      <w:r>
        <w:rPr>
          <w:rFonts w:ascii="VIC" w:hAnsi="VIC"/>
        </w:rPr>
        <w:t xml:space="preserve">If your third-party provider offers a </w:t>
      </w:r>
      <w:r w:rsidR="009A33D3">
        <w:rPr>
          <w:rFonts w:ascii="VIC" w:hAnsi="VIC"/>
        </w:rPr>
        <w:t>paper-based survey completion method</w:t>
      </w:r>
      <w:r w:rsidR="00030E7F">
        <w:rPr>
          <w:rFonts w:ascii="VIC" w:hAnsi="VIC"/>
        </w:rPr>
        <w:t xml:space="preserve">, </w:t>
      </w:r>
      <w:r w:rsidR="00D94F5B">
        <w:rPr>
          <w:rFonts w:ascii="VIC" w:hAnsi="VIC"/>
        </w:rPr>
        <w:t xml:space="preserve">ensure </w:t>
      </w:r>
      <w:r w:rsidR="00433C85">
        <w:rPr>
          <w:rFonts w:ascii="VIC" w:hAnsi="VIC"/>
        </w:rPr>
        <w:t xml:space="preserve">that </w:t>
      </w:r>
      <w:r w:rsidR="00B0158B">
        <w:rPr>
          <w:rFonts w:ascii="VIC" w:hAnsi="VIC"/>
        </w:rPr>
        <w:t xml:space="preserve">completed surveys are handled </w:t>
      </w:r>
      <w:r w:rsidR="007509F6">
        <w:rPr>
          <w:rFonts w:ascii="VIC" w:hAnsi="VIC"/>
        </w:rPr>
        <w:t>extremely carefully</w:t>
      </w:r>
      <w:r w:rsidR="00354EA6">
        <w:rPr>
          <w:rFonts w:ascii="VIC" w:hAnsi="VIC"/>
        </w:rPr>
        <w:t xml:space="preserve">, </w:t>
      </w:r>
      <w:proofErr w:type="gramStart"/>
      <w:r w:rsidR="00354EA6">
        <w:rPr>
          <w:rFonts w:ascii="VIC" w:hAnsi="VIC"/>
        </w:rPr>
        <w:t>e.g.</w:t>
      </w:r>
      <w:proofErr w:type="gramEnd"/>
      <w:r w:rsidR="00354EA6">
        <w:rPr>
          <w:rFonts w:ascii="VIC" w:hAnsi="VIC"/>
        </w:rPr>
        <w:t xml:space="preserve"> deposited by respondents into a secure box that is only accessed by the third-party provider</w:t>
      </w:r>
      <w:r w:rsidR="002153D4">
        <w:rPr>
          <w:rFonts w:ascii="VIC" w:hAnsi="VIC"/>
        </w:rPr>
        <w:t>.</w:t>
      </w:r>
    </w:p>
    <w:p w14:paraId="2235F655" w14:textId="1420E360" w:rsidR="009A703A" w:rsidRPr="00B764D1" w:rsidRDefault="001B686B" w:rsidP="00E328BC">
      <w:pPr>
        <w:pStyle w:val="Bullets1"/>
        <w:rPr>
          <w:rFonts w:ascii="VIC" w:hAnsi="VIC"/>
          <w:i/>
          <w:iCs/>
        </w:rPr>
      </w:pPr>
      <w:r w:rsidRPr="00D841E8">
        <w:rPr>
          <w:rFonts w:ascii="VIC" w:hAnsi="VIC"/>
        </w:rPr>
        <w:t>De-identify</w:t>
      </w:r>
      <w:r w:rsidR="00E844F2" w:rsidRPr="00D841E8">
        <w:rPr>
          <w:rFonts w:ascii="VIC" w:hAnsi="VIC"/>
        </w:rPr>
        <w:t>ing</w:t>
      </w:r>
      <w:r w:rsidRPr="00D841E8">
        <w:rPr>
          <w:rFonts w:ascii="VIC" w:hAnsi="VIC"/>
        </w:rPr>
        <w:t xml:space="preserve"> data</w:t>
      </w:r>
      <w:r w:rsidR="003255E8" w:rsidRPr="00D841E8">
        <w:rPr>
          <w:rFonts w:ascii="VIC" w:hAnsi="VIC"/>
        </w:rPr>
        <w:t xml:space="preserve"> and delet</w:t>
      </w:r>
      <w:r w:rsidR="00E844F2" w:rsidRPr="00D841E8">
        <w:rPr>
          <w:rFonts w:ascii="VIC" w:hAnsi="VIC"/>
        </w:rPr>
        <w:t>ing</w:t>
      </w:r>
      <w:r w:rsidR="003255E8" w:rsidRPr="00D841E8">
        <w:rPr>
          <w:rFonts w:ascii="VIC" w:hAnsi="VIC"/>
        </w:rPr>
        <w:t xml:space="preserve"> identifiable data</w:t>
      </w:r>
      <w:r w:rsidRPr="00D841E8">
        <w:rPr>
          <w:rFonts w:ascii="VIC" w:hAnsi="VIC"/>
        </w:rPr>
        <w:t xml:space="preserve"> </w:t>
      </w:r>
      <w:r w:rsidR="00A63AAA" w:rsidRPr="00D841E8">
        <w:rPr>
          <w:rFonts w:ascii="VIC" w:hAnsi="VIC"/>
        </w:rPr>
        <w:t>as soon as feasible</w:t>
      </w:r>
      <w:r w:rsidR="00754299" w:rsidRPr="00D841E8">
        <w:rPr>
          <w:rFonts w:ascii="VIC" w:hAnsi="VIC"/>
        </w:rPr>
        <w:t xml:space="preserve">, including on </w:t>
      </w:r>
      <w:r w:rsidR="00FF7CBC" w:rsidRPr="00E14BA7">
        <w:rPr>
          <w:rFonts w:ascii="VIC" w:hAnsi="VIC"/>
        </w:rPr>
        <w:t>backup</w:t>
      </w:r>
      <w:r w:rsidR="00525064" w:rsidRPr="00D841E8">
        <w:rPr>
          <w:rFonts w:ascii="VIC" w:hAnsi="VIC"/>
        </w:rPr>
        <w:t xml:space="preserve"> systems</w:t>
      </w:r>
      <w:r w:rsidR="00A63AAA" w:rsidRPr="00D841E8">
        <w:rPr>
          <w:rFonts w:ascii="VIC" w:hAnsi="VIC"/>
        </w:rPr>
        <w:t>.</w:t>
      </w:r>
      <w:r w:rsidR="003255E8" w:rsidRPr="00D841E8">
        <w:rPr>
          <w:rFonts w:ascii="VIC" w:hAnsi="VIC"/>
        </w:rPr>
        <w:t xml:space="preserve"> </w:t>
      </w:r>
      <w:r w:rsidR="00C760BE" w:rsidRPr="00E14BA7">
        <w:rPr>
          <w:rFonts w:ascii="VIC" w:hAnsi="VIC"/>
        </w:rPr>
        <w:t>De</w:t>
      </w:r>
      <w:r w:rsidR="00C760BE">
        <w:rPr>
          <w:rFonts w:ascii="VIC" w:hAnsi="VIC"/>
        </w:rPr>
        <w:t>-identification</w:t>
      </w:r>
      <w:r w:rsidR="003255E8" w:rsidRPr="00D841E8">
        <w:rPr>
          <w:rFonts w:ascii="VIC" w:hAnsi="VIC"/>
        </w:rPr>
        <w:t xml:space="preserve"> is not as simple as removing direct identifiers</w:t>
      </w:r>
      <w:r w:rsidR="00FF7CBC">
        <w:rPr>
          <w:rFonts w:ascii="VIC" w:hAnsi="VIC"/>
        </w:rPr>
        <w:t>,</w:t>
      </w:r>
      <w:r w:rsidR="003255E8" w:rsidRPr="00D841E8">
        <w:rPr>
          <w:rFonts w:ascii="VIC" w:hAnsi="VIC"/>
        </w:rPr>
        <w:t xml:space="preserve"> as it may be possible to identify staff based on indirect identifiers, such as a combination of responses to questions</w:t>
      </w:r>
      <w:r w:rsidR="002153D4">
        <w:rPr>
          <w:rFonts w:ascii="VIC" w:hAnsi="VIC"/>
        </w:rPr>
        <w:t>.</w:t>
      </w:r>
    </w:p>
    <w:p w14:paraId="2F51E049" w14:textId="77777777" w:rsidR="00B764D1" w:rsidRPr="00B764D1" w:rsidRDefault="00B764D1" w:rsidP="00B764D1">
      <w:pPr>
        <w:pStyle w:val="Bullets1"/>
        <w:numPr>
          <w:ilvl w:val="0"/>
          <w:numId w:val="0"/>
        </w:numPr>
        <w:ind w:left="426"/>
        <w:rPr>
          <w:rFonts w:ascii="VIC" w:hAnsi="VIC"/>
          <w:i/>
          <w:iCs/>
        </w:rPr>
      </w:pPr>
    </w:p>
    <w:p w14:paraId="4585E01B" w14:textId="77777777" w:rsidR="00743015" w:rsidRDefault="00B764D1" w:rsidP="00BD7A75">
      <w:pPr>
        <w:pStyle w:val="Body"/>
      </w:pPr>
      <w:r w:rsidRPr="00B764D1">
        <w:t xml:space="preserve">We recommend that the agreement between </w:t>
      </w:r>
      <w:r>
        <w:t>you and your</w:t>
      </w:r>
      <w:r w:rsidRPr="00B764D1">
        <w:t xml:space="preserve"> third</w:t>
      </w:r>
      <w:r>
        <w:t>-</w:t>
      </w:r>
      <w:r w:rsidRPr="00B764D1">
        <w:t>party provider include</w:t>
      </w:r>
      <w:r w:rsidR="00B26C31">
        <w:t>s</w:t>
      </w:r>
      <w:r w:rsidRPr="00B764D1">
        <w:t xml:space="preserve"> contractual obligations for the provider to comply with the PDP</w:t>
      </w:r>
      <w:r w:rsidR="007130CE">
        <w:t xml:space="preserve"> </w:t>
      </w:r>
      <w:r w:rsidRPr="00B764D1">
        <w:t>A</w:t>
      </w:r>
      <w:r w:rsidR="007130CE">
        <w:t>ct</w:t>
      </w:r>
      <w:r w:rsidRPr="00B764D1">
        <w:t xml:space="preserve"> and to maintain secure systems. </w:t>
      </w:r>
    </w:p>
    <w:p w14:paraId="0EE6F35F" w14:textId="77777777" w:rsidR="00743015" w:rsidRPr="00743015" w:rsidRDefault="00743015" w:rsidP="006448ED">
      <w:pPr>
        <w:pStyle w:val="Heading4"/>
      </w:pPr>
      <w:r w:rsidRPr="00743015">
        <w:t>Privacy collection statement</w:t>
      </w:r>
    </w:p>
    <w:p w14:paraId="2117F86B" w14:textId="4C20A820" w:rsidR="00C97661" w:rsidRPr="00C97661" w:rsidRDefault="00785B6C" w:rsidP="00BD7A75">
      <w:pPr>
        <w:pStyle w:val="Body"/>
      </w:pPr>
      <w:r>
        <w:t>You must include a privacy collection statement</w:t>
      </w:r>
      <w:r w:rsidR="00F814FC">
        <w:t xml:space="preserve"> in the survey</w:t>
      </w:r>
      <w:r w:rsidR="00E966A9">
        <w:t xml:space="preserve">. </w:t>
      </w:r>
      <w:r w:rsidR="00F814FC">
        <w:t>IPP 1.3</w:t>
      </w:r>
      <w:r w:rsidR="00C97661" w:rsidRPr="00C97661">
        <w:t xml:space="preserve"> </w:t>
      </w:r>
      <w:r w:rsidR="00177AFD">
        <w:t>states</w:t>
      </w:r>
      <w:r w:rsidR="00CC6DF8">
        <w:t xml:space="preserve"> that</w:t>
      </w:r>
      <w:r w:rsidR="00C97661" w:rsidRPr="00C97661">
        <w:t xml:space="preserve"> </w:t>
      </w:r>
      <w:r w:rsidR="00D709F4">
        <w:t xml:space="preserve">when collecting </w:t>
      </w:r>
      <w:r w:rsidR="00C97661" w:rsidRPr="00C97661">
        <w:t>personal information about an individual from the individual</w:t>
      </w:r>
      <w:r w:rsidR="00D709F4">
        <w:t>, an organisation must</w:t>
      </w:r>
      <w:r w:rsidR="00C97661" w:rsidRPr="00C97661">
        <w:t xml:space="preserve"> take reasonable steps to ensure the individual is aware of </w:t>
      </w:r>
      <w:r w:rsidR="000A444D">
        <w:t>matters</w:t>
      </w:r>
      <w:r w:rsidR="00C97661" w:rsidRPr="00C97661">
        <w:t xml:space="preserve"> including: </w:t>
      </w:r>
    </w:p>
    <w:p w14:paraId="2FA1F5D7" w14:textId="3C0EFB1F" w:rsidR="00C97661" w:rsidRPr="00C97661" w:rsidRDefault="00C97661" w:rsidP="00E328BC">
      <w:pPr>
        <w:pStyle w:val="Bullets1"/>
        <w:rPr>
          <w:rFonts w:ascii="VIC" w:hAnsi="VIC"/>
        </w:rPr>
      </w:pPr>
      <w:r w:rsidRPr="00C97661">
        <w:rPr>
          <w:rFonts w:ascii="VIC" w:hAnsi="VIC"/>
        </w:rPr>
        <w:t>the identity of the organisation and how to contact it</w:t>
      </w:r>
    </w:p>
    <w:p w14:paraId="73611231" w14:textId="4CBFA374" w:rsidR="00C97661" w:rsidRPr="00C97661" w:rsidRDefault="00C97661" w:rsidP="00E328BC">
      <w:pPr>
        <w:pStyle w:val="Bullets1"/>
        <w:rPr>
          <w:rFonts w:ascii="VIC" w:hAnsi="VIC"/>
        </w:rPr>
      </w:pPr>
      <w:r w:rsidRPr="00C97661">
        <w:rPr>
          <w:rFonts w:ascii="VIC" w:hAnsi="VIC"/>
        </w:rPr>
        <w:t xml:space="preserve">the fact that the individual </w:t>
      </w:r>
      <w:r w:rsidR="00FF7CBC" w:rsidRPr="00E14BA7">
        <w:rPr>
          <w:rFonts w:ascii="VIC" w:hAnsi="VIC"/>
        </w:rPr>
        <w:t>can</w:t>
      </w:r>
      <w:r w:rsidRPr="00C97661">
        <w:rPr>
          <w:rFonts w:ascii="VIC" w:hAnsi="VIC"/>
        </w:rPr>
        <w:t xml:space="preserve"> gain access to the information</w:t>
      </w:r>
    </w:p>
    <w:p w14:paraId="6E03E0E0" w14:textId="05944A68" w:rsidR="00C97661" w:rsidRPr="00C97661" w:rsidRDefault="00C97661" w:rsidP="00E328BC">
      <w:pPr>
        <w:pStyle w:val="Bullets1"/>
        <w:rPr>
          <w:rFonts w:ascii="VIC" w:hAnsi="VIC"/>
        </w:rPr>
      </w:pPr>
      <w:r w:rsidRPr="00C97661">
        <w:rPr>
          <w:rFonts w:ascii="VIC" w:hAnsi="VIC"/>
        </w:rPr>
        <w:t>the purposes for which the information is collected</w:t>
      </w:r>
    </w:p>
    <w:p w14:paraId="25D6F3FA" w14:textId="6DB2EC07" w:rsidR="00C97661" w:rsidRPr="00C97661" w:rsidRDefault="00C97661" w:rsidP="00E328BC">
      <w:pPr>
        <w:pStyle w:val="Bullets1"/>
        <w:rPr>
          <w:rFonts w:ascii="VIC" w:hAnsi="VIC"/>
        </w:rPr>
      </w:pPr>
      <w:r w:rsidRPr="00C97661">
        <w:rPr>
          <w:rFonts w:ascii="VIC" w:hAnsi="VIC"/>
        </w:rPr>
        <w:t>to whom (or the types of individuals or organisations to which) the organisation usually discloses information of that kind</w:t>
      </w:r>
    </w:p>
    <w:p w14:paraId="425A8860" w14:textId="39DEC56C" w:rsidR="00C97661" w:rsidRPr="00C97661" w:rsidRDefault="00C97661" w:rsidP="00E328BC">
      <w:pPr>
        <w:pStyle w:val="Bullets1"/>
        <w:rPr>
          <w:rFonts w:ascii="VIC" w:hAnsi="VIC"/>
        </w:rPr>
      </w:pPr>
      <w:r w:rsidRPr="00C97661">
        <w:rPr>
          <w:rFonts w:ascii="VIC" w:hAnsi="VIC"/>
        </w:rPr>
        <w:t>any law that requires the particular information to be collected</w:t>
      </w:r>
    </w:p>
    <w:p w14:paraId="2FFF3F4F" w14:textId="560FA63C" w:rsidR="000A444D" w:rsidRDefault="00C97661" w:rsidP="00E328BC">
      <w:pPr>
        <w:pStyle w:val="Bullets1"/>
        <w:rPr>
          <w:rFonts w:ascii="VIC" w:hAnsi="VIC"/>
        </w:rPr>
      </w:pPr>
      <w:r w:rsidRPr="00C97661">
        <w:rPr>
          <w:rFonts w:ascii="VIC" w:hAnsi="VIC"/>
        </w:rPr>
        <w:t>the main consequences (if any) for the individual if all or part of the information is not provided.</w:t>
      </w:r>
    </w:p>
    <w:p w14:paraId="316928B6" w14:textId="77777777" w:rsidR="000A444D" w:rsidRDefault="000A444D" w:rsidP="000A444D">
      <w:pPr>
        <w:pStyle w:val="Bullets1"/>
        <w:numPr>
          <w:ilvl w:val="0"/>
          <w:numId w:val="0"/>
        </w:numPr>
        <w:ind w:left="426"/>
        <w:rPr>
          <w:rFonts w:ascii="VIC" w:hAnsi="VIC"/>
        </w:rPr>
      </w:pPr>
    </w:p>
    <w:p w14:paraId="72B67170" w14:textId="1343906B" w:rsidR="00926A6D" w:rsidRPr="000A444D" w:rsidRDefault="000C1CD7" w:rsidP="00E14BA7">
      <w:pPr>
        <w:pStyle w:val="AppendixHeading"/>
      </w:pPr>
      <w:bookmarkStart w:id="5" w:name="_Toc131443315"/>
      <w:r w:rsidRPr="00E14BA7">
        <w:rPr>
          <w:sz w:val="22"/>
          <w:szCs w:val="22"/>
        </w:rPr>
        <w:t>Protecting confidentiality</w:t>
      </w:r>
      <w:r w:rsidR="0094663E" w:rsidRPr="000A444D">
        <w:rPr>
          <w:bCs/>
          <w:iCs/>
          <w:sz w:val="22"/>
        </w:rPr>
        <w:t xml:space="preserve"> by de-identifying survey results</w:t>
      </w:r>
      <w:bookmarkEnd w:id="5"/>
    </w:p>
    <w:p w14:paraId="036FEF8A" w14:textId="17035044" w:rsidR="000C1CD7" w:rsidRDefault="006D1F75" w:rsidP="00BD7A75">
      <w:pPr>
        <w:pStyle w:val="Body"/>
      </w:pPr>
      <w:r w:rsidRPr="00D841E8">
        <w:t xml:space="preserve">Because individuals can be identified from </w:t>
      </w:r>
      <w:r w:rsidR="000F30F4" w:rsidRPr="00D841E8">
        <w:t xml:space="preserve">tables of </w:t>
      </w:r>
      <w:r w:rsidR="00F65A58" w:rsidRPr="00D841E8">
        <w:t>dat</w:t>
      </w:r>
      <w:r w:rsidR="00DB3950" w:rsidRPr="00D841E8">
        <w:t>a</w:t>
      </w:r>
      <w:r w:rsidR="00074169" w:rsidRPr="00D841E8">
        <w:rPr>
          <w:rStyle w:val="FootnoteReference"/>
        </w:rPr>
        <w:footnoteReference w:id="4"/>
      </w:r>
      <w:r w:rsidRPr="00D841E8">
        <w:t>, t</w:t>
      </w:r>
      <w:r w:rsidR="00570583" w:rsidRPr="00D841E8">
        <w:t>o protect the confidentiality of staff</w:t>
      </w:r>
      <w:r w:rsidR="00FF7CBC">
        <w:t>,</w:t>
      </w:r>
      <w:r w:rsidR="00570583" w:rsidRPr="00D841E8">
        <w:t xml:space="preserve"> it is</w:t>
      </w:r>
      <w:r w:rsidR="00FB277E" w:rsidRPr="00D841E8">
        <w:t xml:space="preserve"> essential that</w:t>
      </w:r>
      <w:r w:rsidR="00570583" w:rsidRPr="00D841E8">
        <w:t xml:space="preserve"> your </w:t>
      </w:r>
      <w:r w:rsidR="00DB3950" w:rsidRPr="00D841E8">
        <w:t>third-party provider</w:t>
      </w:r>
      <w:r w:rsidR="00B135D9" w:rsidRPr="00D841E8">
        <w:t xml:space="preserve"> </w:t>
      </w:r>
      <w:r w:rsidR="00FB277E" w:rsidRPr="00D841E8">
        <w:t>applies stron</w:t>
      </w:r>
      <w:r w:rsidR="001C6BB5" w:rsidRPr="00D841E8">
        <w:t xml:space="preserve">g privacy controls </w:t>
      </w:r>
      <w:r w:rsidR="00FB277E" w:rsidRPr="00D841E8">
        <w:t xml:space="preserve">during the </w:t>
      </w:r>
      <w:r w:rsidR="001C6BB5" w:rsidRPr="00D841E8">
        <w:t xml:space="preserve">survey and </w:t>
      </w:r>
      <w:r w:rsidR="00FB277E" w:rsidRPr="00D841E8">
        <w:t xml:space="preserve">in </w:t>
      </w:r>
      <w:r w:rsidR="001C6BB5" w:rsidRPr="00D841E8">
        <w:t>reporting o</w:t>
      </w:r>
      <w:r w:rsidR="00FB277E" w:rsidRPr="00D841E8">
        <w:t>n</w:t>
      </w:r>
      <w:r w:rsidR="001C6BB5" w:rsidRPr="00D841E8">
        <w:t xml:space="preserve"> the survey data</w:t>
      </w:r>
      <w:r w:rsidR="005D1571" w:rsidRPr="00654D7A">
        <w:t>.</w:t>
      </w:r>
    </w:p>
    <w:p w14:paraId="4FF84063" w14:textId="1B405B2A" w:rsidR="00EB3B38" w:rsidRPr="00E14BA7" w:rsidRDefault="00EB3B38" w:rsidP="00E14BA7">
      <w:pPr>
        <w:pStyle w:val="AppendixHeading"/>
        <w:rPr>
          <w:sz w:val="22"/>
          <w:szCs w:val="22"/>
        </w:rPr>
      </w:pPr>
      <w:bookmarkStart w:id="6" w:name="_Toc131443316"/>
      <w:r w:rsidRPr="00E14BA7">
        <w:rPr>
          <w:sz w:val="22"/>
          <w:szCs w:val="22"/>
        </w:rPr>
        <w:t>Aggregated results for demographic groups</w:t>
      </w:r>
      <w:bookmarkEnd w:id="6"/>
    </w:p>
    <w:p w14:paraId="1A0D9811" w14:textId="6EEE8137" w:rsidR="00364326" w:rsidRDefault="00612AE9" w:rsidP="00BD7A75">
      <w:pPr>
        <w:pStyle w:val="Body"/>
      </w:pPr>
      <w:r>
        <w:t>You</w:t>
      </w:r>
      <w:r w:rsidR="00560623">
        <w:t>r third</w:t>
      </w:r>
      <w:r w:rsidR="00654D7A">
        <w:t>-</w:t>
      </w:r>
      <w:r w:rsidR="00560623">
        <w:t>party provider should only provide</w:t>
      </w:r>
      <w:r w:rsidR="00654D7A">
        <w:t xml:space="preserve"> </w:t>
      </w:r>
      <w:r w:rsidR="00364326">
        <w:t>aggregated employee experience results for demographic groups</w:t>
      </w:r>
      <w:r w:rsidR="00654D7A">
        <w:t xml:space="preserve"> (</w:t>
      </w:r>
      <w:proofErr w:type="gramStart"/>
      <w:r w:rsidR="00654D7A">
        <w:t>e.g.</w:t>
      </w:r>
      <w:proofErr w:type="gramEnd"/>
      <w:r w:rsidR="00654D7A">
        <w:t xml:space="preserve"> </w:t>
      </w:r>
      <w:r w:rsidR="00EA18E7">
        <w:t xml:space="preserve">women or men who </w:t>
      </w:r>
      <w:r w:rsidR="000D64CD">
        <w:t>have a disability</w:t>
      </w:r>
      <w:r w:rsidR="00EA18E7">
        <w:t xml:space="preserve">) </w:t>
      </w:r>
      <w:r w:rsidR="00654D7A">
        <w:t>if the following conditions are met:</w:t>
      </w:r>
    </w:p>
    <w:p w14:paraId="168F8B36" w14:textId="553352C2" w:rsidR="00364326" w:rsidRPr="00D841E8" w:rsidRDefault="00364326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 xml:space="preserve">the survey </w:t>
      </w:r>
      <w:r w:rsidR="00643C67">
        <w:rPr>
          <w:rFonts w:ascii="VIC" w:hAnsi="VIC"/>
        </w:rPr>
        <w:t>has</w:t>
      </w:r>
      <w:r w:rsidRPr="00D841E8">
        <w:rPr>
          <w:rFonts w:ascii="VIC" w:hAnsi="VIC"/>
        </w:rPr>
        <w:t xml:space="preserve"> a total of 30 or more respondents </w:t>
      </w:r>
    </w:p>
    <w:p w14:paraId="1BDC5197" w14:textId="7778786F" w:rsidR="00364326" w:rsidRPr="00D841E8" w:rsidRDefault="00364326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 xml:space="preserve">the demographic group </w:t>
      </w:r>
      <w:r w:rsidR="00643C67">
        <w:rPr>
          <w:rFonts w:ascii="VIC" w:hAnsi="VIC"/>
        </w:rPr>
        <w:t>has</w:t>
      </w:r>
      <w:r w:rsidRPr="00D841E8">
        <w:rPr>
          <w:rFonts w:ascii="VIC" w:hAnsi="VIC"/>
        </w:rPr>
        <w:t xml:space="preserve"> 10 or more respondents</w:t>
      </w:r>
    </w:p>
    <w:p w14:paraId="6E32BF75" w14:textId="13845E18" w:rsidR="00364326" w:rsidRPr="00D841E8" w:rsidRDefault="00364326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 xml:space="preserve">no more than 2 demographic variables </w:t>
      </w:r>
      <w:r w:rsidR="00643C67">
        <w:rPr>
          <w:rFonts w:ascii="VIC" w:hAnsi="VIC"/>
        </w:rPr>
        <w:t xml:space="preserve">are </w:t>
      </w:r>
      <w:r w:rsidRPr="00D841E8">
        <w:rPr>
          <w:rFonts w:ascii="VIC" w:hAnsi="VIC"/>
        </w:rPr>
        <w:t>used to create a demographic group</w:t>
      </w:r>
      <w:r w:rsidR="00447A52">
        <w:rPr>
          <w:rFonts w:ascii="VIC" w:hAnsi="VIC"/>
        </w:rPr>
        <w:t xml:space="preserve">. </w:t>
      </w:r>
      <w:r w:rsidR="00E917F7">
        <w:rPr>
          <w:rFonts w:ascii="VIC" w:hAnsi="VIC"/>
        </w:rPr>
        <w:t>For example,</w:t>
      </w:r>
      <w:r w:rsidRPr="00D841E8">
        <w:rPr>
          <w:rFonts w:ascii="VIC" w:hAnsi="VIC"/>
        </w:rPr>
        <w:t xml:space="preserve"> </w:t>
      </w:r>
      <w:r w:rsidR="002A371F">
        <w:rPr>
          <w:rFonts w:ascii="VIC" w:hAnsi="VIC"/>
        </w:rPr>
        <w:t xml:space="preserve">combining </w:t>
      </w:r>
      <w:r w:rsidRPr="00D841E8">
        <w:rPr>
          <w:rFonts w:ascii="VIC" w:hAnsi="VIC"/>
        </w:rPr>
        <w:t>gender and age</w:t>
      </w:r>
      <w:r w:rsidR="00DC685A">
        <w:rPr>
          <w:rFonts w:ascii="VIC" w:hAnsi="VIC"/>
        </w:rPr>
        <w:t xml:space="preserve"> is acceptable, but combining gender, age</w:t>
      </w:r>
      <w:r w:rsidR="00C728F2">
        <w:rPr>
          <w:rFonts w:ascii="VIC" w:hAnsi="VIC"/>
        </w:rPr>
        <w:t>,</w:t>
      </w:r>
      <w:r w:rsidR="00DC685A">
        <w:rPr>
          <w:rFonts w:ascii="VIC" w:hAnsi="VIC"/>
        </w:rPr>
        <w:t xml:space="preserve"> and </w:t>
      </w:r>
      <w:r w:rsidR="004D5939">
        <w:rPr>
          <w:rFonts w:ascii="VIC" w:hAnsi="VIC"/>
        </w:rPr>
        <w:t>disability is not</w:t>
      </w:r>
    </w:p>
    <w:p w14:paraId="2BE7CEC9" w14:textId="4EE00048" w:rsidR="00364326" w:rsidRPr="00D841E8" w:rsidRDefault="00364326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 xml:space="preserve">results for a demographic group </w:t>
      </w:r>
      <w:r w:rsidR="00F5378E">
        <w:rPr>
          <w:rFonts w:ascii="VIC" w:hAnsi="VIC"/>
        </w:rPr>
        <w:t>should not be provided</w:t>
      </w:r>
      <w:r w:rsidRPr="00D841E8">
        <w:rPr>
          <w:rFonts w:ascii="VIC" w:hAnsi="VIC"/>
        </w:rPr>
        <w:t xml:space="preserve"> if they can be used to reveal the results of a suppressed group</w:t>
      </w:r>
      <w:r w:rsidR="00E917F7">
        <w:rPr>
          <w:rFonts w:ascii="VIC" w:hAnsi="VIC"/>
        </w:rPr>
        <w:t xml:space="preserve"> (</w:t>
      </w:r>
      <w:proofErr w:type="gramStart"/>
      <w:r w:rsidR="00E917F7">
        <w:rPr>
          <w:rFonts w:ascii="VIC" w:hAnsi="VIC"/>
        </w:rPr>
        <w:t>i.e.</w:t>
      </w:r>
      <w:proofErr w:type="gramEnd"/>
      <w:r w:rsidR="00E917F7">
        <w:rPr>
          <w:rFonts w:ascii="VIC" w:hAnsi="VIC"/>
        </w:rPr>
        <w:t xml:space="preserve"> that has fewer than 10 respondents)</w:t>
      </w:r>
      <w:r w:rsidRPr="00D841E8">
        <w:rPr>
          <w:rFonts w:ascii="VIC" w:hAnsi="VIC"/>
        </w:rPr>
        <w:t>. For example, the</w:t>
      </w:r>
      <w:r w:rsidR="004D5939">
        <w:rPr>
          <w:rFonts w:ascii="VIC" w:hAnsi="VIC"/>
        </w:rPr>
        <w:t xml:space="preserve"> </w:t>
      </w:r>
      <w:r w:rsidR="0016078B">
        <w:rPr>
          <w:rFonts w:ascii="VIC" w:hAnsi="VIC"/>
        </w:rPr>
        <w:t>aggregated results</w:t>
      </w:r>
      <w:r w:rsidR="004D5939">
        <w:rPr>
          <w:rFonts w:ascii="VIC" w:hAnsi="VIC"/>
        </w:rPr>
        <w:t xml:space="preserve"> of</w:t>
      </w:r>
      <w:r w:rsidRPr="00D841E8">
        <w:rPr>
          <w:rFonts w:ascii="VIC" w:hAnsi="VIC"/>
        </w:rPr>
        <w:t xml:space="preserve"> non-</w:t>
      </w:r>
      <w:r w:rsidR="0016078B">
        <w:rPr>
          <w:rFonts w:ascii="VIC" w:hAnsi="VIC"/>
        </w:rPr>
        <w:t>A</w:t>
      </w:r>
      <w:r w:rsidRPr="00D841E8">
        <w:rPr>
          <w:rFonts w:ascii="VIC" w:hAnsi="VIC"/>
        </w:rPr>
        <w:t xml:space="preserve">boriginal </w:t>
      </w:r>
      <w:r w:rsidR="0016078B">
        <w:rPr>
          <w:rFonts w:ascii="VIC" w:hAnsi="VIC"/>
        </w:rPr>
        <w:t>respondents</w:t>
      </w:r>
      <w:r w:rsidRPr="00D841E8">
        <w:rPr>
          <w:rFonts w:ascii="VIC" w:hAnsi="VIC"/>
        </w:rPr>
        <w:t xml:space="preserve"> should </w:t>
      </w:r>
      <w:r w:rsidR="0016078B">
        <w:rPr>
          <w:rFonts w:ascii="VIC" w:hAnsi="VIC"/>
        </w:rPr>
        <w:t xml:space="preserve">not </w:t>
      </w:r>
      <w:r w:rsidRPr="00D841E8">
        <w:rPr>
          <w:rFonts w:ascii="VIC" w:hAnsi="VIC"/>
        </w:rPr>
        <w:t xml:space="preserve">be </w:t>
      </w:r>
      <w:r w:rsidR="0016078B">
        <w:rPr>
          <w:rFonts w:ascii="VIC" w:hAnsi="VIC"/>
        </w:rPr>
        <w:t>provided</w:t>
      </w:r>
      <w:r w:rsidRPr="00D841E8">
        <w:rPr>
          <w:rFonts w:ascii="VIC" w:hAnsi="VIC"/>
        </w:rPr>
        <w:t xml:space="preserve"> if there are </w:t>
      </w:r>
      <w:r w:rsidR="0016078B">
        <w:rPr>
          <w:rFonts w:ascii="VIC" w:hAnsi="VIC"/>
        </w:rPr>
        <w:t>fewer</w:t>
      </w:r>
      <w:r w:rsidRPr="00D841E8">
        <w:rPr>
          <w:rFonts w:ascii="VIC" w:hAnsi="VIC"/>
        </w:rPr>
        <w:t xml:space="preserve"> than 10 </w:t>
      </w:r>
      <w:r w:rsidR="0016078B">
        <w:rPr>
          <w:rFonts w:ascii="VIC" w:hAnsi="VIC"/>
        </w:rPr>
        <w:t>A</w:t>
      </w:r>
      <w:r w:rsidRPr="00D841E8">
        <w:rPr>
          <w:rFonts w:ascii="VIC" w:hAnsi="VIC"/>
        </w:rPr>
        <w:t xml:space="preserve">boriginal </w:t>
      </w:r>
      <w:r w:rsidR="0016078B">
        <w:rPr>
          <w:rFonts w:ascii="VIC" w:hAnsi="VIC"/>
        </w:rPr>
        <w:t>respon</w:t>
      </w:r>
      <w:r w:rsidR="00355A99">
        <w:rPr>
          <w:rFonts w:ascii="VIC" w:hAnsi="VIC"/>
        </w:rPr>
        <w:t>dents</w:t>
      </w:r>
    </w:p>
    <w:p w14:paraId="709928D6" w14:textId="132A35EE" w:rsidR="002C1F45" w:rsidRPr="002C1F45" w:rsidRDefault="00364326" w:rsidP="00772FFA">
      <w:pPr>
        <w:pStyle w:val="Bullets1"/>
        <w:spacing w:after="120"/>
        <w:rPr>
          <w:rFonts w:ascii="VIC" w:hAnsi="VIC"/>
          <w:b/>
          <w:bCs/>
          <w:i/>
          <w:iCs/>
          <w:color w:val="7030A0"/>
        </w:rPr>
      </w:pPr>
      <w:r w:rsidRPr="002C1F45">
        <w:rPr>
          <w:rFonts w:ascii="VIC" w:hAnsi="VIC"/>
        </w:rPr>
        <w:t xml:space="preserve">demographic group results </w:t>
      </w:r>
      <w:r w:rsidR="007431C8">
        <w:rPr>
          <w:rFonts w:ascii="VIC" w:hAnsi="VIC"/>
        </w:rPr>
        <w:t>should only</w:t>
      </w:r>
      <w:r w:rsidR="007431C8" w:rsidRPr="002C1F45">
        <w:rPr>
          <w:rFonts w:ascii="VIC" w:hAnsi="VIC"/>
        </w:rPr>
        <w:t xml:space="preserve"> </w:t>
      </w:r>
      <w:r w:rsidRPr="002C1F45">
        <w:rPr>
          <w:rFonts w:ascii="VIC" w:hAnsi="VIC"/>
        </w:rPr>
        <w:t xml:space="preserve">be viewed at a </w:t>
      </w:r>
      <w:r w:rsidR="007431C8">
        <w:rPr>
          <w:rFonts w:ascii="VIC" w:hAnsi="VIC"/>
        </w:rPr>
        <w:t>sub-</w:t>
      </w:r>
      <w:r w:rsidRPr="002C1F45">
        <w:rPr>
          <w:rFonts w:ascii="VIC" w:hAnsi="VIC"/>
        </w:rPr>
        <w:t xml:space="preserve">organisation level </w:t>
      </w:r>
      <w:r w:rsidR="007431C8">
        <w:rPr>
          <w:rFonts w:ascii="VIC" w:hAnsi="VIC"/>
        </w:rPr>
        <w:t>where there are 30 or more responses</w:t>
      </w:r>
      <w:r w:rsidR="00E01CDA" w:rsidRPr="002C1F45">
        <w:rPr>
          <w:rFonts w:ascii="VIC" w:hAnsi="VIC"/>
        </w:rPr>
        <w:t>. For example,</w:t>
      </w:r>
      <w:r w:rsidRPr="002C1F45">
        <w:rPr>
          <w:rFonts w:ascii="VIC" w:hAnsi="VIC"/>
        </w:rPr>
        <w:t xml:space="preserve"> </w:t>
      </w:r>
      <w:r w:rsidR="002E131C">
        <w:rPr>
          <w:rFonts w:ascii="VIC" w:hAnsi="VIC"/>
        </w:rPr>
        <w:t xml:space="preserve">demographic </w:t>
      </w:r>
      <w:r w:rsidR="00085512">
        <w:rPr>
          <w:rFonts w:ascii="VIC" w:hAnsi="VIC"/>
        </w:rPr>
        <w:t xml:space="preserve">results should </w:t>
      </w:r>
      <w:r w:rsidRPr="002C1F45">
        <w:rPr>
          <w:rFonts w:ascii="VIC" w:hAnsi="VIC"/>
        </w:rPr>
        <w:t>not</w:t>
      </w:r>
      <w:r w:rsidR="00085512">
        <w:rPr>
          <w:rFonts w:ascii="VIC" w:hAnsi="VIC"/>
        </w:rPr>
        <w:t xml:space="preserve"> be</w:t>
      </w:r>
      <w:r w:rsidRPr="002C1F45">
        <w:rPr>
          <w:rFonts w:ascii="VIC" w:hAnsi="VIC"/>
        </w:rPr>
        <w:t xml:space="preserve"> provided for work groups within an organisation (</w:t>
      </w:r>
      <w:proofErr w:type="gramStart"/>
      <w:r w:rsidR="00A22CCF">
        <w:rPr>
          <w:rFonts w:ascii="VIC" w:hAnsi="VIC"/>
        </w:rPr>
        <w:t>i</w:t>
      </w:r>
      <w:r w:rsidR="00E01CDA" w:rsidRPr="002C1F45">
        <w:rPr>
          <w:rFonts w:ascii="VIC" w:hAnsi="VIC"/>
        </w:rPr>
        <w:t>.e.</w:t>
      </w:r>
      <w:proofErr w:type="gramEnd"/>
      <w:r w:rsidRPr="002C1F45">
        <w:rPr>
          <w:rFonts w:ascii="VIC" w:hAnsi="VIC"/>
        </w:rPr>
        <w:t xml:space="preserve"> for divisions, teams, units) and not </w:t>
      </w:r>
      <w:r w:rsidR="00085512">
        <w:rPr>
          <w:rFonts w:ascii="VIC" w:hAnsi="VIC"/>
        </w:rPr>
        <w:t xml:space="preserve">be </w:t>
      </w:r>
      <w:r w:rsidRPr="002C1F45">
        <w:rPr>
          <w:rFonts w:ascii="VIC" w:hAnsi="VIC"/>
        </w:rPr>
        <w:t>provide</w:t>
      </w:r>
      <w:r w:rsidR="007C7607" w:rsidRPr="002C1F45">
        <w:rPr>
          <w:rFonts w:ascii="VIC" w:hAnsi="VIC"/>
        </w:rPr>
        <w:t>d</w:t>
      </w:r>
      <w:r w:rsidRPr="002C1F45">
        <w:rPr>
          <w:rFonts w:ascii="VIC" w:hAnsi="VIC"/>
        </w:rPr>
        <w:t xml:space="preserve"> for other workplace identifiers such as questions on occupation</w:t>
      </w:r>
      <w:r w:rsidR="00085512">
        <w:rPr>
          <w:rFonts w:ascii="VIC" w:hAnsi="VIC"/>
        </w:rPr>
        <w:t>,</w:t>
      </w:r>
      <w:r w:rsidR="00AF5B8D">
        <w:rPr>
          <w:rFonts w:ascii="VIC" w:hAnsi="VIC"/>
        </w:rPr>
        <w:t xml:space="preserve"> where there are fewer than 30 responses</w:t>
      </w:r>
      <w:r w:rsidR="004075C1">
        <w:rPr>
          <w:rFonts w:ascii="VIC" w:hAnsi="VIC"/>
        </w:rPr>
        <w:t xml:space="preserve"> in that work group</w:t>
      </w:r>
      <w:r w:rsidR="00E01CDA" w:rsidRPr="002C1F45">
        <w:rPr>
          <w:rFonts w:ascii="VIC" w:hAnsi="VIC"/>
        </w:rPr>
        <w:t>.</w:t>
      </w:r>
    </w:p>
    <w:p w14:paraId="30C87CFA" w14:textId="36583294" w:rsidR="00362495" w:rsidRPr="002C1F45" w:rsidRDefault="00362495" w:rsidP="002C1F45">
      <w:pPr>
        <w:pStyle w:val="Bullets1"/>
        <w:numPr>
          <w:ilvl w:val="0"/>
          <w:numId w:val="0"/>
        </w:numPr>
        <w:spacing w:before="120" w:after="120"/>
        <w:rPr>
          <w:rFonts w:ascii="VIC" w:hAnsi="VIC"/>
          <w:b/>
          <w:bCs/>
          <w:i/>
          <w:iCs/>
          <w:color w:val="7030A0"/>
        </w:rPr>
      </w:pPr>
      <w:r w:rsidRPr="002C1F45">
        <w:rPr>
          <w:rFonts w:ascii="VIC" w:hAnsi="VIC"/>
          <w:b/>
          <w:bCs/>
          <w:i/>
          <w:iCs/>
          <w:color w:val="7030A0"/>
        </w:rPr>
        <w:t>Particularly sensitive questions</w:t>
      </w:r>
    </w:p>
    <w:p w14:paraId="26D37510" w14:textId="5EB1C50F" w:rsidR="00364326" w:rsidRPr="00D841E8" w:rsidRDefault="00362495" w:rsidP="00BD7A75">
      <w:pPr>
        <w:pStyle w:val="Body"/>
      </w:pPr>
      <w:r>
        <w:t>R</w:t>
      </w:r>
      <w:r w:rsidR="00364326" w:rsidRPr="00D841E8">
        <w:t>esults for questions asked only of those who experienced bullying, discrimination or sexual</w:t>
      </w:r>
      <w:r>
        <w:t xml:space="preserve"> </w:t>
      </w:r>
      <w:r w:rsidR="00364326" w:rsidRPr="00D841E8">
        <w:t>harassment should be:</w:t>
      </w:r>
    </w:p>
    <w:p w14:paraId="193EB9C3" w14:textId="472FD30C" w:rsidR="00364326" w:rsidRPr="00D841E8" w:rsidRDefault="00364326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>excluded from all demographic group reporting</w:t>
      </w:r>
      <w:r w:rsidR="003864E8">
        <w:rPr>
          <w:rFonts w:ascii="VIC" w:hAnsi="VIC"/>
        </w:rPr>
        <w:t xml:space="preserve"> beyond gender</w:t>
      </w:r>
    </w:p>
    <w:p w14:paraId="1669243E" w14:textId="155886BC" w:rsidR="00364326" w:rsidRPr="00F1723D" w:rsidRDefault="00364326" w:rsidP="00E328BC">
      <w:pPr>
        <w:pStyle w:val="Bullets1"/>
        <w:rPr>
          <w:rFonts w:ascii="VIC" w:hAnsi="VIC"/>
          <w:lang w:eastAsia="en-AU"/>
        </w:rPr>
      </w:pPr>
      <w:r w:rsidRPr="00D841E8">
        <w:rPr>
          <w:rFonts w:ascii="VIC" w:hAnsi="VIC"/>
        </w:rPr>
        <w:t xml:space="preserve">only provided </w:t>
      </w:r>
      <w:r w:rsidR="007402FB">
        <w:rPr>
          <w:rFonts w:ascii="VIC" w:hAnsi="VIC"/>
        </w:rPr>
        <w:t>to</w:t>
      </w:r>
      <w:r w:rsidRPr="00D841E8">
        <w:rPr>
          <w:rFonts w:ascii="VIC" w:hAnsi="VIC"/>
        </w:rPr>
        <w:t xml:space="preserve"> </w:t>
      </w:r>
      <w:r w:rsidR="007402FB">
        <w:rPr>
          <w:rFonts w:ascii="VIC" w:hAnsi="VIC"/>
        </w:rPr>
        <w:t>the</w:t>
      </w:r>
      <w:r w:rsidRPr="00D841E8">
        <w:rPr>
          <w:rFonts w:ascii="VIC" w:hAnsi="VIC"/>
        </w:rPr>
        <w:t xml:space="preserve"> </w:t>
      </w:r>
      <w:r w:rsidR="007402FB">
        <w:rPr>
          <w:rFonts w:ascii="VIC" w:hAnsi="VIC"/>
        </w:rPr>
        <w:t>defined entity</w:t>
      </w:r>
      <w:r w:rsidRPr="00D841E8">
        <w:rPr>
          <w:rFonts w:ascii="VIC" w:hAnsi="VIC"/>
        </w:rPr>
        <w:t xml:space="preserve"> if 10 or more people experienced the behaviour</w:t>
      </w:r>
      <w:r w:rsidR="00BD6C8C">
        <w:rPr>
          <w:rFonts w:ascii="VIC" w:hAnsi="VIC"/>
        </w:rPr>
        <w:t>.</w:t>
      </w:r>
    </w:p>
    <w:p w14:paraId="67F1C4A6" w14:textId="77777777" w:rsidR="00364326" w:rsidRPr="007C7607" w:rsidRDefault="00364326" w:rsidP="00D841E8">
      <w:pPr>
        <w:pStyle w:val="Bullets1"/>
        <w:numPr>
          <w:ilvl w:val="0"/>
          <w:numId w:val="0"/>
        </w:numPr>
        <w:ind w:left="850"/>
        <w:rPr>
          <w:rFonts w:ascii="VIC" w:hAnsi="VIC"/>
        </w:rPr>
      </w:pPr>
    </w:p>
    <w:p w14:paraId="76023B39" w14:textId="718302B9" w:rsidR="00FB0E77" w:rsidRDefault="00522D49" w:rsidP="00BD7A75">
      <w:pPr>
        <w:pStyle w:val="Body"/>
      </w:pPr>
      <w:r w:rsidRPr="00D841E8">
        <w:t>Voluntary free-text comments</w:t>
      </w:r>
      <w:r w:rsidR="00980AE0" w:rsidRPr="00D841E8">
        <w:t xml:space="preserve"> should be provided to </w:t>
      </w:r>
      <w:r w:rsidR="00DC720B">
        <w:t>defined entities</w:t>
      </w:r>
      <w:r w:rsidR="00DC720B" w:rsidRPr="00D841E8">
        <w:t xml:space="preserve"> </w:t>
      </w:r>
      <w:r w:rsidRPr="00D841E8">
        <w:t>in a separate report with no other identifying information.</w:t>
      </w:r>
      <w:r w:rsidR="00980AE0" w:rsidRPr="00D841E8">
        <w:t xml:space="preserve"> </w:t>
      </w:r>
      <w:r w:rsidR="00945851" w:rsidRPr="00D841E8">
        <w:t>We</w:t>
      </w:r>
      <w:r w:rsidR="00980AE0" w:rsidRPr="00D841E8">
        <w:t xml:space="preserve"> </w:t>
      </w:r>
      <w:r w:rsidR="00D02729" w:rsidRPr="00D841E8">
        <w:t>strongly recommend</w:t>
      </w:r>
      <w:r w:rsidR="00980AE0" w:rsidRPr="00D841E8">
        <w:t xml:space="preserve"> that you</w:t>
      </w:r>
      <w:r w:rsidR="00945851" w:rsidRPr="00D841E8">
        <w:t xml:space="preserve"> require your third-party provider</w:t>
      </w:r>
      <w:r w:rsidR="00980AE0" w:rsidRPr="00D841E8">
        <w:t xml:space="preserve"> </w:t>
      </w:r>
      <w:r w:rsidR="00E04B72" w:rsidRPr="00D841E8">
        <w:t xml:space="preserve">to </w:t>
      </w:r>
      <w:r w:rsidR="006A2BF8" w:rsidRPr="00D841E8">
        <w:t>check the free-text comments for potentially identifying details (</w:t>
      </w:r>
      <w:r w:rsidR="00DB3950" w:rsidRPr="00D841E8">
        <w:t xml:space="preserve">for example, </w:t>
      </w:r>
      <w:r w:rsidR="006A2BF8" w:rsidRPr="00D841E8">
        <w:t>names or dates) and remove them before providing you with the results.</w:t>
      </w:r>
      <w:r w:rsidR="007D7C7B" w:rsidRPr="00D841E8">
        <w:t xml:space="preserve"> </w:t>
      </w:r>
      <w:r w:rsidR="00D368B1" w:rsidRPr="00D841E8">
        <w:t>We</w:t>
      </w:r>
      <w:r w:rsidR="007D7C7B" w:rsidRPr="00D841E8">
        <w:t xml:space="preserve"> also</w:t>
      </w:r>
      <w:r w:rsidR="00D02729" w:rsidRPr="00D841E8">
        <w:t xml:space="preserve"> strongly recommend </w:t>
      </w:r>
      <w:r w:rsidR="007917A1" w:rsidRPr="00E14BA7">
        <w:t>securely</w:t>
      </w:r>
      <w:r w:rsidR="007917A1">
        <w:t xml:space="preserve"> storing</w:t>
      </w:r>
      <w:r w:rsidR="007D7C7B" w:rsidRPr="00D841E8">
        <w:t xml:space="preserve"> free-text comments</w:t>
      </w:r>
      <w:r w:rsidR="00EF1142" w:rsidRPr="00D841E8">
        <w:t xml:space="preserve"> to prevent unauthorised access</w:t>
      </w:r>
      <w:r w:rsidR="007D7C7B" w:rsidRPr="00D841E8">
        <w:t xml:space="preserve"> (</w:t>
      </w:r>
      <w:r w:rsidR="00DB3950" w:rsidRPr="00D841E8">
        <w:t xml:space="preserve">for example, </w:t>
      </w:r>
      <w:r w:rsidR="007D7C7B" w:rsidRPr="00D841E8">
        <w:t>in a restricted access folder and/or password protecting the file)</w:t>
      </w:r>
      <w:r w:rsidR="00EB3B38">
        <w:t>.</w:t>
      </w:r>
    </w:p>
    <w:p w14:paraId="0AD77D72" w14:textId="411A05B1" w:rsidR="009E48E1" w:rsidRPr="00F1723D" w:rsidRDefault="00AD663E" w:rsidP="00E14BA7">
      <w:pPr>
        <w:pStyle w:val="Bullets1"/>
        <w:numPr>
          <w:ilvl w:val="0"/>
          <w:numId w:val="0"/>
        </w:numPr>
        <w:spacing w:before="120" w:after="120"/>
        <w:rPr>
          <w:rFonts w:ascii="VIC" w:hAnsi="VIC"/>
          <w:b/>
          <w:i/>
          <w:color w:val="7030A0"/>
        </w:rPr>
      </w:pPr>
      <w:r w:rsidRPr="00E14BA7">
        <w:rPr>
          <w:rFonts w:ascii="VIC" w:hAnsi="VIC"/>
          <w:b/>
          <w:i/>
          <w:color w:val="7030A0"/>
        </w:rPr>
        <w:t>Raw/individual participant response</w:t>
      </w:r>
      <w:r w:rsidR="00C02BBF" w:rsidRPr="00E14BA7">
        <w:rPr>
          <w:rFonts w:ascii="VIC" w:hAnsi="VIC"/>
          <w:b/>
          <w:i/>
          <w:color w:val="7030A0"/>
        </w:rPr>
        <w:t xml:space="preserve"> data</w:t>
      </w:r>
    </w:p>
    <w:p w14:paraId="74A096DD" w14:textId="51F89C57" w:rsidR="003F58A4" w:rsidRDefault="001536AB" w:rsidP="00BD7A75">
      <w:pPr>
        <w:pStyle w:val="Body"/>
      </w:pPr>
      <w:r>
        <w:t>R</w:t>
      </w:r>
      <w:r w:rsidR="00C02BBF" w:rsidRPr="00C02BBF">
        <w:t>aw participant response data (</w:t>
      </w:r>
      <w:proofErr w:type="gramStart"/>
      <w:r w:rsidR="00C02BBF" w:rsidRPr="00C02BBF">
        <w:t>e.g.</w:t>
      </w:r>
      <w:proofErr w:type="gramEnd"/>
      <w:r w:rsidR="00C02BBF" w:rsidRPr="00C02BBF">
        <w:t xml:space="preserve"> the responses that each survey participant gives in the survey) </w:t>
      </w:r>
      <w:r>
        <w:t xml:space="preserve">should only </w:t>
      </w:r>
      <w:r w:rsidR="00FF5650">
        <w:t xml:space="preserve">be </w:t>
      </w:r>
      <w:r>
        <w:t xml:space="preserve">provided </w:t>
      </w:r>
      <w:r w:rsidR="00FF5650">
        <w:t>to</w:t>
      </w:r>
      <w:r w:rsidR="0079232E">
        <w:t xml:space="preserve"> or reviewed by</w:t>
      </w:r>
      <w:r w:rsidR="00FF5650">
        <w:t xml:space="preserve"> </w:t>
      </w:r>
      <w:r w:rsidR="00816A07">
        <w:t>the defined entity</w:t>
      </w:r>
      <w:r w:rsidR="00FF5650">
        <w:t xml:space="preserve"> </w:t>
      </w:r>
      <w:r>
        <w:t xml:space="preserve">if the following has been </w:t>
      </w:r>
      <w:r w:rsidRPr="00D841E8">
        <w:rPr>
          <w:b/>
          <w:bCs/>
        </w:rPr>
        <w:t>removed</w:t>
      </w:r>
      <w:r>
        <w:t>:</w:t>
      </w:r>
    </w:p>
    <w:p w14:paraId="1E593C02" w14:textId="74EC688F" w:rsidR="00C02BBF" w:rsidRPr="00D841E8" w:rsidRDefault="00C02BBF" w:rsidP="00E328BC">
      <w:pPr>
        <w:pStyle w:val="Bullets1"/>
        <w:rPr>
          <w:rFonts w:ascii="VIC" w:hAnsi="VIC"/>
        </w:rPr>
      </w:pPr>
      <w:r w:rsidRPr="00C02BBF">
        <w:rPr>
          <w:rFonts w:ascii="VIC" w:hAnsi="VIC"/>
        </w:rPr>
        <w:t>demographic responses</w:t>
      </w:r>
    </w:p>
    <w:p w14:paraId="3945D87B" w14:textId="6FBB5E1C" w:rsidR="00E36C0C" w:rsidRPr="00E36C0C" w:rsidRDefault="00A258E0" w:rsidP="00E328BC">
      <w:pPr>
        <w:pStyle w:val="Bullets1"/>
        <w:rPr>
          <w:rFonts w:ascii="VIC" w:hAnsi="VIC"/>
        </w:rPr>
      </w:pPr>
      <w:r>
        <w:rPr>
          <w:rFonts w:ascii="VIC" w:hAnsi="VIC"/>
        </w:rPr>
        <w:t>t</w:t>
      </w:r>
      <w:r w:rsidR="00E36C0C" w:rsidRPr="00E36C0C">
        <w:rPr>
          <w:rFonts w:ascii="VIC" w:hAnsi="VIC"/>
        </w:rPr>
        <w:t>he questions asked only of those that experienced bullying, discrimination or sexual harassment</w:t>
      </w:r>
    </w:p>
    <w:p w14:paraId="1DD4485C" w14:textId="759787D9" w:rsidR="00A258E0" w:rsidRPr="00D841E8" w:rsidRDefault="00E36C0C" w:rsidP="00E328BC">
      <w:pPr>
        <w:pStyle w:val="Bullets1"/>
        <w:rPr>
          <w:rFonts w:ascii="VIC" w:hAnsi="VIC"/>
        </w:rPr>
      </w:pPr>
      <w:r w:rsidRPr="00E36C0C">
        <w:rPr>
          <w:rFonts w:ascii="VIC" w:hAnsi="VIC"/>
        </w:rPr>
        <w:t>free text responses</w:t>
      </w:r>
    </w:p>
    <w:tbl>
      <w:tblPr>
        <w:tblStyle w:val="TableGrid"/>
        <w:tblpPr w:leftFromText="180" w:rightFromText="180" w:vertAnchor="text" w:horzAnchor="margin" w:tblpY="111"/>
        <w:tblW w:w="0" w:type="auto"/>
        <w:tblBorders>
          <w:top w:val="single" w:sz="18" w:space="0" w:color="1CC49B" w:themeColor="accent4"/>
          <w:left w:val="single" w:sz="18" w:space="0" w:color="1CC49B" w:themeColor="accent4"/>
          <w:bottom w:val="single" w:sz="18" w:space="0" w:color="1CC49B" w:themeColor="accent4"/>
          <w:right w:val="single" w:sz="18" w:space="0" w:color="1CC49B" w:themeColor="accent4"/>
          <w:insideH w:val="single" w:sz="18" w:space="0" w:color="1CC49B" w:themeColor="accent4"/>
          <w:insideV w:val="single" w:sz="18" w:space="0" w:color="1CC49B" w:themeColor="accent4"/>
        </w:tblBorders>
        <w:tblLook w:val="04A0" w:firstRow="1" w:lastRow="0" w:firstColumn="1" w:lastColumn="0" w:noHBand="0" w:noVBand="1"/>
      </w:tblPr>
      <w:tblGrid>
        <w:gridCol w:w="9024"/>
      </w:tblGrid>
      <w:tr w:rsidR="0001385C" w:rsidRPr="00C613DA" w14:paraId="4B86806A" w14:textId="77777777" w:rsidTr="1F8E1221">
        <w:tc>
          <w:tcPr>
            <w:tcW w:w="9024" w:type="dxa"/>
          </w:tcPr>
          <w:p w14:paraId="0AAFA123" w14:textId="54A4227B" w:rsidR="0001385C" w:rsidRPr="00C613DA" w:rsidRDefault="0001385C" w:rsidP="00BD7A75">
            <w:pPr>
              <w:pStyle w:val="Body"/>
            </w:pPr>
            <w:r w:rsidRPr="1F8E1221">
              <w:t>Privacy obligations under the Gender Equality Act</w:t>
            </w:r>
          </w:p>
          <w:p w14:paraId="0EC580CD" w14:textId="46A4059F" w:rsidR="0001385C" w:rsidRPr="00C613DA" w:rsidRDefault="0001385C" w:rsidP="00BD7A75">
            <w:pPr>
              <w:pStyle w:val="Body"/>
            </w:pPr>
            <w:r w:rsidRPr="00C613DA">
              <w:t>Under the Act</w:t>
            </w:r>
            <w:r w:rsidR="001010B7">
              <w:t xml:space="preserve"> (section 51)</w:t>
            </w:r>
            <w:r w:rsidRPr="00C613DA">
              <w:t>, defined entities have important privacy obligations:</w:t>
            </w:r>
          </w:p>
          <w:p w14:paraId="49EAFE15" w14:textId="77777777" w:rsidR="0001385C" w:rsidRPr="00C613DA" w:rsidRDefault="0001385C" w:rsidP="00E14BA7">
            <w:pPr>
              <w:pStyle w:val="Body"/>
              <w:numPr>
                <w:ilvl w:val="0"/>
                <w:numId w:val="6"/>
              </w:numPr>
            </w:pPr>
            <w:r w:rsidRPr="00C613DA">
              <w:t>to remove any personal information from their GEAPs or progress reports</w:t>
            </w:r>
          </w:p>
          <w:p w14:paraId="57223BA7" w14:textId="4A0C7A9A" w:rsidR="0001385C" w:rsidRPr="00C613DA" w:rsidRDefault="0001385C" w:rsidP="00E14BA7">
            <w:pPr>
              <w:pStyle w:val="Body"/>
              <w:numPr>
                <w:ilvl w:val="0"/>
                <w:numId w:val="6"/>
              </w:numPr>
            </w:pPr>
            <w:r w:rsidRPr="00C613DA">
              <w:t>when submitting any material that is likely to be published, advise the Commissioner whether the material contains any personal information</w:t>
            </w:r>
          </w:p>
          <w:p w14:paraId="57574F35" w14:textId="39050202" w:rsidR="0001385C" w:rsidRPr="00C613DA" w:rsidRDefault="0001385C" w:rsidP="00E14BA7">
            <w:pPr>
              <w:pStyle w:val="Body"/>
            </w:pPr>
            <w:r w:rsidRPr="1F8E1221">
              <w:t xml:space="preserve">Personal information is defined in the </w:t>
            </w:r>
            <w:r w:rsidR="00DA1A1D" w:rsidRPr="00DA1A1D">
              <w:t>PDP</w:t>
            </w:r>
            <w:r w:rsidR="007130CE">
              <w:t xml:space="preserve"> </w:t>
            </w:r>
            <w:r w:rsidR="00DA1A1D" w:rsidRPr="00DA1A1D">
              <w:t>A</w:t>
            </w:r>
            <w:r w:rsidR="007130CE">
              <w:t>ct</w:t>
            </w:r>
            <w:r w:rsidRPr="1F8E1221">
              <w:t xml:space="preserve">. It means </w:t>
            </w:r>
            <w:r w:rsidR="004537B6" w:rsidRPr="004537B6">
              <w:t>information or an</w:t>
            </w:r>
            <w:r w:rsidR="008B46B5">
              <w:t xml:space="preserve"> </w:t>
            </w:r>
            <w:r w:rsidR="004537B6" w:rsidRPr="004537B6">
              <w:t>opinion (including information or an opinion</w:t>
            </w:r>
            <w:r w:rsidR="008B46B5">
              <w:t xml:space="preserve"> </w:t>
            </w:r>
            <w:r w:rsidR="004537B6" w:rsidRPr="004537B6">
              <w:t>forming part of a database</w:t>
            </w:r>
            <w:r w:rsidR="004537B6" w:rsidRPr="00E14BA7">
              <w:t>)</w:t>
            </w:r>
            <w:r w:rsidR="004537B6" w:rsidRPr="004537B6">
              <w:t xml:space="preserve"> that is recorded</w:t>
            </w:r>
            <w:r w:rsidR="008B46B5">
              <w:t xml:space="preserve"> </w:t>
            </w:r>
            <w:r w:rsidR="004537B6" w:rsidRPr="004537B6">
              <w:t>in any form and</w:t>
            </w:r>
            <w:r w:rsidR="00706AA7">
              <w:t>,</w:t>
            </w:r>
            <w:r w:rsidR="004537B6" w:rsidRPr="004537B6">
              <w:t xml:space="preserve"> whether true or not, </w:t>
            </w:r>
            <w:r w:rsidR="00C2766D">
              <w:t xml:space="preserve">is </w:t>
            </w:r>
            <w:r w:rsidR="004537B6" w:rsidRPr="004537B6">
              <w:t>about</w:t>
            </w:r>
            <w:r w:rsidR="008B46B5">
              <w:t xml:space="preserve"> </w:t>
            </w:r>
            <w:r w:rsidR="004537B6" w:rsidRPr="004537B6">
              <w:t>an individual whose identity is apparent</w:t>
            </w:r>
            <w:r w:rsidR="008B46B5">
              <w:t xml:space="preserve"> </w:t>
            </w:r>
            <w:r w:rsidR="004537B6" w:rsidRPr="004537B6">
              <w:t>or can reasonably be ascertained from the</w:t>
            </w:r>
            <w:r w:rsidR="008B46B5">
              <w:t xml:space="preserve"> </w:t>
            </w:r>
            <w:r w:rsidR="004537B6" w:rsidRPr="004537B6">
              <w:t>information or opinion</w:t>
            </w:r>
            <w:r w:rsidR="001F2C2E">
              <w:t>.</w:t>
            </w:r>
            <w:r w:rsidR="004537B6" w:rsidRPr="004537B6">
              <w:rPr>
                <w:rStyle w:val="CommentReference"/>
              </w:rPr>
              <w:t xml:space="preserve"> </w:t>
            </w:r>
          </w:p>
        </w:tc>
      </w:tr>
    </w:tbl>
    <w:p w14:paraId="68EDE227" w14:textId="6FD101C5" w:rsidR="00D02729" w:rsidRPr="00D841E8" w:rsidRDefault="00D02729" w:rsidP="006448ED">
      <w:pPr>
        <w:pStyle w:val="Heading1"/>
      </w:pPr>
      <w:bookmarkStart w:id="7" w:name="_Toc131443317"/>
      <w:r w:rsidRPr="00D841E8">
        <w:t>Distress protocol</w:t>
      </w:r>
      <w:r w:rsidR="00AC69C1" w:rsidRPr="00D841E8">
        <w:t xml:space="preserve"> to protect the wellbeing of respondents</w:t>
      </w:r>
      <w:bookmarkEnd w:id="7"/>
    </w:p>
    <w:p w14:paraId="5ACCC4C1" w14:textId="102ADA0D" w:rsidR="00FB277E" w:rsidRPr="00D841E8" w:rsidRDefault="00D02729" w:rsidP="00BD7A75">
      <w:pPr>
        <w:pStyle w:val="Body"/>
      </w:pPr>
      <w:r w:rsidRPr="00D841E8">
        <w:t>Some of the questions</w:t>
      </w:r>
      <w:r w:rsidR="00AC69C1" w:rsidRPr="00D841E8">
        <w:t xml:space="preserve"> being</w:t>
      </w:r>
      <w:r w:rsidRPr="00D841E8">
        <w:t xml:space="preserve"> asked </w:t>
      </w:r>
      <w:r w:rsidR="00DA41F9" w:rsidRPr="00D841E8">
        <w:t xml:space="preserve">in the survey </w:t>
      </w:r>
      <w:r w:rsidRPr="00D841E8">
        <w:t xml:space="preserve">(for example, </w:t>
      </w:r>
      <w:r w:rsidR="00DB3950" w:rsidRPr="00D841E8">
        <w:t xml:space="preserve">questions </w:t>
      </w:r>
      <w:r w:rsidRPr="00D841E8">
        <w:t xml:space="preserve">about sexual harassment or bullying) may </w:t>
      </w:r>
      <w:r w:rsidR="006D2D93" w:rsidRPr="00E14BA7">
        <w:t>cause</w:t>
      </w:r>
      <w:r w:rsidR="006D2D93">
        <w:t xml:space="preserve"> distress</w:t>
      </w:r>
      <w:r w:rsidR="00DA41F9" w:rsidRPr="00D841E8">
        <w:t xml:space="preserve"> to the employees responding</w:t>
      </w:r>
      <w:r w:rsidRPr="00D841E8">
        <w:t xml:space="preserve">. </w:t>
      </w:r>
    </w:p>
    <w:p w14:paraId="077A4B0B" w14:textId="37CBB974" w:rsidR="00A54D3D" w:rsidRPr="00D841E8" w:rsidRDefault="00D02729" w:rsidP="00BD7A75">
      <w:pPr>
        <w:pStyle w:val="Body"/>
      </w:pPr>
      <w:r w:rsidRPr="00D841E8">
        <w:t xml:space="preserve">The survey introduction should note that, although it is desirable </w:t>
      </w:r>
      <w:r w:rsidR="00FB277E" w:rsidRPr="00D841E8">
        <w:t>for employees to complete the survey</w:t>
      </w:r>
      <w:r w:rsidR="001314CD" w:rsidRPr="00D841E8">
        <w:t>,</w:t>
      </w:r>
      <w:r w:rsidR="00FB277E" w:rsidRPr="00D841E8">
        <w:t xml:space="preserve"> they</w:t>
      </w:r>
      <w:r w:rsidRPr="00D841E8">
        <w:t xml:space="preserve"> can stop </w:t>
      </w:r>
      <w:r w:rsidR="001314CD" w:rsidRPr="00D841E8">
        <w:t xml:space="preserve">responding to </w:t>
      </w:r>
      <w:r w:rsidRPr="00D841E8">
        <w:t xml:space="preserve">the survey at any time. </w:t>
      </w:r>
    </w:p>
    <w:p w14:paraId="0909D5E7" w14:textId="6504E2B6" w:rsidR="00D02729" w:rsidRPr="00D841E8" w:rsidRDefault="00D02729" w:rsidP="00BD7A75">
      <w:pPr>
        <w:pStyle w:val="Body"/>
      </w:pPr>
      <w:r w:rsidRPr="00D841E8">
        <w:t xml:space="preserve">At the end of the survey, </w:t>
      </w:r>
      <w:r w:rsidR="00DA41F9" w:rsidRPr="00D841E8">
        <w:t xml:space="preserve">or at specific points in your survey that are higher risk, </w:t>
      </w:r>
      <w:r w:rsidRPr="00D841E8">
        <w:t>we recommend providing information about support services, either to all respondents or by asking whether the respondent wishes to receive information about support services.</w:t>
      </w:r>
      <w:r w:rsidR="00074169" w:rsidRPr="00D841E8">
        <w:rPr>
          <w:rStyle w:val="FootnoteReference"/>
        </w:rPr>
        <w:footnoteReference w:id="5"/>
      </w:r>
      <w:r w:rsidRPr="00D841E8">
        <w:t xml:space="preserve"> </w:t>
      </w:r>
    </w:p>
    <w:p w14:paraId="4B0EA866" w14:textId="2BD4F33E" w:rsidR="00E073A1" w:rsidRPr="00D841E8" w:rsidRDefault="007920AD" w:rsidP="006448ED">
      <w:pPr>
        <w:pStyle w:val="Heading1"/>
      </w:pPr>
      <w:bookmarkStart w:id="8" w:name="_Toc131443318"/>
      <w:r w:rsidRPr="00D841E8">
        <w:t xml:space="preserve">Survey </w:t>
      </w:r>
      <w:r w:rsidR="00D33EFC" w:rsidRPr="00D841E8">
        <w:t>methodology</w:t>
      </w:r>
      <w:r w:rsidR="001314CD" w:rsidRPr="00D841E8">
        <w:t xml:space="preserve"> – </w:t>
      </w:r>
      <w:r w:rsidR="00D33EFC" w:rsidRPr="00D841E8">
        <w:t>question wording</w:t>
      </w:r>
      <w:r w:rsidR="001314CD" w:rsidRPr="00D841E8">
        <w:t xml:space="preserve">, </w:t>
      </w:r>
      <w:r w:rsidR="00D33EFC" w:rsidRPr="00D841E8">
        <w:t xml:space="preserve">order </w:t>
      </w:r>
      <w:r w:rsidR="001314CD" w:rsidRPr="00D841E8">
        <w:t>and response options</w:t>
      </w:r>
      <w:bookmarkEnd w:id="8"/>
      <w:r w:rsidR="001314CD" w:rsidRPr="00D841E8">
        <w:t xml:space="preserve"> </w:t>
      </w:r>
    </w:p>
    <w:p w14:paraId="3F17FD25" w14:textId="168AEF3D" w:rsidR="00DB3950" w:rsidRPr="00D841E8" w:rsidRDefault="00A54D3D" w:rsidP="00BD7A75">
      <w:pPr>
        <w:pStyle w:val="Body"/>
      </w:pPr>
      <w:r w:rsidRPr="00D841E8">
        <w:t>P</w:t>
      </w:r>
      <w:r w:rsidR="00E073A1" w:rsidRPr="00D841E8">
        <w:t xml:space="preserve">lease ensure that questions are asked using the </w:t>
      </w:r>
      <w:r w:rsidR="00D02729" w:rsidRPr="00D841E8">
        <w:t xml:space="preserve">exact </w:t>
      </w:r>
      <w:r w:rsidR="00E073A1" w:rsidRPr="00D841E8">
        <w:t>wording provided in th</w:t>
      </w:r>
      <w:r w:rsidR="00D02729" w:rsidRPr="00D841E8">
        <w:t xml:space="preserve">e </w:t>
      </w:r>
      <w:r w:rsidR="00DB3950" w:rsidRPr="00D841E8">
        <w:t xml:space="preserve">employee experience survey questionnaire </w:t>
      </w:r>
      <w:r w:rsidRPr="00D841E8">
        <w:t>E</w:t>
      </w:r>
      <w:r w:rsidR="00B525F0" w:rsidRPr="00D841E8">
        <w:t xml:space="preserve">xcel </w:t>
      </w:r>
      <w:r w:rsidR="00E073A1" w:rsidRPr="00D841E8">
        <w:t>document</w:t>
      </w:r>
      <w:r w:rsidR="00DB3950" w:rsidRPr="00D841E8">
        <w:t xml:space="preserve"> (available on our website) </w:t>
      </w:r>
      <w:r w:rsidR="00E073A1" w:rsidRPr="00D841E8">
        <w:t xml:space="preserve">—including demographics—and in the </w:t>
      </w:r>
      <w:r w:rsidR="00FE5499" w:rsidRPr="00D841E8">
        <w:t xml:space="preserve">recommended </w:t>
      </w:r>
      <w:r w:rsidR="00E073A1" w:rsidRPr="00D841E8">
        <w:t xml:space="preserve">order </w:t>
      </w:r>
      <w:r w:rsidR="00FE5499" w:rsidRPr="00D841E8">
        <w:t>indicated in the first column</w:t>
      </w:r>
      <w:r w:rsidR="00E073A1" w:rsidRPr="00D841E8">
        <w:t>.</w:t>
      </w:r>
      <w:r w:rsidR="001314CD" w:rsidRPr="00D841E8">
        <w:t xml:space="preserve"> Response options should also </w:t>
      </w:r>
      <w:r w:rsidR="00D33EFC" w:rsidRPr="00D841E8">
        <w:t xml:space="preserve">be in the exact order and wording </w:t>
      </w:r>
      <w:r w:rsidR="001314CD" w:rsidRPr="00D841E8">
        <w:t xml:space="preserve">outlined </w:t>
      </w:r>
      <w:r w:rsidR="00D33EFC" w:rsidRPr="00D841E8">
        <w:t xml:space="preserve">by the Commission. </w:t>
      </w:r>
      <w:r w:rsidR="001314CD" w:rsidRPr="00D841E8">
        <w:t xml:space="preserve"> </w:t>
      </w:r>
    </w:p>
    <w:p w14:paraId="0C5F2221" w14:textId="67ED93FD" w:rsidR="00E073A1" w:rsidRPr="00D841E8" w:rsidRDefault="00E073A1" w:rsidP="00BD7A75">
      <w:pPr>
        <w:pStyle w:val="Body"/>
      </w:pPr>
      <w:r w:rsidRPr="00D841E8">
        <w:t xml:space="preserve">Small differences in question wording can have large effects on survey results. </w:t>
      </w:r>
      <w:r w:rsidRPr="002E72CC">
        <w:t xml:space="preserve">Similarly, the order in which questions are asked </w:t>
      </w:r>
      <w:r w:rsidR="00F87D2E">
        <w:t xml:space="preserve">and responses are presented </w:t>
      </w:r>
      <w:r w:rsidRPr="002E72CC">
        <w:t xml:space="preserve">can </w:t>
      </w:r>
      <w:r w:rsidR="001314CD" w:rsidRPr="002E72CC">
        <w:t>affect</w:t>
      </w:r>
      <w:r w:rsidRPr="002E72CC">
        <w:t xml:space="preserve"> results, as respondents can interpret later questions in light of earlier questions they have answered. </w:t>
      </w:r>
      <w:r w:rsidRPr="00D841E8">
        <w:t xml:space="preserve">This can </w:t>
      </w:r>
      <w:r w:rsidR="0000796D" w:rsidRPr="00E14BA7">
        <w:t>impact</w:t>
      </w:r>
      <w:r w:rsidRPr="00D841E8">
        <w:t xml:space="preserve"> answers to questions that are difficult to predict in advance</w:t>
      </w:r>
      <w:r w:rsidR="00426150" w:rsidRPr="00D841E8">
        <w:t>.</w:t>
      </w:r>
      <w:r w:rsidR="00C82A5D" w:rsidRPr="00D841E8">
        <w:t xml:space="preserve"> </w:t>
      </w:r>
    </w:p>
    <w:p w14:paraId="7FF47CA2" w14:textId="34AF75FD" w:rsidR="00426150" w:rsidRDefault="00426150" w:rsidP="00BD7A75">
      <w:pPr>
        <w:pStyle w:val="Body"/>
      </w:pPr>
      <w:r w:rsidRPr="00D841E8">
        <w:t xml:space="preserve">By following this advice, you will also assist </w:t>
      </w:r>
      <w:r w:rsidR="00D2552A">
        <w:t>the Commission</w:t>
      </w:r>
      <w:r w:rsidRPr="00D841E8">
        <w:t xml:space="preserve"> </w:t>
      </w:r>
      <w:r w:rsidR="00886D7A" w:rsidRPr="00E14BA7">
        <w:t>in</w:t>
      </w:r>
      <w:r w:rsidR="00886D7A">
        <w:t xml:space="preserve"> comparing</w:t>
      </w:r>
      <w:r w:rsidRPr="00D841E8">
        <w:t xml:space="preserve"> results across organisations </w:t>
      </w:r>
      <w:r w:rsidR="007F05E8" w:rsidRPr="00E14BA7">
        <w:t>to</w:t>
      </w:r>
      <w:r w:rsidRPr="00D841E8">
        <w:t xml:space="preserve"> understand the state of gender inequality across defined entities under the Act. </w:t>
      </w:r>
    </w:p>
    <w:p w14:paraId="47DB6A66" w14:textId="5CDDDA92" w:rsidR="0036321D" w:rsidRDefault="0036321D" w:rsidP="0036321D">
      <w:pPr>
        <w:pStyle w:val="Heading1"/>
      </w:pPr>
      <w:bookmarkStart w:id="9" w:name="_Toc131443319"/>
      <w:r>
        <w:t>Specification</w:t>
      </w:r>
      <w:bookmarkEnd w:id="9"/>
    </w:p>
    <w:p w14:paraId="768F173C" w14:textId="58D5FCAD" w:rsidR="0036321D" w:rsidRDefault="006C4C86" w:rsidP="006448ED">
      <w:pPr>
        <w:pStyle w:val="Heading4"/>
      </w:pPr>
      <w:r>
        <w:t>Materials to be used in developing the survey</w:t>
      </w:r>
    </w:p>
    <w:p w14:paraId="13847C67" w14:textId="02A6FD37" w:rsidR="00325E75" w:rsidRDefault="00BD7A75" w:rsidP="00BD7A75">
      <w:pPr>
        <w:pStyle w:val="Body"/>
      </w:pPr>
      <w:r>
        <w:t>The following artefacts are available on our website and should be used by your survey provider to develop the survey</w:t>
      </w:r>
    </w:p>
    <w:p w14:paraId="5154B3A3" w14:textId="14950828" w:rsidR="00BD7A75" w:rsidRPr="00F1723D" w:rsidRDefault="000A6474" w:rsidP="00E14BA7">
      <w:pPr>
        <w:pStyle w:val="ListParagraph"/>
        <w:numPr>
          <w:ilvl w:val="0"/>
          <w:numId w:val="17"/>
        </w:numPr>
        <w:rPr>
          <w:rFonts w:ascii="VIC" w:hAnsi="VIC"/>
        </w:rPr>
      </w:pPr>
      <w:r w:rsidRPr="00E14BA7">
        <w:rPr>
          <w:rFonts w:ascii="VIC" w:hAnsi="VIC"/>
        </w:rPr>
        <w:t>Employee experience survey questions and responses</w:t>
      </w:r>
    </w:p>
    <w:p w14:paraId="0205EAA6" w14:textId="1BDDB995" w:rsidR="000A6474" w:rsidRPr="00F1723D" w:rsidRDefault="00972121" w:rsidP="00E14BA7">
      <w:pPr>
        <w:pStyle w:val="ListParagraph"/>
        <w:numPr>
          <w:ilvl w:val="0"/>
          <w:numId w:val="17"/>
        </w:numPr>
        <w:rPr>
          <w:rFonts w:ascii="VIC" w:hAnsi="VIC"/>
        </w:rPr>
      </w:pPr>
      <w:r w:rsidRPr="00E14BA7">
        <w:rPr>
          <w:rFonts w:ascii="VIC" w:hAnsi="VIC"/>
        </w:rPr>
        <w:t>This guidance note.</w:t>
      </w:r>
    </w:p>
    <w:p w14:paraId="2B6268BF" w14:textId="370B334E" w:rsidR="00FB3B2F" w:rsidRPr="00F1723D" w:rsidRDefault="006448ED" w:rsidP="00F1723D">
      <w:pPr>
        <w:pStyle w:val="AppendixHeading"/>
        <w:rPr>
          <w:sz w:val="22"/>
          <w:szCs w:val="22"/>
        </w:rPr>
      </w:pPr>
      <w:bookmarkStart w:id="10" w:name="_Toc131443320"/>
      <w:r w:rsidRPr="00F1723D">
        <w:rPr>
          <w:sz w:val="22"/>
          <w:szCs w:val="22"/>
        </w:rPr>
        <w:t>Employee experience survey questions and responses</w:t>
      </w:r>
      <w:bookmarkEnd w:id="10"/>
    </w:p>
    <w:p w14:paraId="2EA42232" w14:textId="4A4E33AA" w:rsidR="006448ED" w:rsidRDefault="005F3313" w:rsidP="006448ED">
      <w:pPr>
        <w:pStyle w:val="Body"/>
      </w:pPr>
      <w:r>
        <w:t xml:space="preserve">The survey questions </w:t>
      </w:r>
      <w:r w:rsidR="009B3FCE" w:rsidRPr="00E14BA7">
        <w:t>and</w:t>
      </w:r>
      <w:r>
        <w:t xml:space="preserve"> responses are contained within an Excel spreadsheet</w:t>
      </w:r>
      <w:r w:rsidR="00830526">
        <w:t xml:space="preserve"> containing the following sheets</w:t>
      </w:r>
    </w:p>
    <w:p w14:paraId="6C0F560A" w14:textId="397A8FA8" w:rsidR="00830526" w:rsidRDefault="00830526" w:rsidP="00830526">
      <w:pPr>
        <w:pStyle w:val="Body"/>
        <w:numPr>
          <w:ilvl w:val="0"/>
          <w:numId w:val="9"/>
        </w:numPr>
      </w:pPr>
      <w:r>
        <w:t>Instructions – for guidance on how to use the spreadsheet</w:t>
      </w:r>
    </w:p>
    <w:p w14:paraId="12A09634" w14:textId="5DEC8CE3" w:rsidR="00830526" w:rsidRDefault="00E809EE" w:rsidP="00830526">
      <w:pPr>
        <w:pStyle w:val="Body"/>
        <w:numPr>
          <w:ilvl w:val="0"/>
          <w:numId w:val="9"/>
        </w:numPr>
      </w:pPr>
      <w:r>
        <w:t xml:space="preserve">Survey </w:t>
      </w:r>
      <w:r w:rsidR="00830526">
        <w:t xml:space="preserve">Questions – providing the questions </w:t>
      </w:r>
      <w:r>
        <w:t>and responses</w:t>
      </w:r>
      <w:r w:rsidR="00830526">
        <w:t xml:space="preserve"> </w:t>
      </w:r>
      <w:r w:rsidR="00D15B3C">
        <w:t>for the survey</w:t>
      </w:r>
    </w:p>
    <w:p w14:paraId="04C0BF83" w14:textId="3E2DF27C" w:rsidR="00D9423F" w:rsidRDefault="00D9423F" w:rsidP="00830526">
      <w:pPr>
        <w:pStyle w:val="Body"/>
        <w:numPr>
          <w:ilvl w:val="0"/>
          <w:numId w:val="9"/>
        </w:numPr>
      </w:pPr>
      <w:r>
        <w:t xml:space="preserve">Indicator </w:t>
      </w:r>
      <w:r w:rsidR="0045612C">
        <w:t>K</w:t>
      </w:r>
      <w:r>
        <w:t xml:space="preserve">ey </w:t>
      </w:r>
      <w:r w:rsidR="0022174D">
        <w:t>–</w:t>
      </w:r>
      <w:r>
        <w:t xml:space="preserve"> </w:t>
      </w:r>
      <w:r w:rsidR="0022174D">
        <w:t xml:space="preserve">outlining </w:t>
      </w:r>
      <w:r w:rsidR="001104B2">
        <w:t xml:space="preserve">the workplace gender equality indicator corresponding to </w:t>
      </w:r>
      <w:r w:rsidR="0017739F">
        <w:t xml:space="preserve">each </w:t>
      </w:r>
      <w:r w:rsidR="00F52137">
        <w:t xml:space="preserve">number </w:t>
      </w:r>
      <w:r w:rsidR="0017739F">
        <w:t>in the indicator column in</w:t>
      </w:r>
      <w:r w:rsidR="00F52137">
        <w:t xml:space="preserve"> sheet 2 (Survey Questions)</w:t>
      </w:r>
    </w:p>
    <w:p w14:paraId="6FE9E4A6" w14:textId="6C9FA943" w:rsidR="00DB72A0" w:rsidRPr="00DB72A0" w:rsidRDefault="00482887" w:rsidP="00D15B3C">
      <w:pPr>
        <w:pStyle w:val="Body"/>
      </w:pPr>
      <w:r>
        <w:t xml:space="preserve">Definitions for each column in the </w:t>
      </w:r>
      <w:r w:rsidR="00B74B3A" w:rsidRPr="00B74B3A">
        <w:rPr>
          <w:b/>
          <w:bCs/>
        </w:rPr>
        <w:t xml:space="preserve">Survey </w:t>
      </w:r>
      <w:r w:rsidRPr="00E14BA7">
        <w:rPr>
          <w:b/>
        </w:rPr>
        <w:t>Questions</w:t>
      </w:r>
      <w:r>
        <w:t xml:space="preserve"> sheet are as follows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4530"/>
        <w:gridCol w:w="4530"/>
      </w:tblGrid>
      <w:tr w:rsidR="00482887" w:rsidRPr="00DB72A0" w14:paraId="07E6FA82" w14:textId="329D0958" w:rsidTr="00E14BA7">
        <w:tc>
          <w:tcPr>
            <w:tcW w:w="2500" w:type="pct"/>
            <w:hideMark/>
          </w:tcPr>
          <w:p w14:paraId="22CC04F5" w14:textId="1E402B1A" w:rsidR="00482887" w:rsidRPr="00E14BA7" w:rsidRDefault="00482887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b/>
                <w:szCs w:val="20"/>
                <w:lang w:eastAsia="en-AU"/>
              </w:rPr>
              <w:t>Column</w:t>
            </w:r>
          </w:p>
        </w:tc>
        <w:tc>
          <w:tcPr>
            <w:tcW w:w="2500" w:type="pct"/>
          </w:tcPr>
          <w:p w14:paraId="4D7C3E2C" w14:textId="050D514A" w:rsidR="00482887" w:rsidRPr="00E14BA7" w:rsidRDefault="00482887" w:rsidP="00DB72A0">
            <w:pPr>
              <w:rPr>
                <w:rFonts w:ascii="VIC" w:eastAsia="Times New Roman" w:hAnsi="VIC" w:cs="Calibri"/>
                <w:b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b/>
                <w:szCs w:val="20"/>
                <w:lang w:eastAsia="en-AU"/>
              </w:rPr>
              <w:t>Definition</w:t>
            </w:r>
          </w:p>
        </w:tc>
      </w:tr>
      <w:tr w:rsidR="00482887" w:rsidRPr="00DB72A0" w14:paraId="7BFDBD8D" w14:textId="439BF0A1" w:rsidTr="00E14BA7">
        <w:tc>
          <w:tcPr>
            <w:tcW w:w="2500" w:type="pct"/>
            <w:hideMark/>
          </w:tcPr>
          <w:p w14:paraId="4324F5FD" w14:textId="18D561FA" w:rsidR="00482887" w:rsidRPr="00E14BA7" w:rsidRDefault="005F456F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Suggested</w:t>
            </w: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</w:t>
            </w:r>
            <w:r w:rsidR="00482887" w:rsidRPr="00E14BA7">
              <w:rPr>
                <w:rFonts w:ascii="VIC" w:eastAsia="Times New Roman" w:hAnsi="VIC" w:cs="Calibri"/>
                <w:szCs w:val="20"/>
                <w:lang w:eastAsia="en-AU"/>
              </w:rPr>
              <w:t>order</w:t>
            </w:r>
          </w:p>
        </w:tc>
        <w:tc>
          <w:tcPr>
            <w:tcW w:w="2500" w:type="pct"/>
          </w:tcPr>
          <w:p w14:paraId="506B2AC7" w14:textId="66A31CA1" w:rsidR="00482887" w:rsidRPr="00E14BA7" w:rsidRDefault="00B50C9F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Indicates the order in which the question should be presented to the respondent</w:t>
            </w:r>
          </w:p>
        </w:tc>
      </w:tr>
      <w:tr w:rsidR="00482887" w:rsidRPr="00DB72A0" w14:paraId="3B2E1245" w14:textId="085C9076" w:rsidTr="00E14BA7">
        <w:tc>
          <w:tcPr>
            <w:tcW w:w="2500" w:type="pct"/>
            <w:hideMark/>
          </w:tcPr>
          <w:p w14:paraId="505DD7D6" w14:textId="77777777" w:rsidR="00482887" w:rsidRPr="00E14BA7" w:rsidRDefault="00482887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Suggested section</w:t>
            </w:r>
          </w:p>
        </w:tc>
        <w:tc>
          <w:tcPr>
            <w:tcW w:w="2500" w:type="pct"/>
          </w:tcPr>
          <w:p w14:paraId="621EB57D" w14:textId="34853D84" w:rsidR="00482887" w:rsidRPr="00E14BA7" w:rsidRDefault="00B50C9F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Indicates which section this question should be contained within</w:t>
            </w:r>
          </w:p>
        </w:tc>
      </w:tr>
      <w:tr w:rsidR="005F456F" w:rsidRPr="00DB72A0" w14:paraId="79CACDA0" w14:textId="77777777" w:rsidTr="00E14BA7">
        <w:tc>
          <w:tcPr>
            <w:tcW w:w="2500" w:type="pct"/>
          </w:tcPr>
          <w:p w14:paraId="034DB960" w14:textId="37AABE6F" w:rsidR="005F456F" w:rsidRPr="00E14BA7" w:rsidRDefault="005F456F" w:rsidP="005F456F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Question ID</w:t>
            </w:r>
          </w:p>
        </w:tc>
        <w:tc>
          <w:tcPr>
            <w:tcW w:w="2500" w:type="pct"/>
          </w:tcPr>
          <w:p w14:paraId="57CD4B33" w14:textId="5CD4D49D" w:rsidR="005F456F" w:rsidRPr="00E14BA7" w:rsidRDefault="005F456F" w:rsidP="005F456F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The unique identifier for this question</w:t>
            </w:r>
          </w:p>
        </w:tc>
      </w:tr>
      <w:tr w:rsidR="00482887" w:rsidRPr="00DB72A0" w14:paraId="4CE73FCE" w14:textId="65289FD5" w:rsidTr="00E14BA7">
        <w:tc>
          <w:tcPr>
            <w:tcW w:w="2500" w:type="pct"/>
            <w:hideMark/>
          </w:tcPr>
          <w:p w14:paraId="717FBFA0" w14:textId="77777777" w:rsidR="00482887" w:rsidRPr="00E14BA7" w:rsidRDefault="00482887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Question</w:t>
            </w:r>
          </w:p>
        </w:tc>
        <w:tc>
          <w:tcPr>
            <w:tcW w:w="2500" w:type="pct"/>
          </w:tcPr>
          <w:p w14:paraId="6288A60A" w14:textId="7E5C9144" w:rsidR="00482887" w:rsidRPr="00E14BA7" w:rsidRDefault="00B877FC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T</w:t>
            </w:r>
            <w:r w:rsidR="00B50C9F" w:rsidRPr="00E14BA7">
              <w:rPr>
                <w:rFonts w:ascii="VIC" w:eastAsia="Times New Roman" w:hAnsi="VIC" w:cs="Calibri"/>
                <w:szCs w:val="20"/>
                <w:lang w:eastAsia="en-AU"/>
              </w:rPr>
              <w:t>he text of the question to be presented to the respondent</w:t>
            </w:r>
          </w:p>
        </w:tc>
      </w:tr>
      <w:tr w:rsidR="00482887" w:rsidRPr="00DB72A0" w14:paraId="04052519" w14:textId="45D1E349" w:rsidTr="00E14BA7">
        <w:tc>
          <w:tcPr>
            <w:tcW w:w="2500" w:type="pct"/>
            <w:hideMark/>
          </w:tcPr>
          <w:p w14:paraId="4EAAA83E" w14:textId="77777777" w:rsidR="00482887" w:rsidRPr="00E14BA7" w:rsidRDefault="00482887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Routing</w:t>
            </w:r>
          </w:p>
        </w:tc>
        <w:tc>
          <w:tcPr>
            <w:tcW w:w="2500" w:type="pct"/>
          </w:tcPr>
          <w:p w14:paraId="20094375" w14:textId="3F4C28D8" w:rsidR="00482887" w:rsidRPr="00E14BA7" w:rsidRDefault="00B50C9F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Indicates </w:t>
            </w:r>
            <w:r w:rsidR="00EC055B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any preconditions </w:t>
            </w:r>
            <w:r w:rsidR="00445D8F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- </w:t>
            </w:r>
            <w:proofErr w:type="gramStart"/>
            <w:r w:rsidR="00445D8F" w:rsidRPr="00E14BA7">
              <w:rPr>
                <w:rFonts w:ascii="VIC" w:eastAsia="Times New Roman" w:hAnsi="VIC" w:cs="Calibri"/>
                <w:szCs w:val="20"/>
                <w:lang w:eastAsia="en-AU"/>
              </w:rPr>
              <w:t>i.e.</w:t>
            </w:r>
            <w:proofErr w:type="gramEnd"/>
            <w:r w:rsidR="00445D8F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whether or not this question should be shown based on </w:t>
            </w:r>
            <w:r w:rsidR="00EC055B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answers to a previous </w:t>
            </w:r>
            <w:r w:rsidR="00445D8F" w:rsidRPr="00E14BA7">
              <w:rPr>
                <w:rFonts w:ascii="VIC" w:eastAsia="Times New Roman" w:hAnsi="VIC" w:cs="Calibri"/>
                <w:szCs w:val="20"/>
                <w:lang w:eastAsia="en-AU"/>
              </w:rPr>
              <w:t>question</w:t>
            </w:r>
          </w:p>
        </w:tc>
      </w:tr>
      <w:tr w:rsidR="00464E1D" w:rsidRPr="00DB72A0" w14:paraId="16C532B0" w14:textId="77777777" w:rsidTr="00E14BA7">
        <w:tc>
          <w:tcPr>
            <w:tcW w:w="2500" w:type="pct"/>
          </w:tcPr>
          <w:p w14:paraId="3310AAE0" w14:textId="266F8256" w:rsidR="00464E1D" w:rsidRPr="00E14BA7" w:rsidRDefault="00464E1D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Response required</w:t>
            </w:r>
          </w:p>
        </w:tc>
        <w:tc>
          <w:tcPr>
            <w:tcW w:w="2500" w:type="pct"/>
          </w:tcPr>
          <w:p w14:paraId="217814DD" w14:textId="690C67C6" w:rsidR="00464E1D" w:rsidRPr="00E14BA7" w:rsidRDefault="00464E1D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 xml:space="preserve">Indicates whether </w:t>
            </w:r>
            <w:r w:rsidR="00595526">
              <w:rPr>
                <w:rFonts w:ascii="VIC" w:eastAsia="Times New Roman" w:hAnsi="VIC" w:cs="Calibri"/>
                <w:szCs w:val="20"/>
                <w:lang w:eastAsia="en-AU"/>
              </w:rPr>
              <w:t>respondents who are shown this question need to answer it to complete their survey</w:t>
            </w:r>
          </w:p>
        </w:tc>
      </w:tr>
      <w:tr w:rsidR="002A3CBD" w:rsidRPr="00DB72A0" w14:paraId="280F69FB" w14:textId="77777777" w:rsidTr="00E14BA7">
        <w:tc>
          <w:tcPr>
            <w:tcW w:w="2500" w:type="pct"/>
          </w:tcPr>
          <w:p w14:paraId="63F3206E" w14:textId="62C9DA32" w:rsidR="002A3CBD" w:rsidRPr="00E14BA7" w:rsidRDefault="002A3CBD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Response type</w:t>
            </w:r>
          </w:p>
        </w:tc>
        <w:tc>
          <w:tcPr>
            <w:tcW w:w="2500" w:type="pct"/>
          </w:tcPr>
          <w:p w14:paraId="2EAC9FF3" w14:textId="77777777" w:rsidR="002A3CBD" w:rsidRDefault="006307A9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Indicates whether</w:t>
            </w:r>
            <w:r w:rsidR="00EC58E8">
              <w:rPr>
                <w:rFonts w:ascii="VIC" w:eastAsia="Times New Roman" w:hAnsi="VIC" w:cs="Calibri"/>
                <w:szCs w:val="20"/>
                <w:lang w:eastAsia="en-AU"/>
              </w:rPr>
              <w:t xml:space="preserve"> respondents:</w:t>
            </w:r>
          </w:p>
          <w:p w14:paraId="4C54E591" w14:textId="77777777" w:rsidR="00EC58E8" w:rsidRDefault="00EC58E8" w:rsidP="00EC58E8">
            <w:pPr>
              <w:pStyle w:val="ListParagraph"/>
              <w:numPr>
                <w:ilvl w:val="0"/>
                <w:numId w:val="19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Must select a single response</w:t>
            </w:r>
          </w:p>
          <w:p w14:paraId="796C86AE" w14:textId="77777777" w:rsidR="00EC58E8" w:rsidRDefault="00EC58E8" w:rsidP="00EC58E8">
            <w:pPr>
              <w:pStyle w:val="ListParagraph"/>
              <w:numPr>
                <w:ilvl w:val="0"/>
                <w:numId w:val="19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May select multiple responses</w:t>
            </w:r>
          </w:p>
          <w:p w14:paraId="4A313C67" w14:textId="77777777" w:rsidR="00EC58E8" w:rsidRDefault="00530CA6" w:rsidP="00EC58E8">
            <w:pPr>
              <w:pStyle w:val="ListParagraph"/>
              <w:numPr>
                <w:ilvl w:val="0"/>
                <w:numId w:val="19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Can enter a free text response, or</w:t>
            </w:r>
          </w:p>
          <w:p w14:paraId="012FF67A" w14:textId="29A3DA85" w:rsidR="00530CA6" w:rsidRPr="00530CA6" w:rsidRDefault="00530CA6" w:rsidP="00530CA6">
            <w:pPr>
              <w:pStyle w:val="ListParagraph"/>
              <w:numPr>
                <w:ilvl w:val="0"/>
                <w:numId w:val="19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A combination of the above</w:t>
            </w:r>
          </w:p>
        </w:tc>
      </w:tr>
      <w:tr w:rsidR="00482887" w:rsidRPr="00DB72A0" w14:paraId="7159EB7F" w14:textId="3C982813" w:rsidTr="00E14BA7">
        <w:tc>
          <w:tcPr>
            <w:tcW w:w="2500" w:type="pct"/>
            <w:hideMark/>
          </w:tcPr>
          <w:p w14:paraId="546CEA00" w14:textId="77777777" w:rsidR="00482887" w:rsidRPr="00E14BA7" w:rsidRDefault="00482887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Explanatory text and definition</w:t>
            </w:r>
          </w:p>
        </w:tc>
        <w:tc>
          <w:tcPr>
            <w:tcW w:w="2500" w:type="pct"/>
          </w:tcPr>
          <w:p w14:paraId="34463D24" w14:textId="1B19DB2F" w:rsidR="00482887" w:rsidRPr="00E14BA7" w:rsidRDefault="00AD6739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Provides supporting explanatory text that should be shown to the respondent alongside the question</w:t>
            </w:r>
          </w:p>
        </w:tc>
      </w:tr>
      <w:tr w:rsidR="00A52B6B" w:rsidRPr="00DB72A0" w:rsidDel="00530CA6" w14:paraId="66B7C339" w14:textId="77777777" w:rsidTr="00E14BA7">
        <w:tc>
          <w:tcPr>
            <w:tcW w:w="2500" w:type="pct"/>
          </w:tcPr>
          <w:p w14:paraId="3C86F869" w14:textId="44238654" w:rsidR="00A52B6B" w:rsidRPr="00E14BA7" w:rsidDel="00530CA6" w:rsidRDefault="002A7A62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Response options</w:t>
            </w:r>
          </w:p>
        </w:tc>
        <w:tc>
          <w:tcPr>
            <w:tcW w:w="2500" w:type="pct"/>
          </w:tcPr>
          <w:p w14:paraId="20F4B45B" w14:textId="690A0891" w:rsidR="00A52B6B" w:rsidRPr="00E14BA7" w:rsidDel="00530CA6" w:rsidRDefault="002A7A62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A list of responses to be presented to the respondent, in the specified</w:t>
            </w:r>
            <w:r w:rsidR="001A7D0D">
              <w:rPr>
                <w:rFonts w:ascii="VIC" w:eastAsia="Times New Roman" w:hAnsi="VIC" w:cs="Calibri"/>
                <w:szCs w:val="20"/>
                <w:lang w:eastAsia="en-AU"/>
              </w:rPr>
              <w:t xml:space="preserve"> order</w:t>
            </w:r>
          </w:p>
        </w:tc>
      </w:tr>
      <w:tr w:rsidR="00482887" w:rsidRPr="00DB72A0" w14:paraId="381A8863" w14:textId="6D0FA86B" w:rsidTr="00E14BA7">
        <w:tc>
          <w:tcPr>
            <w:tcW w:w="2500" w:type="pct"/>
            <w:hideMark/>
          </w:tcPr>
          <w:p w14:paraId="3833D90D" w14:textId="08EBC9A2" w:rsidR="00482887" w:rsidRPr="00E14BA7" w:rsidRDefault="00530CA6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</w:t>
            </w:r>
            <w:r w:rsidR="00482887" w:rsidRPr="00E14BA7">
              <w:rPr>
                <w:rFonts w:ascii="VIC" w:eastAsia="Times New Roman" w:hAnsi="VIC" w:cs="Calibri"/>
                <w:szCs w:val="20"/>
                <w:lang w:eastAsia="en-AU"/>
              </w:rPr>
              <w:t>ndicator</w:t>
            </w:r>
          </w:p>
        </w:tc>
        <w:tc>
          <w:tcPr>
            <w:tcW w:w="2500" w:type="pct"/>
          </w:tcPr>
          <w:p w14:paraId="0CBD0FA7" w14:textId="4AEFE2B2" w:rsidR="00482887" w:rsidRPr="00E14BA7" w:rsidRDefault="00A363C9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Indicates w</w:t>
            </w:r>
            <w:r w:rsidR="00AD6739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hich </w:t>
            </w:r>
            <w:r w:rsidR="00530CA6">
              <w:rPr>
                <w:rFonts w:ascii="VIC" w:eastAsia="Times New Roman" w:hAnsi="VIC" w:cs="Calibri"/>
                <w:szCs w:val="20"/>
                <w:lang w:eastAsia="en-AU"/>
              </w:rPr>
              <w:t>workplace</w:t>
            </w:r>
            <w:r w:rsidR="00AD6739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gender equality indicator this question relates to (this information does not need to be presented to the respondent)</w:t>
            </w:r>
          </w:p>
        </w:tc>
      </w:tr>
      <w:tr w:rsidR="001A7D0D" w:rsidRPr="00DB72A0" w14:paraId="6708AEE9" w14:textId="77777777" w:rsidTr="00E14BA7">
        <w:tc>
          <w:tcPr>
            <w:tcW w:w="2500" w:type="pct"/>
          </w:tcPr>
          <w:p w14:paraId="26986D3F" w14:textId="5A2D72BE" w:rsidR="001A7D0D" w:rsidRPr="00E14BA7" w:rsidDel="00530CA6" w:rsidRDefault="001A7D0D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What to report to CGEPS</w:t>
            </w:r>
          </w:p>
        </w:tc>
        <w:tc>
          <w:tcPr>
            <w:tcW w:w="2500" w:type="pct"/>
          </w:tcPr>
          <w:p w14:paraId="40A3CD53" w14:textId="3BEDD5F9" w:rsidR="001A7D0D" w:rsidRPr="00E14BA7" w:rsidRDefault="00BC4A6C" w:rsidP="00DB72A0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 xml:space="preserve">Information about how </w:t>
            </w:r>
            <w:r w:rsidR="005967D6">
              <w:rPr>
                <w:rFonts w:ascii="VIC" w:eastAsia="Times New Roman" w:hAnsi="VIC" w:cs="Calibri"/>
                <w:szCs w:val="20"/>
                <w:lang w:eastAsia="en-AU"/>
              </w:rPr>
              <w:t>to calculate results to report to the Commission (this information does not need to be presented to the respondent)</w:t>
            </w:r>
          </w:p>
        </w:tc>
      </w:tr>
    </w:tbl>
    <w:p w14:paraId="0AC07BCD" w14:textId="77777777" w:rsidR="00D15B3C" w:rsidRDefault="00D15B3C" w:rsidP="00D15B3C">
      <w:pPr>
        <w:pStyle w:val="Body"/>
      </w:pPr>
    </w:p>
    <w:p w14:paraId="201AB7DD" w14:textId="48B14AC4" w:rsidR="006C4C86" w:rsidRDefault="00026094" w:rsidP="00D53A95">
      <w:pPr>
        <w:pStyle w:val="Heading4"/>
      </w:pPr>
      <w:bookmarkStart w:id="11" w:name="_Ref130241759"/>
      <w:r>
        <w:t>R</w:t>
      </w:r>
      <w:r w:rsidR="006C4C86">
        <w:t>esponse data</w:t>
      </w:r>
      <w:bookmarkEnd w:id="11"/>
    </w:p>
    <w:p w14:paraId="06BD943D" w14:textId="55F7796B" w:rsidR="00D53A95" w:rsidRDefault="008F6F74" w:rsidP="00D53A95">
      <w:pPr>
        <w:pStyle w:val="Body"/>
      </w:pPr>
      <w:r>
        <w:t xml:space="preserve">Once the survey has been closed and the results </w:t>
      </w:r>
      <w:r w:rsidR="00026094">
        <w:t xml:space="preserve">generated, they must be provided in </w:t>
      </w:r>
      <w:r w:rsidR="00493F48">
        <w:t>a specific</w:t>
      </w:r>
      <w:r w:rsidR="001C6BB8">
        <w:t xml:space="preserve"> format.</w:t>
      </w:r>
    </w:p>
    <w:p w14:paraId="4C20E52A" w14:textId="51D895AE" w:rsidR="001C6BB8" w:rsidRPr="00E14BA7" w:rsidRDefault="001C6BB8" w:rsidP="00D53A95">
      <w:pPr>
        <w:pStyle w:val="Body"/>
        <w:rPr>
          <w:b/>
          <w:color w:val="7030A0"/>
        </w:rPr>
      </w:pPr>
      <w:r w:rsidRPr="00E14BA7">
        <w:rPr>
          <w:b/>
          <w:color w:val="7030A0"/>
        </w:rPr>
        <w:t xml:space="preserve">Note: The Commission strongly recommends that your survey provider deliver the </w:t>
      </w:r>
      <w:r w:rsidR="00340C24">
        <w:rPr>
          <w:b/>
          <w:bCs/>
          <w:color w:val="7030A0"/>
        </w:rPr>
        <w:t>response data</w:t>
      </w:r>
      <w:r w:rsidR="005D4334" w:rsidRPr="00E14BA7">
        <w:rPr>
          <w:b/>
          <w:color w:val="7030A0"/>
        </w:rPr>
        <w:t xml:space="preserve"> </w:t>
      </w:r>
      <w:r w:rsidRPr="00E14BA7">
        <w:rPr>
          <w:b/>
          <w:color w:val="7030A0"/>
        </w:rPr>
        <w:t xml:space="preserve">information </w:t>
      </w:r>
      <w:r w:rsidR="00E37867" w:rsidRPr="00E14BA7">
        <w:rPr>
          <w:b/>
          <w:color w:val="7030A0"/>
        </w:rPr>
        <w:t>to you in the format described</w:t>
      </w:r>
      <w:r w:rsidR="00340C24">
        <w:rPr>
          <w:b/>
          <w:bCs/>
          <w:color w:val="7030A0"/>
        </w:rPr>
        <w:t xml:space="preserve"> below. </w:t>
      </w:r>
    </w:p>
    <w:p w14:paraId="42CF361D" w14:textId="13241DEF" w:rsidR="005D4334" w:rsidRDefault="00213334" w:rsidP="00D53A95">
      <w:pPr>
        <w:pStyle w:val="Body"/>
      </w:pPr>
      <w:r>
        <w:t>The employee experience reporting template is an Excel workbook. It contains the following sheets</w:t>
      </w:r>
    </w:p>
    <w:p w14:paraId="25776DA4" w14:textId="2B0AED68" w:rsidR="00213334" w:rsidRDefault="008B17E7" w:rsidP="00213334">
      <w:pPr>
        <w:pStyle w:val="Body"/>
        <w:numPr>
          <w:ilvl w:val="0"/>
          <w:numId w:val="12"/>
        </w:numPr>
      </w:pPr>
      <w:r>
        <w:t>Instructions – providing instructions for the population of the spreadsheet</w:t>
      </w:r>
      <w:r w:rsidR="00766920">
        <w:t>.</w:t>
      </w:r>
    </w:p>
    <w:p w14:paraId="0875DE6A" w14:textId="4142DF1D" w:rsidR="008B17E7" w:rsidRDefault="00A92F6D" w:rsidP="00213334">
      <w:pPr>
        <w:pStyle w:val="Body"/>
        <w:numPr>
          <w:ilvl w:val="0"/>
          <w:numId w:val="12"/>
        </w:numPr>
      </w:pPr>
      <w:r>
        <w:t>Results</w:t>
      </w:r>
      <w:r w:rsidR="00772BEA">
        <w:t xml:space="preserve"> – the container into which the responses must be </w:t>
      </w:r>
      <w:r w:rsidR="00766920">
        <w:t>populated</w:t>
      </w:r>
      <w:r w:rsidR="00772BEA">
        <w:t>.</w:t>
      </w:r>
    </w:p>
    <w:p w14:paraId="5669177D" w14:textId="488E73B9" w:rsidR="0017739F" w:rsidRDefault="0017739F" w:rsidP="0017739F">
      <w:pPr>
        <w:pStyle w:val="Body"/>
        <w:numPr>
          <w:ilvl w:val="0"/>
          <w:numId w:val="12"/>
        </w:numPr>
      </w:pPr>
      <w:r>
        <w:t>Indicator Key – outlining the workplace gender equality indicator corresponding to each number in the indicator column in sheet 2 (Results)</w:t>
      </w:r>
    </w:p>
    <w:p w14:paraId="44F47DD5" w14:textId="2273A8E4" w:rsidR="00766920" w:rsidRDefault="00766920" w:rsidP="00766920">
      <w:pPr>
        <w:pStyle w:val="Body"/>
      </w:pPr>
      <w:r>
        <w:t xml:space="preserve">Definitions for each column of the </w:t>
      </w:r>
      <w:r w:rsidR="00A92F6D">
        <w:rPr>
          <w:b/>
        </w:rPr>
        <w:t>Results</w:t>
      </w:r>
      <w:r w:rsidR="00EF5AEA">
        <w:rPr>
          <w:b/>
        </w:rPr>
        <w:t xml:space="preserve"> </w:t>
      </w:r>
      <w:r w:rsidR="00EF5AEA">
        <w:rPr>
          <w:bCs/>
        </w:rPr>
        <w:t>sheet</w:t>
      </w:r>
      <w:r>
        <w:t xml:space="preserve"> are as follows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766920" w:rsidRPr="003E38D8" w14:paraId="18AB8BB8" w14:textId="77777777" w:rsidTr="000B3275">
        <w:tc>
          <w:tcPr>
            <w:tcW w:w="2500" w:type="pct"/>
            <w:hideMark/>
          </w:tcPr>
          <w:p w14:paraId="7945C0BE" w14:textId="1A62389A" w:rsidR="00766920" w:rsidRPr="00E14BA7" w:rsidRDefault="00766920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b/>
                <w:szCs w:val="20"/>
                <w:lang w:eastAsia="en-AU"/>
              </w:rPr>
              <w:t>Column</w:t>
            </w:r>
          </w:p>
        </w:tc>
        <w:tc>
          <w:tcPr>
            <w:tcW w:w="2500" w:type="pct"/>
          </w:tcPr>
          <w:p w14:paraId="04004033" w14:textId="77777777" w:rsidR="00766920" w:rsidRPr="00E14BA7" w:rsidRDefault="00766920" w:rsidP="000B3275">
            <w:pPr>
              <w:rPr>
                <w:rFonts w:ascii="VIC" w:eastAsia="Times New Roman" w:hAnsi="VIC" w:cs="Calibri"/>
                <w:b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b/>
                <w:szCs w:val="20"/>
                <w:lang w:eastAsia="en-AU"/>
              </w:rPr>
              <w:t>Definition</w:t>
            </w:r>
          </w:p>
        </w:tc>
      </w:tr>
      <w:tr w:rsidR="00EF5AEA" w:rsidRPr="003E38D8" w14:paraId="072BE8AB" w14:textId="77777777" w:rsidTr="00F4639E">
        <w:tc>
          <w:tcPr>
            <w:tcW w:w="2500" w:type="pct"/>
          </w:tcPr>
          <w:p w14:paraId="366B7B0F" w14:textId="189314A7" w:rsidR="00EF5AEA" w:rsidRPr="00E14BA7" w:rsidRDefault="00EF5AEA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Suggested section</w:t>
            </w:r>
          </w:p>
        </w:tc>
        <w:tc>
          <w:tcPr>
            <w:tcW w:w="2500" w:type="pct"/>
          </w:tcPr>
          <w:p w14:paraId="545CCCDC" w14:textId="45C695F8" w:rsidR="00EF5AEA" w:rsidRPr="00E14BA7" w:rsidRDefault="00EF5AEA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Text to make the context of the question clear</w:t>
            </w:r>
          </w:p>
        </w:tc>
      </w:tr>
      <w:tr w:rsidR="00EF5AEA" w:rsidRPr="003E38D8" w14:paraId="6D8C4028" w14:textId="77777777" w:rsidTr="00F4639E">
        <w:tc>
          <w:tcPr>
            <w:tcW w:w="2500" w:type="pct"/>
          </w:tcPr>
          <w:p w14:paraId="743119F2" w14:textId="6122ACA3" w:rsidR="00EF5AEA" w:rsidRDefault="00EF5AEA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Question ID</w:t>
            </w:r>
          </w:p>
        </w:tc>
        <w:tc>
          <w:tcPr>
            <w:tcW w:w="2500" w:type="pct"/>
          </w:tcPr>
          <w:p w14:paraId="1ABD5C57" w14:textId="3FC1452A" w:rsidR="00EF5AEA" w:rsidRPr="00E14BA7" w:rsidRDefault="00EF5AEA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The unique identifier for this question</w:t>
            </w:r>
          </w:p>
        </w:tc>
      </w:tr>
      <w:tr w:rsidR="00766920" w:rsidRPr="003E38D8" w14:paraId="65242732" w14:textId="77777777" w:rsidTr="000B3275">
        <w:tc>
          <w:tcPr>
            <w:tcW w:w="2500" w:type="pct"/>
            <w:hideMark/>
          </w:tcPr>
          <w:p w14:paraId="67612D19" w14:textId="6B61AC09" w:rsidR="00766920" w:rsidRPr="00E14BA7" w:rsidRDefault="00E5433B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Question</w:t>
            </w:r>
          </w:p>
        </w:tc>
        <w:tc>
          <w:tcPr>
            <w:tcW w:w="2500" w:type="pct"/>
          </w:tcPr>
          <w:p w14:paraId="160BFE36" w14:textId="67F9585E" w:rsidR="00766920" w:rsidRPr="00E14BA7" w:rsidRDefault="00766920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The text of the </w:t>
            </w:r>
            <w:r w:rsidR="002C217A" w:rsidRPr="00E14BA7">
              <w:rPr>
                <w:rFonts w:ascii="VIC" w:eastAsia="Times New Roman" w:hAnsi="VIC" w:cs="Calibri"/>
                <w:szCs w:val="20"/>
                <w:lang w:eastAsia="en-AU"/>
              </w:rPr>
              <w:t>question</w:t>
            </w: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</w:t>
            </w:r>
          </w:p>
        </w:tc>
      </w:tr>
      <w:tr w:rsidR="00701B2F" w:rsidRPr="003E38D8" w14:paraId="27CFFBFA" w14:textId="77777777" w:rsidTr="00F4639E">
        <w:tc>
          <w:tcPr>
            <w:tcW w:w="2500" w:type="pct"/>
          </w:tcPr>
          <w:p w14:paraId="32CB5407" w14:textId="76200D98" w:rsidR="00701B2F" w:rsidRPr="00E14BA7" w:rsidRDefault="00701B2F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Indicator</w:t>
            </w:r>
          </w:p>
        </w:tc>
        <w:tc>
          <w:tcPr>
            <w:tcW w:w="2500" w:type="pct"/>
          </w:tcPr>
          <w:p w14:paraId="3D635C12" w14:textId="51174331" w:rsidR="00701B2F" w:rsidRPr="00E14BA7" w:rsidRDefault="00A363C9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Indicates w</w:t>
            </w:r>
            <w:r w:rsidR="00701B2F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hich </w:t>
            </w:r>
            <w:r w:rsidR="00701B2F">
              <w:rPr>
                <w:rFonts w:ascii="VIC" w:eastAsia="Times New Roman" w:hAnsi="VIC" w:cs="Calibri"/>
                <w:szCs w:val="20"/>
                <w:lang w:eastAsia="en-AU"/>
              </w:rPr>
              <w:t>workplace</w:t>
            </w:r>
            <w:r w:rsidR="00701B2F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gender equality indicator this question relates to</w:t>
            </w:r>
          </w:p>
        </w:tc>
      </w:tr>
      <w:tr w:rsidR="00766920" w:rsidRPr="003E38D8" w14:paraId="00F4BCE4" w14:textId="77777777" w:rsidTr="000B3275">
        <w:tc>
          <w:tcPr>
            <w:tcW w:w="2500" w:type="pct"/>
            <w:hideMark/>
          </w:tcPr>
          <w:p w14:paraId="3700913E" w14:textId="403E15F8" w:rsidR="00766920" w:rsidRPr="00E14BA7" w:rsidRDefault="00C370F6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M</w:t>
            </w:r>
            <w:r w:rsidR="000E21F1" w:rsidRPr="00E14BA7">
              <w:rPr>
                <w:rFonts w:ascii="VIC" w:eastAsia="Times New Roman" w:hAnsi="VIC" w:cs="Calibri"/>
                <w:szCs w:val="20"/>
                <w:lang w:eastAsia="en-AU"/>
              </w:rPr>
              <w:t>easure</w:t>
            </w:r>
          </w:p>
        </w:tc>
        <w:tc>
          <w:tcPr>
            <w:tcW w:w="2500" w:type="pct"/>
          </w:tcPr>
          <w:p w14:paraId="2BD0B677" w14:textId="5814DF3B" w:rsidR="00766920" w:rsidRPr="00E14BA7" w:rsidRDefault="00C61DD6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Indicates</w:t>
            </w:r>
            <w:r w:rsidR="00497F45">
              <w:rPr>
                <w:rFonts w:ascii="VIC" w:eastAsia="Times New Roman" w:hAnsi="VIC" w:cs="Calibri"/>
                <w:szCs w:val="20"/>
                <w:lang w:eastAsia="en-AU"/>
              </w:rPr>
              <w:t xml:space="preserve"> </w:t>
            </w:r>
            <w:r w:rsidR="00227ECA">
              <w:rPr>
                <w:rFonts w:ascii="VIC" w:eastAsia="Times New Roman" w:hAnsi="VIC" w:cs="Calibri"/>
                <w:szCs w:val="20"/>
                <w:lang w:eastAsia="en-AU"/>
              </w:rPr>
              <w:t xml:space="preserve">which response or responses to </w:t>
            </w:r>
            <w:r w:rsidR="00353F29">
              <w:rPr>
                <w:rFonts w:ascii="VIC" w:eastAsia="Times New Roman" w:hAnsi="VIC" w:cs="Calibri"/>
                <w:szCs w:val="20"/>
                <w:lang w:eastAsia="en-AU"/>
              </w:rPr>
              <w:t>report in this row</w:t>
            </w:r>
          </w:p>
        </w:tc>
      </w:tr>
      <w:tr w:rsidR="00AE50FF" w:rsidRPr="003E38D8" w14:paraId="0C162255" w14:textId="77777777" w:rsidTr="00F4639E">
        <w:tc>
          <w:tcPr>
            <w:tcW w:w="2500" w:type="pct"/>
          </w:tcPr>
          <w:p w14:paraId="3E8E41B5" w14:textId="4CA9B7D7" w:rsidR="00AE50FF" w:rsidRPr="00E14BA7" w:rsidDel="00C370F6" w:rsidRDefault="00AE50FF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Measure calculation notes</w:t>
            </w:r>
          </w:p>
        </w:tc>
        <w:tc>
          <w:tcPr>
            <w:tcW w:w="2500" w:type="pct"/>
          </w:tcPr>
          <w:p w14:paraId="727BA281" w14:textId="03B3168E" w:rsidR="00AE50FF" w:rsidRPr="00E14BA7" w:rsidDel="00497F45" w:rsidRDefault="007D1BB5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Describes how</w:t>
            </w:r>
            <w:r w:rsidR="00F33229">
              <w:rPr>
                <w:rFonts w:ascii="VIC" w:eastAsia="Times New Roman" w:hAnsi="VIC" w:cs="Calibri"/>
                <w:szCs w:val="20"/>
                <w:lang w:eastAsia="en-AU"/>
              </w:rPr>
              <w:t xml:space="preserve"> to calculate the </w:t>
            </w:r>
            <w:r w:rsidR="00501A4F">
              <w:rPr>
                <w:rFonts w:ascii="VIC" w:eastAsia="Times New Roman" w:hAnsi="VIC" w:cs="Calibri"/>
                <w:szCs w:val="20"/>
                <w:lang w:eastAsia="en-AU"/>
              </w:rPr>
              <w:t>result in this row</w:t>
            </w:r>
          </w:p>
        </w:tc>
      </w:tr>
      <w:tr w:rsidR="00B12430" w:rsidRPr="003E38D8" w14:paraId="6EBC63F2" w14:textId="77777777" w:rsidTr="000B3275">
        <w:tc>
          <w:tcPr>
            <w:tcW w:w="2500" w:type="pct"/>
          </w:tcPr>
          <w:p w14:paraId="35AB898A" w14:textId="42E601E0" w:rsidR="00B12430" w:rsidRPr="00E14BA7" w:rsidRDefault="00E253D8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Gender</w:t>
            </w:r>
          </w:p>
        </w:tc>
        <w:tc>
          <w:tcPr>
            <w:tcW w:w="2500" w:type="pct"/>
          </w:tcPr>
          <w:p w14:paraId="6F75FA5C" w14:textId="77777777" w:rsidR="00B12430" w:rsidRPr="00E14BA7" w:rsidRDefault="008642A7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One of the following</w:t>
            </w:r>
          </w:p>
          <w:p w14:paraId="047CC582" w14:textId="0E057CB5" w:rsidR="008642A7" w:rsidRPr="00E14BA7" w:rsidRDefault="008642A7" w:rsidP="00D114DF">
            <w:pPr>
              <w:pStyle w:val="ListParagraph"/>
              <w:numPr>
                <w:ilvl w:val="0"/>
                <w:numId w:val="21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Woman</w:t>
            </w:r>
          </w:p>
          <w:p w14:paraId="4ADCE3B7" w14:textId="7387F2FB" w:rsidR="008642A7" w:rsidRPr="00E14BA7" w:rsidRDefault="008642A7" w:rsidP="00D114DF">
            <w:pPr>
              <w:pStyle w:val="ListParagraph"/>
              <w:numPr>
                <w:ilvl w:val="0"/>
                <w:numId w:val="21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Man</w:t>
            </w:r>
          </w:p>
          <w:p w14:paraId="10C8499A" w14:textId="4A057B60" w:rsidR="008642A7" w:rsidRPr="00E14BA7" w:rsidRDefault="008642A7" w:rsidP="00D114DF">
            <w:pPr>
              <w:pStyle w:val="ListParagraph"/>
              <w:numPr>
                <w:ilvl w:val="0"/>
                <w:numId w:val="21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Self-described </w:t>
            </w:r>
          </w:p>
        </w:tc>
      </w:tr>
      <w:tr w:rsidR="00555120" w:rsidRPr="003E38D8" w14:paraId="52C5EE24" w14:textId="77777777" w:rsidTr="00F4639E">
        <w:tc>
          <w:tcPr>
            <w:tcW w:w="2500" w:type="pct"/>
          </w:tcPr>
          <w:p w14:paraId="71F0F97E" w14:textId="37306D37" w:rsidR="00555120" w:rsidRPr="00E14BA7" w:rsidRDefault="006151F5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Intersectional group</w:t>
            </w:r>
          </w:p>
        </w:tc>
        <w:tc>
          <w:tcPr>
            <w:tcW w:w="2500" w:type="pct"/>
          </w:tcPr>
          <w:p w14:paraId="55A59AC9" w14:textId="77777777" w:rsidR="00555120" w:rsidRDefault="00AC3427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One of the following</w:t>
            </w:r>
          </w:p>
          <w:p w14:paraId="31C43125" w14:textId="6D0FF95B" w:rsidR="00C559DB" w:rsidRDefault="00C559DB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N/A</w:t>
            </w:r>
          </w:p>
          <w:p w14:paraId="6BEDD887" w14:textId="72E0B672" w:rsidR="00AC3427" w:rsidRDefault="00AC3427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Age</w:t>
            </w:r>
          </w:p>
          <w:p w14:paraId="63BDC218" w14:textId="77777777" w:rsidR="00E157A7" w:rsidRDefault="00E157A7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Aboriginal and/or Torres Strait Islander</w:t>
            </w:r>
          </w:p>
          <w:p w14:paraId="2AE844A0" w14:textId="77777777" w:rsidR="00E157A7" w:rsidRDefault="00E157A7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Caring responsibility</w:t>
            </w:r>
          </w:p>
          <w:p w14:paraId="7449ED7F" w14:textId="77777777" w:rsidR="00E157A7" w:rsidRDefault="00E157A7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Country of birth</w:t>
            </w:r>
          </w:p>
          <w:p w14:paraId="00C73F19" w14:textId="77777777" w:rsidR="00E157A7" w:rsidRDefault="00A52532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Disability</w:t>
            </w:r>
          </w:p>
          <w:p w14:paraId="0517FAD9" w14:textId="77777777" w:rsidR="00A52532" w:rsidRDefault="00A52532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Language other than English spoken with family or community</w:t>
            </w:r>
          </w:p>
          <w:p w14:paraId="44A0400C" w14:textId="5AE153DC" w:rsidR="00A52532" w:rsidRPr="00AC3427" w:rsidRDefault="00C559DB" w:rsidP="00AC3427">
            <w:pPr>
              <w:pStyle w:val="ListParagraph"/>
              <w:numPr>
                <w:ilvl w:val="0"/>
                <w:numId w:val="20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Sexual orientation</w:t>
            </w:r>
          </w:p>
        </w:tc>
      </w:tr>
      <w:tr w:rsidR="007213C6" w:rsidRPr="003E38D8" w14:paraId="569E14D7" w14:textId="77777777" w:rsidTr="00F4639E">
        <w:tc>
          <w:tcPr>
            <w:tcW w:w="2500" w:type="pct"/>
          </w:tcPr>
          <w:p w14:paraId="7EAF398B" w14:textId="5B6D7A6C" w:rsidR="007213C6" w:rsidRPr="00E14BA7" w:rsidRDefault="007213C6" w:rsidP="00F4639E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Intersectionality</w:t>
            </w:r>
          </w:p>
        </w:tc>
        <w:tc>
          <w:tcPr>
            <w:tcW w:w="2500" w:type="pct"/>
          </w:tcPr>
          <w:p w14:paraId="233F8355" w14:textId="2E1FFDF3" w:rsidR="007213C6" w:rsidRPr="00E14BA7" w:rsidRDefault="004530E6" w:rsidP="00F4639E">
            <w:pPr>
              <w:rPr>
                <w:rFonts w:ascii="VIC" w:eastAsia="Times New Roman" w:hAnsi="VIC" w:cs="Calibri"/>
                <w:szCs w:val="20"/>
                <w:highlight w:val="yellow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A demographic attribute describing the group</w:t>
            </w:r>
            <w:r w:rsidR="00662EF6">
              <w:rPr>
                <w:rFonts w:ascii="VIC" w:eastAsia="Times New Roman" w:hAnsi="VIC" w:cs="Calibri"/>
                <w:szCs w:val="20"/>
                <w:lang w:eastAsia="en-AU"/>
              </w:rPr>
              <w:t xml:space="preserve"> captured in this row</w:t>
            </w:r>
            <w:r w:rsidR="007D1BB5">
              <w:rPr>
                <w:rFonts w:ascii="VIC" w:eastAsia="Times New Roman" w:hAnsi="VIC" w:cs="Calibri"/>
                <w:szCs w:val="20"/>
                <w:lang w:eastAsia="en-AU"/>
              </w:rPr>
              <w:t xml:space="preserve"> </w:t>
            </w:r>
          </w:p>
        </w:tc>
      </w:tr>
      <w:tr w:rsidR="00E253D8" w:rsidRPr="003E38D8" w14:paraId="79C84160" w14:textId="77777777" w:rsidTr="000B3275">
        <w:tc>
          <w:tcPr>
            <w:tcW w:w="2500" w:type="pct"/>
          </w:tcPr>
          <w:p w14:paraId="07787346" w14:textId="6499CEE5" w:rsidR="00E253D8" w:rsidRPr="00E14BA7" w:rsidRDefault="00505393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Result</w:t>
            </w:r>
          </w:p>
        </w:tc>
        <w:tc>
          <w:tcPr>
            <w:tcW w:w="2500" w:type="pct"/>
          </w:tcPr>
          <w:p w14:paraId="5DF1D540" w14:textId="0362584B" w:rsidR="00E253D8" w:rsidRPr="00E14BA7" w:rsidRDefault="00505393" w:rsidP="000B3275">
            <w:pPr>
              <w:rPr>
                <w:rFonts w:ascii="VIC" w:eastAsia="Times New Roman" w:hAnsi="VIC" w:cs="Calibri"/>
                <w:szCs w:val="20"/>
                <w:lang w:eastAsia="en-AU"/>
              </w:rPr>
            </w:pP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>Hold</w:t>
            </w:r>
            <w:r>
              <w:rPr>
                <w:rFonts w:ascii="VIC" w:eastAsia="Times New Roman" w:hAnsi="VIC" w:cs="Calibri"/>
                <w:szCs w:val="20"/>
                <w:lang w:eastAsia="en-AU"/>
              </w:rPr>
              <w:t>s</w:t>
            </w:r>
            <w:r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</w:t>
            </w:r>
            <w:r w:rsidR="007C7D32" w:rsidRPr="00E14BA7">
              <w:rPr>
                <w:rFonts w:ascii="VIC" w:eastAsia="Times New Roman" w:hAnsi="VIC" w:cs="Calibri"/>
                <w:szCs w:val="20"/>
                <w:lang w:eastAsia="en-AU"/>
              </w:rPr>
              <w:t>the value associated with this combination of attributes</w:t>
            </w:r>
            <w:r w:rsidR="003A7876" w:rsidRPr="00E14BA7">
              <w:rPr>
                <w:rFonts w:ascii="VIC" w:eastAsia="Times New Roman" w:hAnsi="VIC" w:cs="Calibri"/>
                <w:szCs w:val="20"/>
                <w:lang w:eastAsia="en-AU"/>
              </w:rPr>
              <w:t>. Must be populated either with</w:t>
            </w:r>
          </w:p>
          <w:p w14:paraId="6840518A" w14:textId="006704BE" w:rsidR="00E368CF" w:rsidRPr="00E14BA7" w:rsidRDefault="004309E9" w:rsidP="00E368CF">
            <w:pPr>
              <w:pStyle w:val="ListParagraph"/>
              <w:numPr>
                <w:ilvl w:val="0"/>
                <w:numId w:val="14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A d</w:t>
            </w:r>
            <w:r w:rsidR="00E368CF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ecimal </w:t>
            </w:r>
            <w:r>
              <w:rPr>
                <w:rFonts w:ascii="VIC" w:eastAsia="Times New Roman" w:hAnsi="VIC" w:cs="Calibri"/>
                <w:szCs w:val="20"/>
                <w:lang w:eastAsia="en-AU"/>
              </w:rPr>
              <w:t>value</w:t>
            </w:r>
            <w:r w:rsidR="00E368CF" w:rsidRPr="00E14BA7">
              <w:rPr>
                <w:rFonts w:ascii="VIC" w:eastAsia="Times New Roman" w:hAnsi="VIC" w:cs="Calibri"/>
                <w:szCs w:val="20"/>
                <w:lang w:eastAsia="en-AU"/>
              </w:rPr>
              <w:t xml:space="preserve"> between 0 and 1 </w:t>
            </w:r>
            <w:r>
              <w:rPr>
                <w:rFonts w:ascii="VIC" w:eastAsia="Times New Roman" w:hAnsi="VIC" w:cs="Calibri"/>
                <w:szCs w:val="20"/>
                <w:lang w:eastAsia="en-AU"/>
              </w:rPr>
              <w:t xml:space="preserve">(inclusive) as described in the </w:t>
            </w:r>
            <w:r w:rsidR="009C2243">
              <w:rPr>
                <w:rFonts w:ascii="VIC" w:eastAsia="Times New Roman" w:hAnsi="VIC" w:cs="Calibri"/>
                <w:szCs w:val="20"/>
                <w:lang w:eastAsia="en-AU"/>
              </w:rPr>
              <w:t>Measure calculation notes column</w:t>
            </w:r>
            <w:r w:rsidR="00305A82" w:rsidRPr="00E14BA7">
              <w:rPr>
                <w:rFonts w:ascii="VIC" w:eastAsia="Times New Roman" w:hAnsi="VIC" w:cs="Calibri"/>
                <w:szCs w:val="20"/>
                <w:lang w:eastAsia="en-AU"/>
              </w:rPr>
              <w:t>; or</w:t>
            </w:r>
          </w:p>
          <w:p w14:paraId="32EAEE64" w14:textId="0B2D9C75" w:rsidR="003A7876" w:rsidRPr="00E14BA7" w:rsidRDefault="009C2243" w:rsidP="00E14BA7">
            <w:pPr>
              <w:pStyle w:val="ListParagraph"/>
              <w:numPr>
                <w:ilvl w:val="0"/>
                <w:numId w:val="14"/>
              </w:numPr>
              <w:rPr>
                <w:rFonts w:ascii="VIC" w:eastAsia="Times New Roman" w:hAnsi="VIC" w:cs="Calibri"/>
                <w:szCs w:val="20"/>
                <w:lang w:eastAsia="en-AU"/>
              </w:rPr>
            </w:pPr>
            <w:r>
              <w:rPr>
                <w:rFonts w:ascii="VIC" w:eastAsia="Times New Roman" w:hAnsi="VIC" w:cs="Calibri"/>
                <w:szCs w:val="20"/>
                <w:lang w:eastAsia="en-AU"/>
              </w:rPr>
              <w:t>The letter N, to indicate that a result has been redacted to protect participants’ confidentiality, per the method described in this practice note</w:t>
            </w:r>
          </w:p>
        </w:tc>
      </w:tr>
    </w:tbl>
    <w:p w14:paraId="53211AB1" w14:textId="77777777" w:rsidR="00766920" w:rsidRDefault="00766920" w:rsidP="00766920">
      <w:pPr>
        <w:pStyle w:val="Body"/>
      </w:pPr>
    </w:p>
    <w:p w14:paraId="3AADD8C1" w14:textId="77777777" w:rsidR="006B21B0" w:rsidRDefault="006B21B0" w:rsidP="00766920">
      <w:pPr>
        <w:pStyle w:val="Body"/>
      </w:pPr>
      <w:r>
        <w:t>Notes:</w:t>
      </w:r>
    </w:p>
    <w:p w14:paraId="4264D9D6" w14:textId="190BCC8F" w:rsidR="006B21B0" w:rsidRDefault="006B21B0" w:rsidP="006B21B0">
      <w:pPr>
        <w:pStyle w:val="Body"/>
        <w:numPr>
          <w:ilvl w:val="0"/>
          <w:numId w:val="13"/>
        </w:numPr>
      </w:pPr>
      <w:r>
        <w:t>The collection template is presented in a fully-populated format – that is a row is populated for every</w:t>
      </w:r>
      <w:r w:rsidR="00803997">
        <w:t xml:space="preserve"> valid</w:t>
      </w:r>
      <w:r>
        <w:t xml:space="preserve"> combination of </w:t>
      </w:r>
      <w:r w:rsidR="00D17348">
        <w:t>question</w:t>
      </w:r>
      <w:r w:rsidR="00710BD4">
        <w:t xml:space="preserve"> + response + </w:t>
      </w:r>
      <w:r w:rsidR="00803997">
        <w:t>gender + intersection</w:t>
      </w:r>
    </w:p>
    <w:p w14:paraId="3D99CD00" w14:textId="72E61697" w:rsidR="00803997" w:rsidRPr="00D53A95" w:rsidRDefault="00305A82" w:rsidP="00E14BA7">
      <w:pPr>
        <w:pStyle w:val="Body"/>
        <w:numPr>
          <w:ilvl w:val="0"/>
          <w:numId w:val="13"/>
        </w:numPr>
      </w:pPr>
      <w:r>
        <w:t xml:space="preserve">Each value must be populated as described in the table above. Blank values are not acceptable. </w:t>
      </w:r>
    </w:p>
    <w:p w14:paraId="053569FC" w14:textId="59CF3B53" w:rsidR="00E844F2" w:rsidRPr="00D841E8" w:rsidRDefault="00E844F2" w:rsidP="006448ED">
      <w:pPr>
        <w:pStyle w:val="Heading1"/>
      </w:pPr>
      <w:bookmarkStart w:id="12" w:name="_Toc131443321"/>
      <w:r w:rsidRPr="00D841E8">
        <w:t>Maximising response rates</w:t>
      </w:r>
      <w:bookmarkEnd w:id="12"/>
    </w:p>
    <w:p w14:paraId="30CA8953" w14:textId="1AEC2F13" w:rsidR="00780800" w:rsidRPr="00D841E8" w:rsidRDefault="003C0048" w:rsidP="00BD7A75">
      <w:pPr>
        <w:pStyle w:val="Body"/>
      </w:pPr>
      <w:r w:rsidRPr="00D841E8">
        <w:t xml:space="preserve">Your defined entity </w:t>
      </w:r>
      <w:r w:rsidR="00780800" w:rsidRPr="00D841E8">
        <w:t>should aim</w:t>
      </w:r>
      <w:r w:rsidR="001F61CE" w:rsidRPr="00D841E8">
        <w:t xml:space="preserve"> to maximise the number of people completing the survey, with a </w:t>
      </w:r>
      <w:r w:rsidR="00780800" w:rsidRPr="00D841E8">
        <w:rPr>
          <w:b/>
          <w:bCs/>
        </w:rPr>
        <w:t xml:space="preserve">minimum </w:t>
      </w:r>
      <w:r w:rsidR="00780800" w:rsidRPr="00D841E8">
        <w:t>of 30 complete response</w:t>
      </w:r>
      <w:r w:rsidR="001F61CE" w:rsidRPr="00D841E8">
        <w:t>s</w:t>
      </w:r>
      <w:r w:rsidR="00780800" w:rsidRPr="00D841E8">
        <w:t xml:space="preserve">. This will ensure that any demographic </w:t>
      </w:r>
      <w:r w:rsidR="001F61CE" w:rsidRPr="00D841E8">
        <w:t xml:space="preserve">group data can be aggregated in a way that maintains confidentiality and is representative of your workforce. </w:t>
      </w:r>
    </w:p>
    <w:p w14:paraId="6D2F919B" w14:textId="7CD4C041" w:rsidR="00E844F2" w:rsidRPr="00D841E8" w:rsidRDefault="00886D7A" w:rsidP="00BD7A75">
      <w:pPr>
        <w:pStyle w:val="Body"/>
      </w:pPr>
      <w:r w:rsidRPr="00886D7A">
        <w:t xml:space="preserve">Your defined entity can take several steps </w:t>
      </w:r>
      <w:r w:rsidR="00E844F2" w:rsidRPr="00D841E8">
        <w:t xml:space="preserve">to ensure you receive as many responses from your employees as possible. We recommend, for example: </w:t>
      </w:r>
    </w:p>
    <w:p w14:paraId="54F1D5D4" w14:textId="16FD5FB5" w:rsidR="00E844F2" w:rsidRPr="00D841E8" w:rsidRDefault="00E844F2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 xml:space="preserve">Making sure you have </w:t>
      </w:r>
      <w:r w:rsidR="00D33EFC" w:rsidRPr="00D841E8">
        <w:rPr>
          <w:rFonts w:ascii="VIC" w:hAnsi="VIC"/>
        </w:rPr>
        <w:t>confidentiality and privacy protocols</w:t>
      </w:r>
      <w:r w:rsidRPr="00D841E8">
        <w:rPr>
          <w:rFonts w:ascii="VIC" w:hAnsi="VIC"/>
        </w:rPr>
        <w:t xml:space="preserve"> throughout </w:t>
      </w:r>
      <w:r w:rsidR="00A54D3D" w:rsidRPr="00D841E8">
        <w:rPr>
          <w:rFonts w:ascii="VIC" w:hAnsi="VIC"/>
        </w:rPr>
        <w:t xml:space="preserve">the </w:t>
      </w:r>
      <w:r w:rsidRPr="00D841E8">
        <w:rPr>
          <w:rFonts w:ascii="VIC" w:hAnsi="VIC"/>
        </w:rPr>
        <w:t>administration of the survey</w:t>
      </w:r>
      <w:r w:rsidR="00D33EFC" w:rsidRPr="00D841E8">
        <w:rPr>
          <w:rFonts w:ascii="VIC" w:hAnsi="VIC"/>
        </w:rPr>
        <w:t>, and communicate this to participants</w:t>
      </w:r>
    </w:p>
    <w:p w14:paraId="5CA4FCDB" w14:textId="2356C621" w:rsidR="00E844F2" w:rsidRPr="00D841E8" w:rsidRDefault="00E844F2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 xml:space="preserve">Being clear and upfront with your employees about how your third-party provider is going to handle </w:t>
      </w:r>
      <w:r w:rsidR="00A54D3D" w:rsidRPr="00D841E8">
        <w:rPr>
          <w:rFonts w:ascii="VIC" w:hAnsi="VIC"/>
        </w:rPr>
        <w:t xml:space="preserve">and report on </w:t>
      </w:r>
      <w:r w:rsidRPr="00D841E8">
        <w:rPr>
          <w:rFonts w:ascii="VIC" w:hAnsi="VIC"/>
        </w:rPr>
        <w:t>the data</w:t>
      </w:r>
    </w:p>
    <w:p w14:paraId="52FB98B5" w14:textId="1EA62B5C" w:rsidR="00EF5789" w:rsidRPr="00D841E8" w:rsidRDefault="00EF5789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>Promoting the survey and commit</w:t>
      </w:r>
      <w:r w:rsidR="00A07AF4">
        <w:rPr>
          <w:rFonts w:ascii="VIC" w:hAnsi="VIC"/>
        </w:rPr>
        <w:t>ting</w:t>
      </w:r>
      <w:r w:rsidRPr="00D841E8">
        <w:rPr>
          <w:rFonts w:ascii="VIC" w:hAnsi="VIC"/>
        </w:rPr>
        <w:t xml:space="preserve"> to taking action on the results</w:t>
      </w:r>
    </w:p>
    <w:p w14:paraId="40854B67" w14:textId="6148D6A9" w:rsidR="00E844F2" w:rsidRPr="00D841E8" w:rsidRDefault="00E844F2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>Using generic links (not personalised invites) wherever possible</w:t>
      </w:r>
    </w:p>
    <w:p w14:paraId="54AA9332" w14:textId="0FE9AEB2" w:rsidR="00E844F2" w:rsidRPr="00D841E8" w:rsidRDefault="00E844F2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>Providing survey links that are accessible via mobile phones for non-desk-based employees</w:t>
      </w:r>
    </w:p>
    <w:p w14:paraId="2EDDCAC5" w14:textId="5D39F349" w:rsidR="00E844F2" w:rsidRDefault="00E844F2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>Making a dedicated workstation with a computer or iPad available for completing the survey</w:t>
      </w:r>
    </w:p>
    <w:p w14:paraId="13373075" w14:textId="397A7B54" w:rsidR="00A8112B" w:rsidRPr="00D841E8" w:rsidRDefault="00A8112B" w:rsidP="00E328BC">
      <w:pPr>
        <w:pStyle w:val="Bullets1"/>
        <w:rPr>
          <w:rFonts w:ascii="VIC" w:hAnsi="VIC"/>
        </w:rPr>
      </w:pPr>
      <w:r>
        <w:rPr>
          <w:rFonts w:ascii="VIC" w:hAnsi="VIC"/>
        </w:rPr>
        <w:t xml:space="preserve">Scheduling </w:t>
      </w:r>
      <w:r w:rsidR="00A65A93">
        <w:rPr>
          <w:rFonts w:ascii="VIC" w:hAnsi="VIC"/>
        </w:rPr>
        <w:t xml:space="preserve">work </w:t>
      </w:r>
      <w:r>
        <w:rPr>
          <w:rFonts w:ascii="VIC" w:hAnsi="VIC"/>
        </w:rPr>
        <w:t xml:space="preserve">time for </w:t>
      </w:r>
      <w:r w:rsidR="00A65A93">
        <w:rPr>
          <w:rFonts w:ascii="VIC" w:hAnsi="VIC"/>
        </w:rPr>
        <w:t>employees to complete the survey</w:t>
      </w:r>
    </w:p>
    <w:p w14:paraId="5969F3F6" w14:textId="30B5A0E0" w:rsidR="00E844F2" w:rsidRPr="00D841E8" w:rsidRDefault="00E844F2" w:rsidP="00E328BC">
      <w:pPr>
        <w:pStyle w:val="Bullets1"/>
        <w:rPr>
          <w:rFonts w:ascii="VIC" w:hAnsi="VIC"/>
        </w:rPr>
      </w:pPr>
      <w:r w:rsidRPr="00D841E8">
        <w:rPr>
          <w:rFonts w:ascii="VIC" w:hAnsi="VIC"/>
        </w:rPr>
        <w:t>Ensuring your third-party provider follows the protections for confidentiality described above.</w:t>
      </w:r>
    </w:p>
    <w:p w14:paraId="761101BF" w14:textId="77EEFA8B" w:rsidR="00D33EFC" w:rsidRPr="00D841E8" w:rsidRDefault="00D33EFC" w:rsidP="006448ED">
      <w:pPr>
        <w:pStyle w:val="Heading1"/>
      </w:pPr>
      <w:bookmarkStart w:id="13" w:name="_Toc131443322"/>
      <w:r w:rsidRPr="00D841E8">
        <w:t>Quality assurance and compliance</w:t>
      </w:r>
      <w:bookmarkEnd w:id="13"/>
      <w:r w:rsidRPr="00D841E8">
        <w:t xml:space="preserve"> </w:t>
      </w:r>
    </w:p>
    <w:p w14:paraId="0EF93B18" w14:textId="14A3A018" w:rsidR="00D33EFC" w:rsidRPr="00D841E8" w:rsidRDefault="00021B53" w:rsidP="00BD7A75">
      <w:pPr>
        <w:pStyle w:val="Body"/>
      </w:pPr>
      <w:r>
        <w:t xml:space="preserve">We recommend </w:t>
      </w:r>
      <w:r w:rsidR="002C3839">
        <w:t xml:space="preserve">that </w:t>
      </w:r>
      <w:r>
        <w:t>t</w:t>
      </w:r>
      <w:r w:rsidR="00D33EFC" w:rsidRPr="00D841E8">
        <w:t xml:space="preserve">he survey </w:t>
      </w:r>
      <w:r>
        <w:t>is</w:t>
      </w:r>
      <w:r w:rsidR="00D33EFC" w:rsidRPr="00D841E8">
        <w:t xml:space="preserve"> conducted by a third-party provider who can demonstrate </w:t>
      </w:r>
      <w:r w:rsidR="007F05E8">
        <w:t xml:space="preserve">that </w:t>
      </w:r>
      <w:r w:rsidR="00D33EFC" w:rsidRPr="00D841E8">
        <w:t xml:space="preserve">they are a member of the Association of Market and Social </w:t>
      </w:r>
      <w:r w:rsidR="00B32996" w:rsidRPr="00D841E8">
        <w:t>Research</w:t>
      </w:r>
      <w:r w:rsidR="00D33EFC" w:rsidRPr="00D841E8">
        <w:t xml:space="preserve"> Organisation (AMSRO) or The Research Society (formerly the Australian Market &amp; Social Research Society AMSRS). </w:t>
      </w:r>
    </w:p>
    <w:p w14:paraId="4A81BBE0" w14:textId="3E5A0761" w:rsidR="00D33EFC" w:rsidRPr="00D841E8" w:rsidRDefault="00D33EFC" w:rsidP="00BD7A75">
      <w:pPr>
        <w:pStyle w:val="Body"/>
      </w:pPr>
      <w:r w:rsidRPr="00D841E8">
        <w:t xml:space="preserve">Alternatively, the provider </w:t>
      </w:r>
      <w:r w:rsidR="00021B53">
        <w:t>could</w:t>
      </w:r>
      <w:r w:rsidRPr="00D841E8">
        <w:t xml:space="preserve"> supply evidence of equivalent accreditation and supply documented evidence of compliance via independent assessment. </w:t>
      </w:r>
    </w:p>
    <w:p w14:paraId="20408B11" w14:textId="08E067F1" w:rsidR="00D33EFC" w:rsidRPr="00D841E8" w:rsidRDefault="00D33EFC" w:rsidP="00BD7A75">
      <w:pPr>
        <w:pStyle w:val="Body"/>
      </w:pPr>
      <w:r w:rsidRPr="00D841E8">
        <w:t xml:space="preserve">The provider </w:t>
      </w:r>
      <w:r w:rsidR="7E2E4963" w:rsidRPr="0475F4F1">
        <w:t>should</w:t>
      </w:r>
      <w:r w:rsidRPr="00D841E8">
        <w:t xml:space="preserve"> </w:t>
      </w:r>
      <w:r w:rsidR="00FB0FA8">
        <w:t xml:space="preserve">also </w:t>
      </w:r>
      <w:r w:rsidRPr="00D841E8">
        <w:t xml:space="preserve">be able to provide </w:t>
      </w:r>
      <w:r w:rsidR="00FB0FA8">
        <w:t xml:space="preserve">you with </w:t>
      </w:r>
      <w:r w:rsidRPr="00D841E8">
        <w:t xml:space="preserve">evidence of accreditation or pending accreditation (before </w:t>
      </w:r>
      <w:r w:rsidR="008E0E07">
        <w:t xml:space="preserve">the </w:t>
      </w:r>
      <w:r w:rsidRPr="00D841E8">
        <w:t>commencement of the survey</w:t>
      </w:r>
      <w:r w:rsidRPr="00E14BA7">
        <w:t>)</w:t>
      </w:r>
      <w:r w:rsidRPr="00D841E8">
        <w:t xml:space="preserve"> under the International Standard for Market Research (AS ISO 20252). </w:t>
      </w:r>
    </w:p>
    <w:p w14:paraId="285D2E4F" w14:textId="5496E0D1" w:rsidR="00D33EFC" w:rsidRPr="00D841E8" w:rsidRDefault="00CC1D5F" w:rsidP="006448ED">
      <w:pPr>
        <w:pStyle w:val="Heading1"/>
      </w:pPr>
      <w:bookmarkStart w:id="14" w:name="_Toc131443323"/>
      <w:r w:rsidRPr="00D841E8">
        <w:t>Timing for data collection</w:t>
      </w:r>
      <w:bookmarkEnd w:id="14"/>
    </w:p>
    <w:p w14:paraId="3800202E" w14:textId="24003270" w:rsidR="009636EC" w:rsidRPr="00E14BA7" w:rsidRDefault="009636EC" w:rsidP="00BD7A75">
      <w:pPr>
        <w:pStyle w:val="Body"/>
        <w:rPr>
          <w:rStyle w:val="normaltextrun"/>
          <w:rFonts w:cs="Calibri"/>
          <w:color w:val="000000"/>
          <w:shd w:val="clear" w:color="auto" w:fill="FFFFFF"/>
        </w:rPr>
      </w:pPr>
      <w:r w:rsidRPr="00AA10FB">
        <w:rPr>
          <w:rStyle w:val="normaltextrun"/>
          <w:rFonts w:eastAsia="Calibri" w:cs="Calibri"/>
          <w:color w:val="000000"/>
          <w:shd w:val="clear" w:color="auto" w:fill="FFFFFF"/>
        </w:rPr>
        <w:t xml:space="preserve">Under the </w:t>
      </w:r>
      <w:r w:rsidRPr="00AA10FB">
        <w:rPr>
          <w:rStyle w:val="normaltextrun"/>
          <w:rFonts w:eastAsia="Calibri" w:cs="Calibri"/>
          <w:i/>
          <w:iCs/>
          <w:color w:val="000000"/>
          <w:shd w:val="clear" w:color="auto" w:fill="FFFFFF"/>
        </w:rPr>
        <w:t>Gender Equality Act 2020</w:t>
      </w:r>
      <w:r w:rsidRPr="00AA10FB">
        <w:rPr>
          <w:rStyle w:val="normaltextrun"/>
          <w:rFonts w:eastAsia="Calibri" w:cs="Calibri"/>
          <w:color w:val="000000"/>
          <w:shd w:val="clear" w:color="auto" w:fill="FFFFFF"/>
        </w:rPr>
        <w:t xml:space="preserve"> (the Act), defined entities must prepare and submit a progress report</w:t>
      </w:r>
      <w:r w:rsidR="00F64DF5">
        <w:rPr>
          <w:rStyle w:val="normaltextrun"/>
          <w:rFonts w:eastAsia="Calibri" w:cs="Calibri"/>
          <w:color w:val="000000"/>
          <w:shd w:val="clear" w:color="auto" w:fill="FFFFFF"/>
        </w:rPr>
        <w:t xml:space="preserve"> on or before the </w:t>
      </w:r>
      <w:r w:rsidR="00F64DF5">
        <w:t>31</w:t>
      </w:r>
      <w:r w:rsidR="00F64DF5" w:rsidRPr="00E14BA7">
        <w:rPr>
          <w:vertAlign w:val="superscript"/>
        </w:rPr>
        <w:t>st</w:t>
      </w:r>
      <w:r w:rsidR="00F64DF5">
        <w:t xml:space="preserve"> of October in every second year after submitting a Gender Equality Action Plan. The Commissioner has extended the </w:t>
      </w:r>
      <w:r w:rsidR="00104B57">
        <w:t xml:space="preserve">2023 </w:t>
      </w:r>
      <w:r w:rsidR="00F64DF5">
        <w:t xml:space="preserve">progress reporting submission deadline </w:t>
      </w:r>
      <w:r w:rsidR="00104B57" w:rsidRPr="00E14BA7">
        <w:rPr>
          <w:rStyle w:val="normaltextrun"/>
          <w:rFonts w:eastAsia="Calibri" w:cs="Calibri"/>
          <w:color w:val="000000"/>
          <w:shd w:val="clear" w:color="auto" w:fill="FFFFFF"/>
        </w:rPr>
        <w:t>to</w:t>
      </w:r>
      <w:r w:rsidRPr="00AA10FB">
        <w:rPr>
          <w:rStyle w:val="normaltextrun"/>
          <w:rFonts w:eastAsia="Calibri" w:cs="Calibri"/>
          <w:color w:val="000000"/>
          <w:shd w:val="clear" w:color="auto" w:fill="FFFFFF"/>
        </w:rPr>
        <w:t xml:space="preserve"> the 20</w:t>
      </w:r>
      <w:r w:rsidRPr="00AA10FB">
        <w:rPr>
          <w:rStyle w:val="normaltextrun"/>
          <w:rFonts w:eastAsia="Calibri" w:cs="Calibri"/>
          <w:color w:val="000000"/>
          <w:shd w:val="clear" w:color="auto" w:fill="FFFFFF"/>
          <w:vertAlign w:val="superscript"/>
        </w:rPr>
        <w:t>th</w:t>
      </w:r>
      <w:r w:rsidRPr="00AA10FB">
        <w:rPr>
          <w:rStyle w:val="normaltextrun"/>
          <w:rFonts w:eastAsia="Calibri" w:cs="Calibri"/>
          <w:color w:val="000000"/>
          <w:shd w:val="clear" w:color="auto" w:fill="FFFFFF"/>
        </w:rPr>
        <w:t xml:space="preserve"> of February 2024</w:t>
      </w:r>
      <w:r w:rsidRPr="00556596">
        <w:rPr>
          <w:rStyle w:val="normaltextrun"/>
          <w:rFonts w:eastAsia="Calibri" w:cs="Calibri"/>
          <w:color w:val="000000"/>
          <w:shd w:val="clear" w:color="auto" w:fill="FFFFFF"/>
        </w:rPr>
        <w:t xml:space="preserve">. </w:t>
      </w:r>
      <w:r w:rsidR="00217BB9">
        <w:rPr>
          <w:rStyle w:val="normaltextrun"/>
          <w:rFonts w:eastAsia="Calibri" w:cs="Calibri"/>
          <w:color w:val="000000"/>
          <w:shd w:val="clear" w:color="auto" w:fill="FFFFFF"/>
        </w:rPr>
        <w:t>T</w:t>
      </w:r>
      <w:r w:rsidR="00F37450">
        <w:rPr>
          <w:rStyle w:val="normaltextrun"/>
          <w:rFonts w:eastAsia="Calibri" w:cs="Calibri"/>
          <w:color w:val="000000"/>
          <w:shd w:val="clear" w:color="auto" w:fill="FFFFFF"/>
        </w:rPr>
        <w:t>o meet this deadline, t</w:t>
      </w:r>
      <w:r w:rsidRPr="00E14BA7">
        <w:rPr>
          <w:rStyle w:val="normaltextrun"/>
          <w:rFonts w:eastAsia="Calibri" w:cs="Calibri"/>
          <w:color w:val="000000"/>
          <w:shd w:val="clear" w:color="auto" w:fill="FFFFFF"/>
        </w:rPr>
        <w:t xml:space="preserve">he employee experience survey should be conducted </w:t>
      </w:r>
      <w:r w:rsidR="00F37450">
        <w:rPr>
          <w:rStyle w:val="normaltextrun"/>
          <w:rFonts w:eastAsia="Calibri" w:cs="Calibri"/>
          <w:color w:val="000000"/>
          <w:shd w:val="clear" w:color="auto" w:fill="FFFFFF"/>
        </w:rPr>
        <w:t xml:space="preserve">in </w:t>
      </w:r>
      <w:r w:rsidR="008C68DF">
        <w:t xml:space="preserve">the 2023 calendar year </w:t>
      </w:r>
      <w:r w:rsidR="00F37450">
        <w:t xml:space="preserve">(ideally mid 2023) </w:t>
      </w:r>
      <w:r w:rsidRPr="00E14BA7">
        <w:t>to</w:t>
      </w:r>
      <w:r w:rsidR="008C68DF">
        <w:t xml:space="preserve"> ensure you have ample time</w:t>
      </w:r>
      <w:r w:rsidRPr="00E14BA7">
        <w:t xml:space="preserve"> </w:t>
      </w:r>
      <w:r w:rsidRPr="00E14BA7">
        <w:rPr>
          <w:rStyle w:val="normaltextrun"/>
          <w:rFonts w:cs="Calibri"/>
          <w:color w:val="000000"/>
          <w:shd w:val="clear" w:color="auto" w:fill="FFFFFF"/>
        </w:rPr>
        <w:t>to measure progress against the gender equality indicators</w:t>
      </w:r>
      <w:r w:rsidR="00556596">
        <w:rPr>
          <w:rStyle w:val="normaltextrun"/>
          <w:rFonts w:cs="Calibri"/>
          <w:color w:val="000000"/>
          <w:shd w:val="clear" w:color="auto" w:fill="FFFFFF"/>
        </w:rPr>
        <w:t>.</w:t>
      </w:r>
      <w:r w:rsidR="008C68DF">
        <w:rPr>
          <w:rStyle w:val="normaltextrun"/>
          <w:rFonts w:cs="Calibri"/>
          <w:color w:val="000000"/>
          <w:shd w:val="clear" w:color="auto" w:fill="FFFFFF"/>
        </w:rPr>
        <w:t xml:space="preserve"> </w:t>
      </w:r>
    </w:p>
    <w:p w14:paraId="77DF51CF" w14:textId="56AFA29B" w:rsidR="009636EC" w:rsidRPr="00E14BA7" w:rsidRDefault="009636EC" w:rsidP="00BD7A75">
      <w:pPr>
        <w:pStyle w:val="Body"/>
      </w:pPr>
      <w:r w:rsidRPr="00E14BA7">
        <w:t>The employee experience survey should be administered for a limited period</w:t>
      </w:r>
      <w:r w:rsidR="00D45F95">
        <w:t xml:space="preserve">, </w:t>
      </w:r>
      <w:r w:rsidRPr="00E14BA7">
        <w:t xml:space="preserve">for example, four weeks between 29 May and 24 June 2023. </w:t>
      </w:r>
    </w:p>
    <w:p w14:paraId="1AFE0481" w14:textId="7F04AA3A" w:rsidR="003F22DF" w:rsidRDefault="003F22DF" w:rsidP="003F22DF">
      <w:pPr>
        <w:pStyle w:val="Heading1"/>
      </w:pPr>
      <w:bookmarkStart w:id="15" w:name="_Toc131443324"/>
      <w:r>
        <w:t>Contract considerations</w:t>
      </w:r>
      <w:bookmarkEnd w:id="15"/>
    </w:p>
    <w:p w14:paraId="55AB35BF" w14:textId="2A5F5A7D" w:rsidR="00F627AA" w:rsidRPr="00217ED5" w:rsidRDefault="003F22DF" w:rsidP="00E14BA7">
      <w:pPr>
        <w:pStyle w:val="Body"/>
      </w:pPr>
      <w:r>
        <w:t xml:space="preserve">When </w:t>
      </w:r>
      <w:r w:rsidR="00F627AA">
        <w:t xml:space="preserve">developing </w:t>
      </w:r>
      <w:r>
        <w:t xml:space="preserve">a contract with your survey provider, </w:t>
      </w:r>
      <w:r w:rsidR="00F627AA">
        <w:t xml:space="preserve">the Commission suggests you consider </w:t>
      </w:r>
      <w:r w:rsidR="00F627AA" w:rsidDel="00554FD3">
        <w:t xml:space="preserve">the </w:t>
      </w:r>
      <w:r w:rsidR="00F627AA" w:rsidRPr="00217ED5">
        <w:rPr>
          <w:iCs/>
        </w:rPr>
        <w:t>way in which data will be provided to you</w:t>
      </w:r>
      <w:r w:rsidR="00554FD3">
        <w:rPr>
          <w:iCs/>
        </w:rPr>
        <w:t>.</w:t>
      </w:r>
    </w:p>
    <w:p w14:paraId="1B90EB88" w14:textId="271F2FB9" w:rsidR="006C3443" w:rsidRDefault="002C0813" w:rsidP="00F627AA">
      <w:pPr>
        <w:pStyle w:val="Body"/>
      </w:pPr>
      <w:r>
        <w:t>The volume of data that is required to be populated in the employee experience reporting template is significant</w:t>
      </w:r>
      <w:r w:rsidR="00C40630">
        <w:t xml:space="preserve"> at around 50,000 rows</w:t>
      </w:r>
      <w:r w:rsidR="001E2A81">
        <w:t xml:space="preserve"> of data</w:t>
      </w:r>
      <w:r>
        <w:t xml:space="preserve">. </w:t>
      </w:r>
      <w:r w:rsidR="001E2A81">
        <w:t xml:space="preserve">It is recommended that you </w:t>
      </w:r>
      <w:r w:rsidR="001E2A81" w:rsidDel="00A35C54">
        <w:t>contract</w:t>
      </w:r>
      <w:r w:rsidR="001E2A81">
        <w:t xml:space="preserve"> your survey provider to populate this data on your behalf.</w:t>
      </w:r>
    </w:p>
    <w:p w14:paraId="5C0E03AE" w14:textId="32E668C0" w:rsidR="006C3443" w:rsidRPr="00F627AA" w:rsidRDefault="006C3443" w:rsidP="00F627AA">
      <w:pPr>
        <w:pStyle w:val="Body"/>
      </w:pPr>
      <w:r>
        <w:t xml:space="preserve">More information about the format of the data can be found in </w:t>
      </w:r>
      <w:r w:rsidR="00A35C54">
        <w:t xml:space="preserve">the </w:t>
      </w:r>
      <w:r>
        <w:t xml:space="preserve">section </w:t>
      </w:r>
      <w:r w:rsidRPr="00E14BA7">
        <w:rPr>
          <w:b/>
        </w:rPr>
        <w:fldChar w:fldCharType="begin"/>
      </w:r>
      <w:r w:rsidRPr="00E14BA7">
        <w:rPr>
          <w:b/>
        </w:rPr>
        <w:instrText xml:space="preserve"> REF _Ref130241759 \h </w:instrText>
      </w:r>
      <w:r>
        <w:rPr>
          <w:b/>
          <w:bCs/>
        </w:rPr>
        <w:instrText xml:space="preserve"> \* MERGEFORMAT </w:instrText>
      </w:r>
      <w:r w:rsidRPr="00E14BA7">
        <w:rPr>
          <w:b/>
        </w:rPr>
      </w:r>
      <w:r w:rsidRPr="00E14BA7">
        <w:rPr>
          <w:b/>
        </w:rPr>
        <w:fldChar w:fldCharType="separate"/>
      </w:r>
      <w:r w:rsidRPr="00E14BA7">
        <w:rPr>
          <w:b/>
        </w:rPr>
        <w:t>Response data</w:t>
      </w:r>
      <w:r w:rsidRPr="00E14BA7">
        <w:rPr>
          <w:b/>
        </w:rPr>
        <w:fldChar w:fldCharType="end"/>
      </w:r>
      <w:r>
        <w:t xml:space="preserve"> above</w:t>
      </w:r>
      <w:r w:rsidR="00A35C54">
        <w:t>.</w:t>
      </w:r>
    </w:p>
    <w:p w14:paraId="6E74912A" w14:textId="77777777" w:rsidR="009636EC" w:rsidRPr="00D841E8" w:rsidRDefault="009636EC" w:rsidP="006448ED">
      <w:pPr>
        <w:pStyle w:val="MajorHeading"/>
      </w:pPr>
      <w:bookmarkStart w:id="16" w:name="_Toc131443325"/>
      <w:r w:rsidRPr="00D841E8">
        <w:t>Further information</w:t>
      </w:r>
      <w:bookmarkEnd w:id="16"/>
    </w:p>
    <w:p w14:paraId="08F1F9E3" w14:textId="77777777" w:rsidR="009636EC" w:rsidRPr="00D841E8" w:rsidRDefault="009636EC" w:rsidP="006448ED">
      <w:pPr>
        <w:pStyle w:val="Heading4"/>
      </w:pPr>
      <w:r w:rsidRPr="00D841E8">
        <w:t>Additional Information about the survey data collection</w:t>
      </w:r>
    </w:p>
    <w:p w14:paraId="460C363B" w14:textId="353AC637" w:rsidR="009636EC" w:rsidRPr="00D841E8" w:rsidRDefault="009636EC" w:rsidP="00BD7A75">
      <w:pPr>
        <w:pStyle w:val="Body"/>
      </w:pPr>
      <w:r w:rsidRPr="00D841E8">
        <w:t>CGEPS would welcome your reporting of basic information about the survey to better understand your organisation</w:t>
      </w:r>
      <w:r w:rsidR="002B65E9">
        <w:t xml:space="preserve">’s </w:t>
      </w:r>
      <w:r w:rsidRPr="00D841E8">
        <w:t xml:space="preserve">responses. </w:t>
      </w:r>
    </w:p>
    <w:p w14:paraId="5D895B2F" w14:textId="77777777" w:rsidR="009636EC" w:rsidRPr="00D841E8" w:rsidRDefault="009636EC" w:rsidP="00E14BA7">
      <w:pPr>
        <w:pStyle w:val="Body"/>
        <w:numPr>
          <w:ilvl w:val="0"/>
          <w:numId w:val="3"/>
        </w:numPr>
      </w:pPr>
      <w:r w:rsidRPr="00D841E8">
        <w:t>Which third-party provider did you engage to administer the survey?</w:t>
      </w:r>
    </w:p>
    <w:p w14:paraId="797C0D89" w14:textId="77777777" w:rsidR="009636EC" w:rsidRPr="00D841E8" w:rsidRDefault="009636EC" w:rsidP="00E14BA7">
      <w:pPr>
        <w:pStyle w:val="Body"/>
        <w:numPr>
          <w:ilvl w:val="0"/>
          <w:numId w:val="3"/>
        </w:numPr>
      </w:pPr>
      <w:r w:rsidRPr="00D841E8">
        <w:t xml:space="preserve">When did data collection take place? </w:t>
      </w:r>
    </w:p>
    <w:p w14:paraId="27203D74" w14:textId="77777777" w:rsidR="009636EC" w:rsidRPr="00D841E8" w:rsidRDefault="009636EC" w:rsidP="00E14BA7">
      <w:pPr>
        <w:pStyle w:val="Body"/>
        <w:numPr>
          <w:ilvl w:val="0"/>
          <w:numId w:val="3"/>
        </w:numPr>
      </w:pPr>
      <w:r w:rsidRPr="00D841E8">
        <w:t>How many employees were invited</w:t>
      </w:r>
      <w:r>
        <w:t>,</w:t>
      </w:r>
      <w:r w:rsidRPr="00D841E8">
        <w:t xml:space="preserve"> and how many completed? </w:t>
      </w:r>
    </w:p>
    <w:p w14:paraId="75F8F483" w14:textId="77777777" w:rsidR="009636EC" w:rsidRPr="00CC6882" w:rsidRDefault="009636EC" w:rsidP="00E14BA7">
      <w:pPr>
        <w:pStyle w:val="Body"/>
        <w:numPr>
          <w:ilvl w:val="0"/>
          <w:numId w:val="3"/>
        </w:numPr>
      </w:pPr>
      <w:r w:rsidRPr="00D841E8">
        <w:t>Did any groups of employees respond at particularly low or high rates?</w:t>
      </w:r>
    </w:p>
    <w:p w14:paraId="6AC94EEE" w14:textId="77777777" w:rsidR="009636EC" w:rsidRPr="00D841E8" w:rsidRDefault="009636EC" w:rsidP="00BD7A75">
      <w:pPr>
        <w:pStyle w:val="Body"/>
      </w:pPr>
      <w:r w:rsidRPr="00D841E8">
        <w:t xml:space="preserve">Please do not hesitate to contact CGEPS for further information via the below mailbox: </w:t>
      </w:r>
    </w:p>
    <w:p w14:paraId="47E5FEB7" w14:textId="77777777" w:rsidR="009636EC" w:rsidRPr="00D841E8" w:rsidRDefault="00952698" w:rsidP="00BD7A75">
      <w:pPr>
        <w:pStyle w:val="Body"/>
      </w:pPr>
      <w:hyperlink r:id="rId15" w:history="1">
        <w:r w:rsidR="009636EC" w:rsidRPr="00D841E8">
          <w:rPr>
            <w:rStyle w:val="Hyperlink"/>
          </w:rPr>
          <w:t>enquiries@genderequalitycommission.vic.gov.au</w:t>
        </w:r>
      </w:hyperlink>
      <w:r w:rsidR="009636EC" w:rsidRPr="00D841E8">
        <w:t xml:space="preserve"> </w:t>
      </w:r>
    </w:p>
    <w:p w14:paraId="31956843" w14:textId="477DD0C4" w:rsidR="00DB3950" w:rsidRPr="00D841E8" w:rsidRDefault="00DB3950" w:rsidP="00BD7A75">
      <w:pPr>
        <w:pStyle w:val="Body"/>
      </w:pPr>
    </w:p>
    <w:sectPr w:rsidR="00DB3950" w:rsidRPr="00D841E8" w:rsidSect="0057261C">
      <w:headerReference w:type="default" r:id="rId16"/>
      <w:footerReference w:type="default" r:id="rId1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779D" w14:textId="77777777" w:rsidR="00BD7674" w:rsidRDefault="00BD7674" w:rsidP="00D92E1D">
      <w:r>
        <w:separator/>
      </w:r>
    </w:p>
  </w:endnote>
  <w:endnote w:type="continuationSeparator" w:id="0">
    <w:p w14:paraId="14F7D431" w14:textId="77777777" w:rsidR="00BD7674" w:rsidRDefault="00BD7674" w:rsidP="00D92E1D">
      <w:r>
        <w:continuationSeparator/>
      </w:r>
    </w:p>
  </w:endnote>
  <w:endnote w:type="continuationNotice" w:id="1">
    <w:p w14:paraId="071A9173" w14:textId="77777777" w:rsidR="00BD7674" w:rsidRDefault="00BD7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389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2246F" w14:textId="5CBFC376" w:rsidR="00BE2FA7" w:rsidRDefault="00BE2F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C9E82" w14:textId="77777777" w:rsidR="00D92E1D" w:rsidRDefault="00D92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BE2E" w14:textId="77777777" w:rsidR="00BD7674" w:rsidRDefault="00BD7674" w:rsidP="00D92E1D">
      <w:r>
        <w:separator/>
      </w:r>
    </w:p>
  </w:footnote>
  <w:footnote w:type="continuationSeparator" w:id="0">
    <w:p w14:paraId="51E2B2CB" w14:textId="77777777" w:rsidR="00BD7674" w:rsidRDefault="00BD7674" w:rsidP="00D92E1D">
      <w:r>
        <w:continuationSeparator/>
      </w:r>
    </w:p>
  </w:footnote>
  <w:footnote w:type="continuationNotice" w:id="1">
    <w:p w14:paraId="5BC367B3" w14:textId="77777777" w:rsidR="00BD7674" w:rsidRDefault="00BD7674"/>
  </w:footnote>
  <w:footnote w:id="2">
    <w:p w14:paraId="5E83A565" w14:textId="16B6CE25" w:rsidR="004C070A" w:rsidRPr="00D841E8" w:rsidRDefault="004C070A">
      <w:pPr>
        <w:pStyle w:val="FootnoteText"/>
        <w:rPr>
          <w:rFonts w:ascii="VIC" w:hAnsi="VIC"/>
        </w:rPr>
      </w:pPr>
      <w:r w:rsidRPr="00D841E8">
        <w:rPr>
          <w:rStyle w:val="FootnoteReference"/>
          <w:rFonts w:ascii="VIC" w:hAnsi="VIC"/>
          <w:sz w:val="16"/>
          <w:szCs w:val="16"/>
        </w:rPr>
        <w:footnoteRef/>
      </w:r>
      <w:r w:rsidRPr="00D841E8">
        <w:rPr>
          <w:rFonts w:ascii="VIC" w:hAnsi="VIC"/>
          <w:sz w:val="16"/>
          <w:szCs w:val="16"/>
        </w:rPr>
        <w:t xml:space="preserve"> As defined by the </w:t>
      </w:r>
      <w:r w:rsidRPr="00D841E8">
        <w:rPr>
          <w:rFonts w:ascii="VIC" w:hAnsi="VIC"/>
          <w:i/>
          <w:iCs/>
          <w:sz w:val="16"/>
          <w:szCs w:val="16"/>
        </w:rPr>
        <w:t>Public Administration Act 2004</w:t>
      </w:r>
    </w:p>
  </w:footnote>
  <w:footnote w:id="3">
    <w:p w14:paraId="1C82F86A" w14:textId="1975995E" w:rsidR="00824081" w:rsidRPr="00824081" w:rsidRDefault="00824081">
      <w:pPr>
        <w:pStyle w:val="FootnoteText"/>
        <w:rPr>
          <w:rFonts w:ascii="VIC" w:eastAsia="Times New Roman" w:hAnsi="VIC" w:cs="Times New Roman"/>
          <w:sz w:val="18"/>
          <w:szCs w:val="18"/>
        </w:rPr>
      </w:pPr>
      <w:r w:rsidRPr="00824081">
        <w:rPr>
          <w:rStyle w:val="FootnoteReference"/>
          <w:rFonts w:ascii="VIC" w:hAnsi="VIC"/>
          <w:sz w:val="18"/>
          <w:szCs w:val="18"/>
        </w:rPr>
        <w:footnoteRef/>
      </w:r>
      <w:r>
        <w:t xml:space="preserve"> </w:t>
      </w:r>
      <w:r w:rsidRPr="00824081">
        <w:rPr>
          <w:rFonts w:ascii="VIC" w:eastAsia="Times New Roman" w:hAnsi="VIC" w:cs="Times New Roman"/>
          <w:sz w:val="18"/>
          <w:szCs w:val="18"/>
        </w:rPr>
        <w:t xml:space="preserve">Under the Act, an employee of a defined entity means a person employed by the defined entity on a fulltime, part-time, </w:t>
      </w:r>
      <w:proofErr w:type="gramStart"/>
      <w:r w:rsidRPr="00824081">
        <w:rPr>
          <w:rFonts w:ascii="VIC" w:eastAsia="Times New Roman" w:hAnsi="VIC" w:cs="Times New Roman"/>
          <w:sz w:val="18"/>
          <w:szCs w:val="18"/>
        </w:rPr>
        <w:t>casual</w:t>
      </w:r>
      <w:proofErr w:type="gramEnd"/>
      <w:r w:rsidRPr="00824081">
        <w:rPr>
          <w:rFonts w:ascii="VIC" w:eastAsia="Times New Roman" w:hAnsi="VIC" w:cs="Times New Roman"/>
          <w:sz w:val="18"/>
          <w:szCs w:val="18"/>
        </w:rPr>
        <w:t xml:space="preserve"> or fixed term basis (including an apprentice or trainee).</w:t>
      </w:r>
    </w:p>
  </w:footnote>
  <w:footnote w:id="4">
    <w:p w14:paraId="525586F2" w14:textId="1E3917A7" w:rsidR="00074169" w:rsidRPr="00D841E8" w:rsidRDefault="00074169">
      <w:pPr>
        <w:pStyle w:val="FootnoteText"/>
        <w:rPr>
          <w:rFonts w:ascii="VIC" w:hAnsi="VIC"/>
          <w:sz w:val="18"/>
          <w:szCs w:val="18"/>
        </w:rPr>
      </w:pPr>
      <w:r w:rsidRPr="00D841E8">
        <w:rPr>
          <w:rStyle w:val="FootnoteReference"/>
          <w:rFonts w:ascii="VIC" w:hAnsi="VIC"/>
          <w:sz w:val="16"/>
          <w:szCs w:val="16"/>
        </w:rPr>
        <w:footnoteRef/>
      </w:r>
      <w:r w:rsidRPr="00D841E8">
        <w:rPr>
          <w:rFonts w:ascii="VIC" w:hAnsi="VIC"/>
          <w:sz w:val="16"/>
          <w:szCs w:val="16"/>
        </w:rPr>
        <w:t xml:space="preserve"> Potential identification could occur if an organisation reports results at a highly disaggregated level, for example, the </w:t>
      </w:r>
      <w:proofErr w:type="gramStart"/>
      <w:r w:rsidRPr="00D841E8">
        <w:rPr>
          <w:rFonts w:ascii="VIC" w:hAnsi="VIC"/>
          <w:sz w:val="16"/>
          <w:szCs w:val="16"/>
        </w:rPr>
        <w:t>particular workplace</w:t>
      </w:r>
      <w:proofErr w:type="gramEnd"/>
      <w:r w:rsidRPr="00D841E8">
        <w:rPr>
          <w:rFonts w:ascii="VIC" w:hAnsi="VIC"/>
          <w:sz w:val="16"/>
          <w:szCs w:val="16"/>
        </w:rPr>
        <w:t xml:space="preserve"> experiences of Aboriginal women employees with disability.</w:t>
      </w:r>
    </w:p>
  </w:footnote>
  <w:footnote w:id="5">
    <w:p w14:paraId="44F7A4FB" w14:textId="66D34DFF" w:rsidR="00074169" w:rsidRPr="00D841E8" w:rsidRDefault="00074169">
      <w:pPr>
        <w:pStyle w:val="FootnoteText"/>
        <w:rPr>
          <w:rFonts w:ascii="VIC" w:hAnsi="VIC"/>
          <w:sz w:val="18"/>
          <w:szCs w:val="18"/>
        </w:rPr>
      </w:pPr>
      <w:r w:rsidRPr="00D841E8">
        <w:rPr>
          <w:rStyle w:val="FootnoteReference"/>
          <w:rFonts w:ascii="VIC" w:hAnsi="VIC"/>
          <w:sz w:val="16"/>
          <w:szCs w:val="16"/>
        </w:rPr>
        <w:footnoteRef/>
      </w:r>
      <w:r w:rsidRPr="00D841E8">
        <w:rPr>
          <w:rFonts w:ascii="VIC" w:hAnsi="VIC"/>
          <w:sz w:val="16"/>
          <w:szCs w:val="16"/>
        </w:rPr>
        <w:t xml:space="preserve"> Support services referred to may include 1800RESPECT (sexual assault, domestic or family violence and abuse), Beyond Blue (anxiety, depression and suicide prevention), Centres Against Sexual Assault (referral to non-profit, government-funded organisations that provide support, counselling and crisis care), your Employee Assistance Program, Lifeline (crisis support and suicide prevention), Relationships Australia (family and relationships services), </w:t>
      </w:r>
      <w:proofErr w:type="spellStart"/>
      <w:r w:rsidRPr="00D841E8">
        <w:rPr>
          <w:rFonts w:ascii="VIC" w:hAnsi="VIC"/>
          <w:sz w:val="16"/>
          <w:szCs w:val="16"/>
        </w:rPr>
        <w:t>QLife</w:t>
      </w:r>
      <w:proofErr w:type="spellEnd"/>
      <w:r w:rsidRPr="00D841E8">
        <w:rPr>
          <w:rFonts w:ascii="VIC" w:hAnsi="VIC"/>
          <w:sz w:val="16"/>
          <w:szCs w:val="16"/>
        </w:rPr>
        <w:t xml:space="preserve"> (LGB</w:t>
      </w:r>
      <w:r w:rsidR="00AF7632">
        <w:rPr>
          <w:rFonts w:ascii="VIC" w:hAnsi="VIC"/>
          <w:sz w:val="16"/>
          <w:szCs w:val="16"/>
        </w:rPr>
        <w:t>T</w:t>
      </w:r>
      <w:r w:rsidRPr="00D841E8">
        <w:rPr>
          <w:rFonts w:ascii="VIC" w:hAnsi="VIC"/>
          <w:sz w:val="16"/>
          <w:szCs w:val="16"/>
        </w:rPr>
        <w:t xml:space="preserve">IQ+ peer support and referral), </w:t>
      </w:r>
      <w:proofErr w:type="spellStart"/>
      <w:r w:rsidRPr="00D841E8">
        <w:rPr>
          <w:rFonts w:ascii="VIC" w:hAnsi="VIC"/>
          <w:sz w:val="16"/>
          <w:szCs w:val="16"/>
        </w:rPr>
        <w:t>SafeSteps</w:t>
      </w:r>
      <w:proofErr w:type="spellEnd"/>
      <w:r w:rsidRPr="00D841E8">
        <w:rPr>
          <w:rFonts w:ascii="VIC" w:hAnsi="VIC"/>
          <w:sz w:val="16"/>
          <w:szCs w:val="16"/>
        </w:rPr>
        <w:t xml:space="preserve"> (family violence), Sexual Assault Crisis Line Victoria (sexual assault), the Victorian Civil and Administrative Tribunal (sexual harassment complaints) and the Victorian Equal Opportunity and Human Rights Commission (sexual harassment complaints).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7598" w14:textId="77777777" w:rsidR="00604402" w:rsidRDefault="00604402">
    <w:pPr>
      <w:pStyle w:val="Header"/>
    </w:pPr>
  </w:p>
  <w:p w14:paraId="3BEA22CA" w14:textId="5093F6B4" w:rsidR="00D92E1D" w:rsidRDefault="007579C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7C240C" wp14:editId="358C60CB">
          <wp:simplePos x="0" y="0"/>
          <wp:positionH relativeFrom="column">
            <wp:posOffset>-626110</wp:posOffset>
          </wp:positionH>
          <wp:positionV relativeFrom="paragraph">
            <wp:posOffset>-55245</wp:posOffset>
          </wp:positionV>
          <wp:extent cx="3379328" cy="586740"/>
          <wp:effectExtent l="0" t="0" r="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9328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E73"/>
    <w:multiLevelType w:val="multilevel"/>
    <w:tmpl w:val="AA841A24"/>
    <w:lvl w:ilvl="0">
      <w:start w:val="1"/>
      <w:numFmt w:val="decimal"/>
      <w:lvlText w:val="%1."/>
      <w:lvlJc w:val="left"/>
      <w:pPr>
        <w:ind w:left="851" w:hanging="851"/>
      </w:pPr>
      <w:rPr>
        <w:rFonts w:ascii="Arial Bold" w:hAnsi="Arial Bold" w:hint="default"/>
        <w:b/>
        <w:i w:val="0"/>
        <w:color w:val="1F688D" w:themeColor="accent1"/>
        <w:sz w:val="4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ascii="Arial Bold" w:hAnsi="Arial Bold" w:hint="default"/>
        <w:b/>
        <w:i w:val="0"/>
        <w:color w:val="1F688D" w:themeColor="accent1"/>
        <w:sz w:val="32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ascii="Arial Bold" w:hAnsi="Arial Bold" w:hint="default"/>
        <w:b/>
        <w:i w:val="0"/>
        <w:color w:val="1F688D" w:themeColor="accent1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45544F"/>
    <w:multiLevelType w:val="hybridMultilevel"/>
    <w:tmpl w:val="734EF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F7D"/>
    <w:multiLevelType w:val="hybridMultilevel"/>
    <w:tmpl w:val="01B4C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9A1"/>
    <w:multiLevelType w:val="hybridMultilevel"/>
    <w:tmpl w:val="3886B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A2A4A"/>
    <w:multiLevelType w:val="multilevel"/>
    <w:tmpl w:val="1F36D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120FC"/>
    <w:multiLevelType w:val="hybridMultilevel"/>
    <w:tmpl w:val="292E1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ACF"/>
    <w:multiLevelType w:val="hybridMultilevel"/>
    <w:tmpl w:val="7016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616D"/>
    <w:multiLevelType w:val="hybridMultilevel"/>
    <w:tmpl w:val="229E56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35076"/>
    <w:multiLevelType w:val="multilevel"/>
    <w:tmpl w:val="05D2B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347BB"/>
    <w:multiLevelType w:val="multilevel"/>
    <w:tmpl w:val="216EE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80032"/>
    <w:multiLevelType w:val="hybridMultilevel"/>
    <w:tmpl w:val="44025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5265"/>
    <w:multiLevelType w:val="hybridMultilevel"/>
    <w:tmpl w:val="A75AC8C8"/>
    <w:lvl w:ilvl="0" w:tplc="5560BBE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B06AF"/>
    <w:multiLevelType w:val="hybridMultilevel"/>
    <w:tmpl w:val="3C5CF1D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D8145F6"/>
    <w:multiLevelType w:val="hybridMultilevel"/>
    <w:tmpl w:val="48844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841FF"/>
    <w:multiLevelType w:val="hybridMultilevel"/>
    <w:tmpl w:val="6EC84908"/>
    <w:lvl w:ilvl="0" w:tplc="15CEBD3C">
      <w:start w:val="1"/>
      <w:numFmt w:val="bullet"/>
      <w:pStyle w:val="Bullets1"/>
      <w:lvlText w:val=""/>
      <w:lvlJc w:val="left"/>
      <w:pPr>
        <w:tabs>
          <w:tab w:val="num" w:pos="0"/>
        </w:tabs>
        <w:ind w:left="426" w:hanging="426"/>
      </w:pPr>
      <w:rPr>
        <w:rFonts w:ascii="Symbol" w:hAnsi="Symbol" w:hint="default"/>
        <w:u w:color="1C365F"/>
      </w:rPr>
    </w:lvl>
    <w:lvl w:ilvl="1" w:tplc="392A8968">
      <w:start w:val="1"/>
      <w:numFmt w:val="bullet"/>
      <w:pStyle w:val="Bullets2"/>
      <w:lvlText w:val="o"/>
      <w:lvlJc w:val="left"/>
      <w:pPr>
        <w:ind w:left="993" w:hanging="426"/>
      </w:pPr>
      <w:rPr>
        <w:rFonts w:ascii="Courier New" w:hAnsi="Courier New" w:hint="default"/>
      </w:rPr>
    </w:lvl>
    <w:lvl w:ilvl="2" w:tplc="03308528">
      <w:start w:val="1"/>
      <w:numFmt w:val="bullet"/>
      <w:pStyle w:val="Bullets3"/>
      <w:lvlText w:val=""/>
      <w:lvlJc w:val="left"/>
      <w:pPr>
        <w:ind w:left="1560" w:hanging="426"/>
      </w:pPr>
      <w:rPr>
        <w:rFonts w:ascii="Symbol" w:hAnsi="Symbol" w:hint="default"/>
      </w:rPr>
    </w:lvl>
    <w:lvl w:ilvl="3" w:tplc="CCB4A928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6A8DA32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39166FFA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6180FD56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61AC9FB8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CCD80DDE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40374B76"/>
    <w:multiLevelType w:val="hybridMultilevel"/>
    <w:tmpl w:val="730C2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F1554"/>
    <w:multiLevelType w:val="hybridMultilevel"/>
    <w:tmpl w:val="DCD8F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4883"/>
    <w:multiLevelType w:val="hybridMultilevel"/>
    <w:tmpl w:val="299817B2"/>
    <w:lvl w:ilvl="0" w:tplc="8DFA2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37639"/>
    <w:multiLevelType w:val="hybridMultilevel"/>
    <w:tmpl w:val="EB629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26364"/>
    <w:multiLevelType w:val="hybridMultilevel"/>
    <w:tmpl w:val="9C18D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64F6"/>
    <w:multiLevelType w:val="hybridMultilevel"/>
    <w:tmpl w:val="0B3699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016FF"/>
    <w:multiLevelType w:val="hybridMultilevel"/>
    <w:tmpl w:val="6D42D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E67E5"/>
    <w:multiLevelType w:val="hybridMultilevel"/>
    <w:tmpl w:val="070489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343E42"/>
    <w:multiLevelType w:val="multilevel"/>
    <w:tmpl w:val="5ACA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A5405B"/>
    <w:multiLevelType w:val="hybridMultilevel"/>
    <w:tmpl w:val="27509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5034">
    <w:abstractNumId w:val="14"/>
  </w:num>
  <w:num w:numId="2" w16cid:durableId="1588032409">
    <w:abstractNumId w:val="0"/>
  </w:num>
  <w:num w:numId="3" w16cid:durableId="1062018498">
    <w:abstractNumId w:val="24"/>
  </w:num>
  <w:num w:numId="4" w16cid:durableId="300422447">
    <w:abstractNumId w:val="11"/>
  </w:num>
  <w:num w:numId="5" w16cid:durableId="1343319802">
    <w:abstractNumId w:val="22"/>
  </w:num>
  <w:num w:numId="6" w16cid:durableId="1645354169">
    <w:abstractNumId w:val="15"/>
  </w:num>
  <w:num w:numId="7" w16cid:durableId="1563103924">
    <w:abstractNumId w:val="12"/>
  </w:num>
  <w:num w:numId="8" w16cid:durableId="1663510800">
    <w:abstractNumId w:val="20"/>
  </w:num>
  <w:num w:numId="9" w16cid:durableId="1882671286">
    <w:abstractNumId w:val="6"/>
  </w:num>
  <w:num w:numId="10" w16cid:durableId="158624227">
    <w:abstractNumId w:val="18"/>
  </w:num>
  <w:num w:numId="11" w16cid:durableId="820005823">
    <w:abstractNumId w:val="7"/>
  </w:num>
  <w:num w:numId="12" w16cid:durableId="1816678001">
    <w:abstractNumId w:val="5"/>
  </w:num>
  <w:num w:numId="13" w16cid:durableId="1137066127">
    <w:abstractNumId w:val="2"/>
  </w:num>
  <w:num w:numId="14" w16cid:durableId="1730107295">
    <w:abstractNumId w:val="1"/>
  </w:num>
  <w:num w:numId="15" w16cid:durableId="962687795">
    <w:abstractNumId w:val="21"/>
  </w:num>
  <w:num w:numId="16" w16cid:durableId="1868760675">
    <w:abstractNumId w:val="10"/>
  </w:num>
  <w:num w:numId="17" w16cid:durableId="112948473">
    <w:abstractNumId w:val="19"/>
  </w:num>
  <w:num w:numId="18" w16cid:durableId="583614041">
    <w:abstractNumId w:val="14"/>
  </w:num>
  <w:num w:numId="19" w16cid:durableId="257370003">
    <w:abstractNumId w:val="16"/>
  </w:num>
  <w:num w:numId="20" w16cid:durableId="2062170121">
    <w:abstractNumId w:val="13"/>
  </w:num>
  <w:num w:numId="21" w16cid:durableId="15230230">
    <w:abstractNumId w:val="3"/>
  </w:num>
  <w:num w:numId="22" w16cid:durableId="511070888">
    <w:abstractNumId w:val="23"/>
  </w:num>
  <w:num w:numId="23" w16cid:durableId="934746933">
    <w:abstractNumId w:val="8"/>
  </w:num>
  <w:num w:numId="24" w16cid:durableId="2103722555">
    <w:abstractNumId w:val="9"/>
  </w:num>
  <w:num w:numId="25" w16cid:durableId="309674914">
    <w:abstractNumId w:val="4"/>
  </w:num>
  <w:num w:numId="26" w16cid:durableId="185375769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F7"/>
    <w:rsid w:val="00002152"/>
    <w:rsid w:val="0000244B"/>
    <w:rsid w:val="00003BD1"/>
    <w:rsid w:val="00003DD8"/>
    <w:rsid w:val="0000796D"/>
    <w:rsid w:val="000111BF"/>
    <w:rsid w:val="00011EBC"/>
    <w:rsid w:val="0001309F"/>
    <w:rsid w:val="00013347"/>
    <w:rsid w:val="0001385C"/>
    <w:rsid w:val="00014CE3"/>
    <w:rsid w:val="000159DB"/>
    <w:rsid w:val="00016A78"/>
    <w:rsid w:val="00020C74"/>
    <w:rsid w:val="00021B53"/>
    <w:rsid w:val="000222F9"/>
    <w:rsid w:val="000225F0"/>
    <w:rsid w:val="00026094"/>
    <w:rsid w:val="00030E7F"/>
    <w:rsid w:val="000322F1"/>
    <w:rsid w:val="000332B2"/>
    <w:rsid w:val="00035515"/>
    <w:rsid w:val="00045A50"/>
    <w:rsid w:val="00045C9B"/>
    <w:rsid w:val="000460C2"/>
    <w:rsid w:val="00047931"/>
    <w:rsid w:val="000504F6"/>
    <w:rsid w:val="00050E49"/>
    <w:rsid w:val="0005189F"/>
    <w:rsid w:val="00051F83"/>
    <w:rsid w:val="000547B6"/>
    <w:rsid w:val="00054A10"/>
    <w:rsid w:val="00055AD1"/>
    <w:rsid w:val="00060382"/>
    <w:rsid w:val="00061388"/>
    <w:rsid w:val="0006227A"/>
    <w:rsid w:val="00063E59"/>
    <w:rsid w:val="00065FD8"/>
    <w:rsid w:val="0006714F"/>
    <w:rsid w:val="00074169"/>
    <w:rsid w:val="0007418E"/>
    <w:rsid w:val="00074933"/>
    <w:rsid w:val="00076117"/>
    <w:rsid w:val="00077BEC"/>
    <w:rsid w:val="00080144"/>
    <w:rsid w:val="000805F5"/>
    <w:rsid w:val="00081F66"/>
    <w:rsid w:val="00084C6A"/>
    <w:rsid w:val="00084FC9"/>
    <w:rsid w:val="00085512"/>
    <w:rsid w:val="00085E34"/>
    <w:rsid w:val="00086E9C"/>
    <w:rsid w:val="0008706B"/>
    <w:rsid w:val="0009013E"/>
    <w:rsid w:val="00090B3D"/>
    <w:rsid w:val="00095648"/>
    <w:rsid w:val="000956B8"/>
    <w:rsid w:val="000963BF"/>
    <w:rsid w:val="000A12E8"/>
    <w:rsid w:val="000A147F"/>
    <w:rsid w:val="000A14DA"/>
    <w:rsid w:val="000A2ACA"/>
    <w:rsid w:val="000A2F2B"/>
    <w:rsid w:val="000A444D"/>
    <w:rsid w:val="000A5AE5"/>
    <w:rsid w:val="000A6474"/>
    <w:rsid w:val="000B0190"/>
    <w:rsid w:val="000B2AED"/>
    <w:rsid w:val="000B2E07"/>
    <w:rsid w:val="000B35B8"/>
    <w:rsid w:val="000B3642"/>
    <w:rsid w:val="000B4997"/>
    <w:rsid w:val="000B49C9"/>
    <w:rsid w:val="000B49FE"/>
    <w:rsid w:val="000B53DE"/>
    <w:rsid w:val="000B64C2"/>
    <w:rsid w:val="000B6C10"/>
    <w:rsid w:val="000C1CD7"/>
    <w:rsid w:val="000C4CC8"/>
    <w:rsid w:val="000C5E2F"/>
    <w:rsid w:val="000C6985"/>
    <w:rsid w:val="000D2FB5"/>
    <w:rsid w:val="000D64CD"/>
    <w:rsid w:val="000E059B"/>
    <w:rsid w:val="000E0C09"/>
    <w:rsid w:val="000E12B0"/>
    <w:rsid w:val="000E21F1"/>
    <w:rsid w:val="000E258D"/>
    <w:rsid w:val="000E2D3D"/>
    <w:rsid w:val="000E41A2"/>
    <w:rsid w:val="000E58C7"/>
    <w:rsid w:val="000F06F5"/>
    <w:rsid w:val="000F30F4"/>
    <w:rsid w:val="000F6425"/>
    <w:rsid w:val="000F6875"/>
    <w:rsid w:val="000F77A3"/>
    <w:rsid w:val="00100EB9"/>
    <w:rsid w:val="001010B7"/>
    <w:rsid w:val="00101CFC"/>
    <w:rsid w:val="00102DE8"/>
    <w:rsid w:val="00104B57"/>
    <w:rsid w:val="00106063"/>
    <w:rsid w:val="001073FC"/>
    <w:rsid w:val="001104B2"/>
    <w:rsid w:val="00111440"/>
    <w:rsid w:val="00112C0B"/>
    <w:rsid w:val="001147E7"/>
    <w:rsid w:val="00114D07"/>
    <w:rsid w:val="00117148"/>
    <w:rsid w:val="0012173A"/>
    <w:rsid w:val="00130FD4"/>
    <w:rsid w:val="001314CD"/>
    <w:rsid w:val="0013291C"/>
    <w:rsid w:val="00133453"/>
    <w:rsid w:val="001402C5"/>
    <w:rsid w:val="001405CB"/>
    <w:rsid w:val="00141DD9"/>
    <w:rsid w:val="00144B06"/>
    <w:rsid w:val="00144ED9"/>
    <w:rsid w:val="00145DA3"/>
    <w:rsid w:val="00152641"/>
    <w:rsid w:val="0015332D"/>
    <w:rsid w:val="001536AB"/>
    <w:rsid w:val="00153CAB"/>
    <w:rsid w:val="001558A8"/>
    <w:rsid w:val="00157A8B"/>
    <w:rsid w:val="00157F8B"/>
    <w:rsid w:val="0016078B"/>
    <w:rsid w:val="00161CE2"/>
    <w:rsid w:val="0016208A"/>
    <w:rsid w:val="0016225E"/>
    <w:rsid w:val="001635AE"/>
    <w:rsid w:val="00166570"/>
    <w:rsid w:val="001675A3"/>
    <w:rsid w:val="00170E33"/>
    <w:rsid w:val="00172BD4"/>
    <w:rsid w:val="001759EC"/>
    <w:rsid w:val="00175E05"/>
    <w:rsid w:val="0017739F"/>
    <w:rsid w:val="00177AFD"/>
    <w:rsid w:val="0018130C"/>
    <w:rsid w:val="00191D4B"/>
    <w:rsid w:val="00192952"/>
    <w:rsid w:val="00193973"/>
    <w:rsid w:val="00194FFC"/>
    <w:rsid w:val="001961E4"/>
    <w:rsid w:val="001969B2"/>
    <w:rsid w:val="0019734A"/>
    <w:rsid w:val="001A10B7"/>
    <w:rsid w:val="001A2A50"/>
    <w:rsid w:val="001A2AED"/>
    <w:rsid w:val="001A4FAC"/>
    <w:rsid w:val="001A5575"/>
    <w:rsid w:val="001A7D0D"/>
    <w:rsid w:val="001B686B"/>
    <w:rsid w:val="001B70AB"/>
    <w:rsid w:val="001C0BDF"/>
    <w:rsid w:val="001C0D13"/>
    <w:rsid w:val="001C1546"/>
    <w:rsid w:val="001C3A0F"/>
    <w:rsid w:val="001C4AAA"/>
    <w:rsid w:val="001C4AC2"/>
    <w:rsid w:val="001C6708"/>
    <w:rsid w:val="001C6BB5"/>
    <w:rsid w:val="001C6BB8"/>
    <w:rsid w:val="001D28B2"/>
    <w:rsid w:val="001D559A"/>
    <w:rsid w:val="001D5D27"/>
    <w:rsid w:val="001D6C62"/>
    <w:rsid w:val="001E0711"/>
    <w:rsid w:val="001E2A81"/>
    <w:rsid w:val="001E7849"/>
    <w:rsid w:val="001F2757"/>
    <w:rsid w:val="001F2C2E"/>
    <w:rsid w:val="001F3AF6"/>
    <w:rsid w:val="001F4622"/>
    <w:rsid w:val="001F53AE"/>
    <w:rsid w:val="001F61CE"/>
    <w:rsid w:val="001F7798"/>
    <w:rsid w:val="00201120"/>
    <w:rsid w:val="00201F3C"/>
    <w:rsid w:val="0020309C"/>
    <w:rsid w:val="0020334A"/>
    <w:rsid w:val="00203EF7"/>
    <w:rsid w:val="002054CF"/>
    <w:rsid w:val="00210B8C"/>
    <w:rsid w:val="00210C2C"/>
    <w:rsid w:val="002117A3"/>
    <w:rsid w:val="00211D61"/>
    <w:rsid w:val="00213334"/>
    <w:rsid w:val="002153D4"/>
    <w:rsid w:val="002160A3"/>
    <w:rsid w:val="002165E8"/>
    <w:rsid w:val="00217802"/>
    <w:rsid w:val="00217AEF"/>
    <w:rsid w:val="00217BB9"/>
    <w:rsid w:val="00217ECE"/>
    <w:rsid w:val="00217ED5"/>
    <w:rsid w:val="002214C0"/>
    <w:rsid w:val="0022174D"/>
    <w:rsid w:val="0022201E"/>
    <w:rsid w:val="002239F4"/>
    <w:rsid w:val="00225121"/>
    <w:rsid w:val="0022577E"/>
    <w:rsid w:val="00225A92"/>
    <w:rsid w:val="00227ECA"/>
    <w:rsid w:val="0023061C"/>
    <w:rsid w:val="002308B0"/>
    <w:rsid w:val="0023242E"/>
    <w:rsid w:val="0023452A"/>
    <w:rsid w:val="0023612F"/>
    <w:rsid w:val="0023624B"/>
    <w:rsid w:val="00236342"/>
    <w:rsid w:val="002405CF"/>
    <w:rsid w:val="00240777"/>
    <w:rsid w:val="00241243"/>
    <w:rsid w:val="00245F69"/>
    <w:rsid w:val="00246DC2"/>
    <w:rsid w:val="0025573D"/>
    <w:rsid w:val="00256540"/>
    <w:rsid w:val="00256AAE"/>
    <w:rsid w:val="00257631"/>
    <w:rsid w:val="0026098B"/>
    <w:rsid w:val="00260F57"/>
    <w:rsid w:val="002611C8"/>
    <w:rsid w:val="0026121F"/>
    <w:rsid w:val="002637D1"/>
    <w:rsid w:val="00267784"/>
    <w:rsid w:val="0027220D"/>
    <w:rsid w:val="0027493F"/>
    <w:rsid w:val="002772B0"/>
    <w:rsid w:val="002778E8"/>
    <w:rsid w:val="002808D3"/>
    <w:rsid w:val="00286D40"/>
    <w:rsid w:val="002906FE"/>
    <w:rsid w:val="00291665"/>
    <w:rsid w:val="002919DA"/>
    <w:rsid w:val="00291B24"/>
    <w:rsid w:val="002920E4"/>
    <w:rsid w:val="00292135"/>
    <w:rsid w:val="0029299C"/>
    <w:rsid w:val="0029380F"/>
    <w:rsid w:val="0029474E"/>
    <w:rsid w:val="002970CD"/>
    <w:rsid w:val="002A0406"/>
    <w:rsid w:val="002A1232"/>
    <w:rsid w:val="002A252B"/>
    <w:rsid w:val="002A371F"/>
    <w:rsid w:val="002A3CBD"/>
    <w:rsid w:val="002A4EF8"/>
    <w:rsid w:val="002A7A62"/>
    <w:rsid w:val="002B1360"/>
    <w:rsid w:val="002B18B5"/>
    <w:rsid w:val="002B3FFC"/>
    <w:rsid w:val="002B65E9"/>
    <w:rsid w:val="002B76A1"/>
    <w:rsid w:val="002C0813"/>
    <w:rsid w:val="002C0996"/>
    <w:rsid w:val="002C1F45"/>
    <w:rsid w:val="002C217A"/>
    <w:rsid w:val="002C2485"/>
    <w:rsid w:val="002C322D"/>
    <w:rsid w:val="002C3839"/>
    <w:rsid w:val="002C4BB5"/>
    <w:rsid w:val="002C6B80"/>
    <w:rsid w:val="002C712B"/>
    <w:rsid w:val="002C77DF"/>
    <w:rsid w:val="002D0881"/>
    <w:rsid w:val="002D160F"/>
    <w:rsid w:val="002D19CB"/>
    <w:rsid w:val="002D1E2E"/>
    <w:rsid w:val="002D2660"/>
    <w:rsid w:val="002D4642"/>
    <w:rsid w:val="002D5523"/>
    <w:rsid w:val="002D684C"/>
    <w:rsid w:val="002E023F"/>
    <w:rsid w:val="002E131C"/>
    <w:rsid w:val="002E1B75"/>
    <w:rsid w:val="002E3690"/>
    <w:rsid w:val="002E64E4"/>
    <w:rsid w:val="002E72CC"/>
    <w:rsid w:val="002E7DAF"/>
    <w:rsid w:val="002F030F"/>
    <w:rsid w:val="002F1961"/>
    <w:rsid w:val="003030A6"/>
    <w:rsid w:val="00303DB0"/>
    <w:rsid w:val="00305032"/>
    <w:rsid w:val="00305A82"/>
    <w:rsid w:val="00307FF6"/>
    <w:rsid w:val="0031208C"/>
    <w:rsid w:val="003133C7"/>
    <w:rsid w:val="0031382B"/>
    <w:rsid w:val="00314520"/>
    <w:rsid w:val="00317C29"/>
    <w:rsid w:val="003204B4"/>
    <w:rsid w:val="00320F42"/>
    <w:rsid w:val="0032354E"/>
    <w:rsid w:val="0032414F"/>
    <w:rsid w:val="003249FC"/>
    <w:rsid w:val="003255E8"/>
    <w:rsid w:val="00325605"/>
    <w:rsid w:val="00325E75"/>
    <w:rsid w:val="0032701D"/>
    <w:rsid w:val="00327F64"/>
    <w:rsid w:val="0033144E"/>
    <w:rsid w:val="00333E71"/>
    <w:rsid w:val="00334234"/>
    <w:rsid w:val="00334E27"/>
    <w:rsid w:val="00335B93"/>
    <w:rsid w:val="0033666A"/>
    <w:rsid w:val="00336C21"/>
    <w:rsid w:val="003404FF"/>
    <w:rsid w:val="00340C24"/>
    <w:rsid w:val="00341820"/>
    <w:rsid w:val="00342069"/>
    <w:rsid w:val="00343395"/>
    <w:rsid w:val="00346578"/>
    <w:rsid w:val="0035047E"/>
    <w:rsid w:val="00352C90"/>
    <w:rsid w:val="00352D40"/>
    <w:rsid w:val="00353F29"/>
    <w:rsid w:val="00354064"/>
    <w:rsid w:val="0035462E"/>
    <w:rsid w:val="00354EA6"/>
    <w:rsid w:val="00355A99"/>
    <w:rsid w:val="003601F0"/>
    <w:rsid w:val="00361B85"/>
    <w:rsid w:val="00362495"/>
    <w:rsid w:val="0036321D"/>
    <w:rsid w:val="00364326"/>
    <w:rsid w:val="003643EB"/>
    <w:rsid w:val="003650BD"/>
    <w:rsid w:val="003653F0"/>
    <w:rsid w:val="00367E03"/>
    <w:rsid w:val="00372BF9"/>
    <w:rsid w:val="003742F4"/>
    <w:rsid w:val="00375B20"/>
    <w:rsid w:val="003760B2"/>
    <w:rsid w:val="003764D7"/>
    <w:rsid w:val="003769EE"/>
    <w:rsid w:val="003778B6"/>
    <w:rsid w:val="003818C8"/>
    <w:rsid w:val="003824EB"/>
    <w:rsid w:val="00382B8B"/>
    <w:rsid w:val="00383791"/>
    <w:rsid w:val="00383D75"/>
    <w:rsid w:val="003864E8"/>
    <w:rsid w:val="00387701"/>
    <w:rsid w:val="00391A67"/>
    <w:rsid w:val="00392D99"/>
    <w:rsid w:val="00393E7B"/>
    <w:rsid w:val="00395269"/>
    <w:rsid w:val="0039760C"/>
    <w:rsid w:val="003A1259"/>
    <w:rsid w:val="003A19C7"/>
    <w:rsid w:val="003A2E4E"/>
    <w:rsid w:val="003A5840"/>
    <w:rsid w:val="003A7876"/>
    <w:rsid w:val="003B09B7"/>
    <w:rsid w:val="003B0FA4"/>
    <w:rsid w:val="003B1E2F"/>
    <w:rsid w:val="003B1F48"/>
    <w:rsid w:val="003B5EBC"/>
    <w:rsid w:val="003B6E9B"/>
    <w:rsid w:val="003B7513"/>
    <w:rsid w:val="003C0048"/>
    <w:rsid w:val="003C08C1"/>
    <w:rsid w:val="003C492F"/>
    <w:rsid w:val="003C6EB2"/>
    <w:rsid w:val="003C759C"/>
    <w:rsid w:val="003D17F3"/>
    <w:rsid w:val="003D1D35"/>
    <w:rsid w:val="003D314B"/>
    <w:rsid w:val="003D56DB"/>
    <w:rsid w:val="003E0124"/>
    <w:rsid w:val="003E0897"/>
    <w:rsid w:val="003E182D"/>
    <w:rsid w:val="003E38D8"/>
    <w:rsid w:val="003E3C6F"/>
    <w:rsid w:val="003E499D"/>
    <w:rsid w:val="003E51BA"/>
    <w:rsid w:val="003E733A"/>
    <w:rsid w:val="003E7E07"/>
    <w:rsid w:val="003F034B"/>
    <w:rsid w:val="003F11B8"/>
    <w:rsid w:val="003F22DF"/>
    <w:rsid w:val="003F2360"/>
    <w:rsid w:val="003F29CA"/>
    <w:rsid w:val="003F58A4"/>
    <w:rsid w:val="003F5E45"/>
    <w:rsid w:val="0040141E"/>
    <w:rsid w:val="00404DAB"/>
    <w:rsid w:val="004060F8"/>
    <w:rsid w:val="004075C1"/>
    <w:rsid w:val="0040771B"/>
    <w:rsid w:val="00407873"/>
    <w:rsid w:val="004110D6"/>
    <w:rsid w:val="00413DBA"/>
    <w:rsid w:val="00420853"/>
    <w:rsid w:val="00421792"/>
    <w:rsid w:val="00422E37"/>
    <w:rsid w:val="00422EF9"/>
    <w:rsid w:val="00423909"/>
    <w:rsid w:val="00423935"/>
    <w:rsid w:val="00423E17"/>
    <w:rsid w:val="0042401A"/>
    <w:rsid w:val="00424A24"/>
    <w:rsid w:val="00426150"/>
    <w:rsid w:val="004309E9"/>
    <w:rsid w:val="00431170"/>
    <w:rsid w:val="00431A74"/>
    <w:rsid w:val="0043236F"/>
    <w:rsid w:val="00433C85"/>
    <w:rsid w:val="004344BB"/>
    <w:rsid w:val="004354E2"/>
    <w:rsid w:val="00442120"/>
    <w:rsid w:val="00442CF8"/>
    <w:rsid w:val="00445D8F"/>
    <w:rsid w:val="004460EE"/>
    <w:rsid w:val="00447A52"/>
    <w:rsid w:val="004505A2"/>
    <w:rsid w:val="0045095B"/>
    <w:rsid w:val="00450A7E"/>
    <w:rsid w:val="004530E6"/>
    <w:rsid w:val="00453471"/>
    <w:rsid w:val="004537B6"/>
    <w:rsid w:val="0045612C"/>
    <w:rsid w:val="00463428"/>
    <w:rsid w:val="00463DC1"/>
    <w:rsid w:val="00464E1D"/>
    <w:rsid w:val="0046529B"/>
    <w:rsid w:val="00466D72"/>
    <w:rsid w:val="004704E0"/>
    <w:rsid w:val="00472AF6"/>
    <w:rsid w:val="00473EA3"/>
    <w:rsid w:val="0047437B"/>
    <w:rsid w:val="00474ECE"/>
    <w:rsid w:val="00482088"/>
    <w:rsid w:val="00482887"/>
    <w:rsid w:val="0048367D"/>
    <w:rsid w:val="00485BD3"/>
    <w:rsid w:val="00490665"/>
    <w:rsid w:val="0049321E"/>
    <w:rsid w:val="00493F48"/>
    <w:rsid w:val="004950F0"/>
    <w:rsid w:val="004971BA"/>
    <w:rsid w:val="004974AA"/>
    <w:rsid w:val="00497F45"/>
    <w:rsid w:val="004A0101"/>
    <w:rsid w:val="004A0158"/>
    <w:rsid w:val="004A5EBE"/>
    <w:rsid w:val="004A7539"/>
    <w:rsid w:val="004A79E4"/>
    <w:rsid w:val="004B0ACF"/>
    <w:rsid w:val="004B376B"/>
    <w:rsid w:val="004B3847"/>
    <w:rsid w:val="004B3EB8"/>
    <w:rsid w:val="004B4B8A"/>
    <w:rsid w:val="004B5E59"/>
    <w:rsid w:val="004B6F67"/>
    <w:rsid w:val="004C070A"/>
    <w:rsid w:val="004C0754"/>
    <w:rsid w:val="004C0C23"/>
    <w:rsid w:val="004C0CA4"/>
    <w:rsid w:val="004C3AD4"/>
    <w:rsid w:val="004C5911"/>
    <w:rsid w:val="004C71D8"/>
    <w:rsid w:val="004D17AB"/>
    <w:rsid w:val="004D3468"/>
    <w:rsid w:val="004D420A"/>
    <w:rsid w:val="004D5121"/>
    <w:rsid w:val="004D5939"/>
    <w:rsid w:val="004D691A"/>
    <w:rsid w:val="004D69C6"/>
    <w:rsid w:val="004D7196"/>
    <w:rsid w:val="004E0F01"/>
    <w:rsid w:val="004E1927"/>
    <w:rsid w:val="004E2C38"/>
    <w:rsid w:val="004E375A"/>
    <w:rsid w:val="004E3A91"/>
    <w:rsid w:val="004E49B1"/>
    <w:rsid w:val="004F12A5"/>
    <w:rsid w:val="004F2A10"/>
    <w:rsid w:val="004F4B36"/>
    <w:rsid w:val="004F4C3D"/>
    <w:rsid w:val="004F58D0"/>
    <w:rsid w:val="00500076"/>
    <w:rsid w:val="005008EE"/>
    <w:rsid w:val="00501A4F"/>
    <w:rsid w:val="0050296D"/>
    <w:rsid w:val="00503A64"/>
    <w:rsid w:val="00503B1F"/>
    <w:rsid w:val="005049B6"/>
    <w:rsid w:val="00505393"/>
    <w:rsid w:val="00506826"/>
    <w:rsid w:val="005106FD"/>
    <w:rsid w:val="00510A91"/>
    <w:rsid w:val="00512423"/>
    <w:rsid w:val="00513EE0"/>
    <w:rsid w:val="00515027"/>
    <w:rsid w:val="00515699"/>
    <w:rsid w:val="00517A3E"/>
    <w:rsid w:val="00521D8E"/>
    <w:rsid w:val="00522D49"/>
    <w:rsid w:val="00523363"/>
    <w:rsid w:val="00523BA6"/>
    <w:rsid w:val="005244D3"/>
    <w:rsid w:val="00525064"/>
    <w:rsid w:val="00525338"/>
    <w:rsid w:val="005258C8"/>
    <w:rsid w:val="005277EB"/>
    <w:rsid w:val="0053067A"/>
    <w:rsid w:val="00530749"/>
    <w:rsid w:val="00530CA6"/>
    <w:rsid w:val="005333B7"/>
    <w:rsid w:val="00536722"/>
    <w:rsid w:val="00536E1A"/>
    <w:rsid w:val="00537120"/>
    <w:rsid w:val="0053742F"/>
    <w:rsid w:val="0054061B"/>
    <w:rsid w:val="005409B7"/>
    <w:rsid w:val="00540F66"/>
    <w:rsid w:val="00542DE1"/>
    <w:rsid w:val="00545043"/>
    <w:rsid w:val="00551F84"/>
    <w:rsid w:val="00553EF6"/>
    <w:rsid w:val="00554FD3"/>
    <w:rsid w:val="00555120"/>
    <w:rsid w:val="005551EA"/>
    <w:rsid w:val="00556596"/>
    <w:rsid w:val="00556F5F"/>
    <w:rsid w:val="00560623"/>
    <w:rsid w:val="00564DE2"/>
    <w:rsid w:val="005669E4"/>
    <w:rsid w:val="00567690"/>
    <w:rsid w:val="00570583"/>
    <w:rsid w:val="005718AE"/>
    <w:rsid w:val="0057261C"/>
    <w:rsid w:val="00572CD6"/>
    <w:rsid w:val="00573718"/>
    <w:rsid w:val="00573F6F"/>
    <w:rsid w:val="005750C5"/>
    <w:rsid w:val="00575B79"/>
    <w:rsid w:val="00577A1A"/>
    <w:rsid w:val="00581C3D"/>
    <w:rsid w:val="0058308D"/>
    <w:rsid w:val="00583760"/>
    <w:rsid w:val="0058463B"/>
    <w:rsid w:val="005847A9"/>
    <w:rsid w:val="005914AC"/>
    <w:rsid w:val="00592E9A"/>
    <w:rsid w:val="0059449F"/>
    <w:rsid w:val="00594854"/>
    <w:rsid w:val="00595526"/>
    <w:rsid w:val="00595F04"/>
    <w:rsid w:val="005967D6"/>
    <w:rsid w:val="005A07DB"/>
    <w:rsid w:val="005A4A33"/>
    <w:rsid w:val="005A740F"/>
    <w:rsid w:val="005B06F8"/>
    <w:rsid w:val="005B260F"/>
    <w:rsid w:val="005B4D7D"/>
    <w:rsid w:val="005B59F5"/>
    <w:rsid w:val="005B5F0A"/>
    <w:rsid w:val="005B6C6C"/>
    <w:rsid w:val="005B79C6"/>
    <w:rsid w:val="005C043F"/>
    <w:rsid w:val="005C17E6"/>
    <w:rsid w:val="005C2D16"/>
    <w:rsid w:val="005C76FD"/>
    <w:rsid w:val="005D009F"/>
    <w:rsid w:val="005D016A"/>
    <w:rsid w:val="005D1571"/>
    <w:rsid w:val="005D157C"/>
    <w:rsid w:val="005D3843"/>
    <w:rsid w:val="005D4334"/>
    <w:rsid w:val="005E078B"/>
    <w:rsid w:val="005E07E5"/>
    <w:rsid w:val="005E0A92"/>
    <w:rsid w:val="005E2252"/>
    <w:rsid w:val="005E487C"/>
    <w:rsid w:val="005E488F"/>
    <w:rsid w:val="005E605C"/>
    <w:rsid w:val="005E6319"/>
    <w:rsid w:val="005E67F0"/>
    <w:rsid w:val="005E77A9"/>
    <w:rsid w:val="005F1739"/>
    <w:rsid w:val="005F3313"/>
    <w:rsid w:val="005F456F"/>
    <w:rsid w:val="00600906"/>
    <w:rsid w:val="00600E31"/>
    <w:rsid w:val="00603E70"/>
    <w:rsid w:val="00604402"/>
    <w:rsid w:val="006062C1"/>
    <w:rsid w:val="006068DE"/>
    <w:rsid w:val="00606981"/>
    <w:rsid w:val="00611834"/>
    <w:rsid w:val="00611B9E"/>
    <w:rsid w:val="00612AE9"/>
    <w:rsid w:val="00613E83"/>
    <w:rsid w:val="00614B79"/>
    <w:rsid w:val="00614D46"/>
    <w:rsid w:val="006151F5"/>
    <w:rsid w:val="00615B69"/>
    <w:rsid w:val="006175A0"/>
    <w:rsid w:val="00617FAF"/>
    <w:rsid w:val="00620384"/>
    <w:rsid w:val="00623FC0"/>
    <w:rsid w:val="006257F3"/>
    <w:rsid w:val="006307A9"/>
    <w:rsid w:val="006311CC"/>
    <w:rsid w:val="00632FA2"/>
    <w:rsid w:val="006341D6"/>
    <w:rsid w:val="00636553"/>
    <w:rsid w:val="006371B5"/>
    <w:rsid w:val="006374BE"/>
    <w:rsid w:val="00641297"/>
    <w:rsid w:val="00641FE9"/>
    <w:rsid w:val="00642BB2"/>
    <w:rsid w:val="00642D43"/>
    <w:rsid w:val="00642DB3"/>
    <w:rsid w:val="00643BF9"/>
    <w:rsid w:val="00643C67"/>
    <w:rsid w:val="006448ED"/>
    <w:rsid w:val="00645BDE"/>
    <w:rsid w:val="006478E4"/>
    <w:rsid w:val="00650802"/>
    <w:rsid w:val="0065099A"/>
    <w:rsid w:val="00653EA8"/>
    <w:rsid w:val="006541B4"/>
    <w:rsid w:val="00654D7A"/>
    <w:rsid w:val="00655CCE"/>
    <w:rsid w:val="00657ED9"/>
    <w:rsid w:val="00657F2B"/>
    <w:rsid w:val="00657FC5"/>
    <w:rsid w:val="00662EF6"/>
    <w:rsid w:val="0066795C"/>
    <w:rsid w:val="006700CD"/>
    <w:rsid w:val="00671867"/>
    <w:rsid w:val="00672538"/>
    <w:rsid w:val="00673056"/>
    <w:rsid w:val="006743C0"/>
    <w:rsid w:val="00674936"/>
    <w:rsid w:val="0067501E"/>
    <w:rsid w:val="00675F69"/>
    <w:rsid w:val="006805C9"/>
    <w:rsid w:val="006820C5"/>
    <w:rsid w:val="00684895"/>
    <w:rsid w:val="00685FA3"/>
    <w:rsid w:val="00687694"/>
    <w:rsid w:val="00693DDD"/>
    <w:rsid w:val="0069592E"/>
    <w:rsid w:val="00697392"/>
    <w:rsid w:val="0069752A"/>
    <w:rsid w:val="006A0809"/>
    <w:rsid w:val="006A0CDC"/>
    <w:rsid w:val="006A2BF8"/>
    <w:rsid w:val="006B0047"/>
    <w:rsid w:val="006B112D"/>
    <w:rsid w:val="006B21B0"/>
    <w:rsid w:val="006B29B9"/>
    <w:rsid w:val="006B4553"/>
    <w:rsid w:val="006B5CDE"/>
    <w:rsid w:val="006C0A55"/>
    <w:rsid w:val="006C1FFB"/>
    <w:rsid w:val="006C2F73"/>
    <w:rsid w:val="006C3443"/>
    <w:rsid w:val="006C345E"/>
    <w:rsid w:val="006C36F9"/>
    <w:rsid w:val="006C4B87"/>
    <w:rsid w:val="006C4C86"/>
    <w:rsid w:val="006C51CD"/>
    <w:rsid w:val="006C64B6"/>
    <w:rsid w:val="006C6C17"/>
    <w:rsid w:val="006D1CB4"/>
    <w:rsid w:val="006D1F75"/>
    <w:rsid w:val="006D2076"/>
    <w:rsid w:val="006D2157"/>
    <w:rsid w:val="006D2C36"/>
    <w:rsid w:val="006D2D93"/>
    <w:rsid w:val="006D3931"/>
    <w:rsid w:val="006D3CFE"/>
    <w:rsid w:val="006D4313"/>
    <w:rsid w:val="006D4CC9"/>
    <w:rsid w:val="006D544C"/>
    <w:rsid w:val="006D5D65"/>
    <w:rsid w:val="006D72F3"/>
    <w:rsid w:val="006D7371"/>
    <w:rsid w:val="006E03FB"/>
    <w:rsid w:val="006E10AA"/>
    <w:rsid w:val="006E413F"/>
    <w:rsid w:val="006E42F8"/>
    <w:rsid w:val="006E6B46"/>
    <w:rsid w:val="006E74C2"/>
    <w:rsid w:val="006F0D0E"/>
    <w:rsid w:val="006F2151"/>
    <w:rsid w:val="006F2752"/>
    <w:rsid w:val="006F31C9"/>
    <w:rsid w:val="006F36B5"/>
    <w:rsid w:val="006F5A4E"/>
    <w:rsid w:val="006F6484"/>
    <w:rsid w:val="00701B2F"/>
    <w:rsid w:val="00704B6A"/>
    <w:rsid w:val="00704E6A"/>
    <w:rsid w:val="00706AA7"/>
    <w:rsid w:val="00710A1A"/>
    <w:rsid w:val="00710BD4"/>
    <w:rsid w:val="00711C08"/>
    <w:rsid w:val="007130CE"/>
    <w:rsid w:val="00716C04"/>
    <w:rsid w:val="0071742F"/>
    <w:rsid w:val="00717FA6"/>
    <w:rsid w:val="00720E97"/>
    <w:rsid w:val="007213C6"/>
    <w:rsid w:val="007236A5"/>
    <w:rsid w:val="00724EE5"/>
    <w:rsid w:val="007253E1"/>
    <w:rsid w:val="00725FF7"/>
    <w:rsid w:val="00726D53"/>
    <w:rsid w:val="00727310"/>
    <w:rsid w:val="00727FE0"/>
    <w:rsid w:val="007316D6"/>
    <w:rsid w:val="00740291"/>
    <w:rsid w:val="007402FB"/>
    <w:rsid w:val="00741847"/>
    <w:rsid w:val="00743015"/>
    <w:rsid w:val="007431C8"/>
    <w:rsid w:val="00743627"/>
    <w:rsid w:val="00745FDC"/>
    <w:rsid w:val="00746044"/>
    <w:rsid w:val="007464EC"/>
    <w:rsid w:val="007509F6"/>
    <w:rsid w:val="00750E83"/>
    <w:rsid w:val="0075126A"/>
    <w:rsid w:val="00751777"/>
    <w:rsid w:val="00754299"/>
    <w:rsid w:val="00755DCF"/>
    <w:rsid w:val="00756A85"/>
    <w:rsid w:val="007579C7"/>
    <w:rsid w:val="00760CB4"/>
    <w:rsid w:val="00765A75"/>
    <w:rsid w:val="00766920"/>
    <w:rsid w:val="00770F02"/>
    <w:rsid w:val="00770F3A"/>
    <w:rsid w:val="00771154"/>
    <w:rsid w:val="00772BEA"/>
    <w:rsid w:val="00772DED"/>
    <w:rsid w:val="00772FFA"/>
    <w:rsid w:val="00773E25"/>
    <w:rsid w:val="0077469D"/>
    <w:rsid w:val="00775CB4"/>
    <w:rsid w:val="00777127"/>
    <w:rsid w:val="00780800"/>
    <w:rsid w:val="00780A98"/>
    <w:rsid w:val="007817A1"/>
    <w:rsid w:val="00781E4F"/>
    <w:rsid w:val="007833F9"/>
    <w:rsid w:val="00785B6C"/>
    <w:rsid w:val="0078653B"/>
    <w:rsid w:val="007868F7"/>
    <w:rsid w:val="00787A28"/>
    <w:rsid w:val="00790122"/>
    <w:rsid w:val="007908DA"/>
    <w:rsid w:val="007917A1"/>
    <w:rsid w:val="007920AD"/>
    <w:rsid w:val="0079232E"/>
    <w:rsid w:val="00793844"/>
    <w:rsid w:val="00794657"/>
    <w:rsid w:val="00794799"/>
    <w:rsid w:val="00796B65"/>
    <w:rsid w:val="00797745"/>
    <w:rsid w:val="007A0417"/>
    <w:rsid w:val="007A0D2D"/>
    <w:rsid w:val="007A2217"/>
    <w:rsid w:val="007A39DF"/>
    <w:rsid w:val="007B150F"/>
    <w:rsid w:val="007B2A9C"/>
    <w:rsid w:val="007B3470"/>
    <w:rsid w:val="007B57A2"/>
    <w:rsid w:val="007B6E79"/>
    <w:rsid w:val="007C29A3"/>
    <w:rsid w:val="007C571F"/>
    <w:rsid w:val="007C5EB3"/>
    <w:rsid w:val="007C6772"/>
    <w:rsid w:val="007C71C2"/>
    <w:rsid w:val="007C7607"/>
    <w:rsid w:val="007C7D32"/>
    <w:rsid w:val="007D1BB5"/>
    <w:rsid w:val="007D2EB6"/>
    <w:rsid w:val="007D3441"/>
    <w:rsid w:val="007D3C80"/>
    <w:rsid w:val="007D45D3"/>
    <w:rsid w:val="007D51C3"/>
    <w:rsid w:val="007D7750"/>
    <w:rsid w:val="007D7C7B"/>
    <w:rsid w:val="007E0AD8"/>
    <w:rsid w:val="007E164F"/>
    <w:rsid w:val="007E1A25"/>
    <w:rsid w:val="007E468E"/>
    <w:rsid w:val="007E471B"/>
    <w:rsid w:val="007E5D4D"/>
    <w:rsid w:val="007E7EE8"/>
    <w:rsid w:val="007F0415"/>
    <w:rsid w:val="007F05E8"/>
    <w:rsid w:val="007F17CA"/>
    <w:rsid w:val="007F2970"/>
    <w:rsid w:val="007F29EE"/>
    <w:rsid w:val="007F37C1"/>
    <w:rsid w:val="007F3B4C"/>
    <w:rsid w:val="007F503F"/>
    <w:rsid w:val="007F6AE6"/>
    <w:rsid w:val="00800A17"/>
    <w:rsid w:val="00803997"/>
    <w:rsid w:val="00805A38"/>
    <w:rsid w:val="00807BCF"/>
    <w:rsid w:val="008100B1"/>
    <w:rsid w:val="008114BA"/>
    <w:rsid w:val="008119B3"/>
    <w:rsid w:val="00813689"/>
    <w:rsid w:val="008148FB"/>
    <w:rsid w:val="00814FAE"/>
    <w:rsid w:val="00816A07"/>
    <w:rsid w:val="00817517"/>
    <w:rsid w:val="00820DCA"/>
    <w:rsid w:val="00822B7B"/>
    <w:rsid w:val="0082391E"/>
    <w:rsid w:val="00824081"/>
    <w:rsid w:val="00825B9E"/>
    <w:rsid w:val="00830526"/>
    <w:rsid w:val="00831254"/>
    <w:rsid w:val="00831A52"/>
    <w:rsid w:val="008347AA"/>
    <w:rsid w:val="00834F34"/>
    <w:rsid w:val="00837867"/>
    <w:rsid w:val="00844A62"/>
    <w:rsid w:val="00846B7A"/>
    <w:rsid w:val="0085088E"/>
    <w:rsid w:val="0085471A"/>
    <w:rsid w:val="0085537E"/>
    <w:rsid w:val="00856324"/>
    <w:rsid w:val="0085689B"/>
    <w:rsid w:val="00857A62"/>
    <w:rsid w:val="00861E2F"/>
    <w:rsid w:val="008642A7"/>
    <w:rsid w:val="0086494F"/>
    <w:rsid w:val="00871776"/>
    <w:rsid w:val="00871FBD"/>
    <w:rsid w:val="00872C31"/>
    <w:rsid w:val="00873EF8"/>
    <w:rsid w:val="00874101"/>
    <w:rsid w:val="00875CFC"/>
    <w:rsid w:val="0087716E"/>
    <w:rsid w:val="00880038"/>
    <w:rsid w:val="008830C3"/>
    <w:rsid w:val="00883CAE"/>
    <w:rsid w:val="00884AB1"/>
    <w:rsid w:val="00886D7A"/>
    <w:rsid w:val="008872E4"/>
    <w:rsid w:val="0088750E"/>
    <w:rsid w:val="0088AB9F"/>
    <w:rsid w:val="00890C8E"/>
    <w:rsid w:val="00891D04"/>
    <w:rsid w:val="00892908"/>
    <w:rsid w:val="00896F8B"/>
    <w:rsid w:val="008A0545"/>
    <w:rsid w:val="008A10E7"/>
    <w:rsid w:val="008A2BFE"/>
    <w:rsid w:val="008A3B4F"/>
    <w:rsid w:val="008A3B7E"/>
    <w:rsid w:val="008B17E7"/>
    <w:rsid w:val="008B42E3"/>
    <w:rsid w:val="008B46B5"/>
    <w:rsid w:val="008B65D4"/>
    <w:rsid w:val="008B7113"/>
    <w:rsid w:val="008B77DA"/>
    <w:rsid w:val="008C1847"/>
    <w:rsid w:val="008C1E79"/>
    <w:rsid w:val="008C2664"/>
    <w:rsid w:val="008C2AE1"/>
    <w:rsid w:val="008C5853"/>
    <w:rsid w:val="008C68DF"/>
    <w:rsid w:val="008C7AF1"/>
    <w:rsid w:val="008D219B"/>
    <w:rsid w:val="008D2786"/>
    <w:rsid w:val="008D598C"/>
    <w:rsid w:val="008D5F2E"/>
    <w:rsid w:val="008E0A07"/>
    <w:rsid w:val="008E0E07"/>
    <w:rsid w:val="008E264E"/>
    <w:rsid w:val="008E3321"/>
    <w:rsid w:val="008E3F22"/>
    <w:rsid w:val="008E48AF"/>
    <w:rsid w:val="008E5300"/>
    <w:rsid w:val="008E600F"/>
    <w:rsid w:val="008E7F1A"/>
    <w:rsid w:val="008F1AE0"/>
    <w:rsid w:val="008F23AE"/>
    <w:rsid w:val="008F581C"/>
    <w:rsid w:val="008F6F74"/>
    <w:rsid w:val="009006E5"/>
    <w:rsid w:val="00901066"/>
    <w:rsid w:val="00901BA3"/>
    <w:rsid w:val="00902FE3"/>
    <w:rsid w:val="00906624"/>
    <w:rsid w:val="00906D90"/>
    <w:rsid w:val="00907FF5"/>
    <w:rsid w:val="00912869"/>
    <w:rsid w:val="00912E6F"/>
    <w:rsid w:val="00913B55"/>
    <w:rsid w:val="00913EF8"/>
    <w:rsid w:val="00915CC2"/>
    <w:rsid w:val="00916DF4"/>
    <w:rsid w:val="00921171"/>
    <w:rsid w:val="009218D4"/>
    <w:rsid w:val="00921A9E"/>
    <w:rsid w:val="00925BD2"/>
    <w:rsid w:val="00926517"/>
    <w:rsid w:val="00926A6D"/>
    <w:rsid w:val="00926AD1"/>
    <w:rsid w:val="00927F10"/>
    <w:rsid w:val="00930B7C"/>
    <w:rsid w:val="00930C32"/>
    <w:rsid w:val="0093280A"/>
    <w:rsid w:val="00934370"/>
    <w:rsid w:val="009361E4"/>
    <w:rsid w:val="009374B8"/>
    <w:rsid w:val="009379E4"/>
    <w:rsid w:val="00937E83"/>
    <w:rsid w:val="00940585"/>
    <w:rsid w:val="0094254C"/>
    <w:rsid w:val="00943CF1"/>
    <w:rsid w:val="00944EAA"/>
    <w:rsid w:val="00945851"/>
    <w:rsid w:val="0094663E"/>
    <w:rsid w:val="00947485"/>
    <w:rsid w:val="009478CE"/>
    <w:rsid w:val="009504F1"/>
    <w:rsid w:val="0095218A"/>
    <w:rsid w:val="00952431"/>
    <w:rsid w:val="00952698"/>
    <w:rsid w:val="00952BEE"/>
    <w:rsid w:val="0095400E"/>
    <w:rsid w:val="009543D1"/>
    <w:rsid w:val="0095518A"/>
    <w:rsid w:val="009615C7"/>
    <w:rsid w:val="009636EC"/>
    <w:rsid w:val="00972121"/>
    <w:rsid w:val="00974E11"/>
    <w:rsid w:val="00975CF8"/>
    <w:rsid w:val="00976389"/>
    <w:rsid w:val="0097795F"/>
    <w:rsid w:val="00980AE0"/>
    <w:rsid w:val="009817E6"/>
    <w:rsid w:val="0098258F"/>
    <w:rsid w:val="00982A3E"/>
    <w:rsid w:val="00982E98"/>
    <w:rsid w:val="009833AB"/>
    <w:rsid w:val="00984275"/>
    <w:rsid w:val="0098499D"/>
    <w:rsid w:val="00990361"/>
    <w:rsid w:val="009925DE"/>
    <w:rsid w:val="00992D55"/>
    <w:rsid w:val="00993AFE"/>
    <w:rsid w:val="009973EA"/>
    <w:rsid w:val="00997E35"/>
    <w:rsid w:val="009A0AC0"/>
    <w:rsid w:val="009A172D"/>
    <w:rsid w:val="009A23C7"/>
    <w:rsid w:val="009A33D3"/>
    <w:rsid w:val="009A469E"/>
    <w:rsid w:val="009A6F6D"/>
    <w:rsid w:val="009A703A"/>
    <w:rsid w:val="009A72F2"/>
    <w:rsid w:val="009A7DBC"/>
    <w:rsid w:val="009A7E26"/>
    <w:rsid w:val="009B07E3"/>
    <w:rsid w:val="009B3FCE"/>
    <w:rsid w:val="009B5155"/>
    <w:rsid w:val="009B5FC9"/>
    <w:rsid w:val="009B69FE"/>
    <w:rsid w:val="009B7286"/>
    <w:rsid w:val="009C0FDA"/>
    <w:rsid w:val="009C2243"/>
    <w:rsid w:val="009C4C41"/>
    <w:rsid w:val="009D0282"/>
    <w:rsid w:val="009D22B7"/>
    <w:rsid w:val="009D2622"/>
    <w:rsid w:val="009D40B0"/>
    <w:rsid w:val="009D56CB"/>
    <w:rsid w:val="009D656E"/>
    <w:rsid w:val="009E1064"/>
    <w:rsid w:val="009E184A"/>
    <w:rsid w:val="009E1CD5"/>
    <w:rsid w:val="009E2C16"/>
    <w:rsid w:val="009E3D54"/>
    <w:rsid w:val="009E3E83"/>
    <w:rsid w:val="009E48E1"/>
    <w:rsid w:val="009E538E"/>
    <w:rsid w:val="009E6E24"/>
    <w:rsid w:val="009F10F8"/>
    <w:rsid w:val="009F15A6"/>
    <w:rsid w:val="009F3481"/>
    <w:rsid w:val="009F4C5D"/>
    <w:rsid w:val="009F501C"/>
    <w:rsid w:val="009F5B59"/>
    <w:rsid w:val="009F61F0"/>
    <w:rsid w:val="009F708C"/>
    <w:rsid w:val="009F7A0F"/>
    <w:rsid w:val="00A001A1"/>
    <w:rsid w:val="00A06BF0"/>
    <w:rsid w:val="00A07AF4"/>
    <w:rsid w:val="00A1065D"/>
    <w:rsid w:val="00A1110E"/>
    <w:rsid w:val="00A1372E"/>
    <w:rsid w:val="00A13826"/>
    <w:rsid w:val="00A13C23"/>
    <w:rsid w:val="00A17993"/>
    <w:rsid w:val="00A17F48"/>
    <w:rsid w:val="00A20334"/>
    <w:rsid w:val="00A224A9"/>
    <w:rsid w:val="00A22CCF"/>
    <w:rsid w:val="00A23AD8"/>
    <w:rsid w:val="00A23E6A"/>
    <w:rsid w:val="00A2441B"/>
    <w:rsid w:val="00A258E0"/>
    <w:rsid w:val="00A2663C"/>
    <w:rsid w:val="00A33881"/>
    <w:rsid w:val="00A35C54"/>
    <w:rsid w:val="00A363C9"/>
    <w:rsid w:val="00A3661A"/>
    <w:rsid w:val="00A37BA4"/>
    <w:rsid w:val="00A40577"/>
    <w:rsid w:val="00A412B6"/>
    <w:rsid w:val="00A420BC"/>
    <w:rsid w:val="00A438D5"/>
    <w:rsid w:val="00A4391E"/>
    <w:rsid w:val="00A443E4"/>
    <w:rsid w:val="00A44BDB"/>
    <w:rsid w:val="00A44D17"/>
    <w:rsid w:val="00A512D1"/>
    <w:rsid w:val="00A51E96"/>
    <w:rsid w:val="00A52532"/>
    <w:rsid w:val="00A52B6B"/>
    <w:rsid w:val="00A53065"/>
    <w:rsid w:val="00A53FDA"/>
    <w:rsid w:val="00A53FFE"/>
    <w:rsid w:val="00A54D3D"/>
    <w:rsid w:val="00A55270"/>
    <w:rsid w:val="00A55AA9"/>
    <w:rsid w:val="00A574F2"/>
    <w:rsid w:val="00A5785D"/>
    <w:rsid w:val="00A579E8"/>
    <w:rsid w:val="00A61BC0"/>
    <w:rsid w:val="00A63AAA"/>
    <w:rsid w:val="00A65A93"/>
    <w:rsid w:val="00A661B9"/>
    <w:rsid w:val="00A67859"/>
    <w:rsid w:val="00A71C8E"/>
    <w:rsid w:val="00A71EA3"/>
    <w:rsid w:val="00A726F6"/>
    <w:rsid w:val="00A74970"/>
    <w:rsid w:val="00A74DCA"/>
    <w:rsid w:val="00A8112B"/>
    <w:rsid w:val="00A8115B"/>
    <w:rsid w:val="00A92757"/>
    <w:rsid w:val="00A92F6D"/>
    <w:rsid w:val="00A95E7C"/>
    <w:rsid w:val="00AA1360"/>
    <w:rsid w:val="00AA13BE"/>
    <w:rsid w:val="00AA4119"/>
    <w:rsid w:val="00AA45DA"/>
    <w:rsid w:val="00AA67C3"/>
    <w:rsid w:val="00AA6B88"/>
    <w:rsid w:val="00AA767E"/>
    <w:rsid w:val="00AB31A6"/>
    <w:rsid w:val="00AB5942"/>
    <w:rsid w:val="00AB5E63"/>
    <w:rsid w:val="00AC0282"/>
    <w:rsid w:val="00AC0AA5"/>
    <w:rsid w:val="00AC11F0"/>
    <w:rsid w:val="00AC3427"/>
    <w:rsid w:val="00AC3DD1"/>
    <w:rsid w:val="00AC4965"/>
    <w:rsid w:val="00AC4DE8"/>
    <w:rsid w:val="00AC69C1"/>
    <w:rsid w:val="00AC763F"/>
    <w:rsid w:val="00AD0377"/>
    <w:rsid w:val="00AD2004"/>
    <w:rsid w:val="00AD3092"/>
    <w:rsid w:val="00AD4443"/>
    <w:rsid w:val="00AD4534"/>
    <w:rsid w:val="00AD45FF"/>
    <w:rsid w:val="00AD663E"/>
    <w:rsid w:val="00AD6739"/>
    <w:rsid w:val="00AD6F78"/>
    <w:rsid w:val="00AD7A76"/>
    <w:rsid w:val="00AE163C"/>
    <w:rsid w:val="00AE33AC"/>
    <w:rsid w:val="00AE343A"/>
    <w:rsid w:val="00AE50FF"/>
    <w:rsid w:val="00AE695F"/>
    <w:rsid w:val="00AE7CDB"/>
    <w:rsid w:val="00AF183D"/>
    <w:rsid w:val="00AF5067"/>
    <w:rsid w:val="00AF5353"/>
    <w:rsid w:val="00AF5B8D"/>
    <w:rsid w:val="00AF7632"/>
    <w:rsid w:val="00B0158B"/>
    <w:rsid w:val="00B01CFD"/>
    <w:rsid w:val="00B02CBF"/>
    <w:rsid w:val="00B052D3"/>
    <w:rsid w:val="00B055E3"/>
    <w:rsid w:val="00B05621"/>
    <w:rsid w:val="00B10190"/>
    <w:rsid w:val="00B10BD0"/>
    <w:rsid w:val="00B11D74"/>
    <w:rsid w:val="00B12430"/>
    <w:rsid w:val="00B135D9"/>
    <w:rsid w:val="00B15E7B"/>
    <w:rsid w:val="00B20A36"/>
    <w:rsid w:val="00B21FCA"/>
    <w:rsid w:val="00B2311B"/>
    <w:rsid w:val="00B23B16"/>
    <w:rsid w:val="00B24710"/>
    <w:rsid w:val="00B24AD7"/>
    <w:rsid w:val="00B26C31"/>
    <w:rsid w:val="00B30B2F"/>
    <w:rsid w:val="00B30B38"/>
    <w:rsid w:val="00B3209F"/>
    <w:rsid w:val="00B32996"/>
    <w:rsid w:val="00B33129"/>
    <w:rsid w:val="00B338E3"/>
    <w:rsid w:val="00B34C21"/>
    <w:rsid w:val="00B40354"/>
    <w:rsid w:val="00B419C8"/>
    <w:rsid w:val="00B4397E"/>
    <w:rsid w:val="00B439FD"/>
    <w:rsid w:val="00B44399"/>
    <w:rsid w:val="00B45EEB"/>
    <w:rsid w:val="00B50A80"/>
    <w:rsid w:val="00B50C9F"/>
    <w:rsid w:val="00B525B5"/>
    <w:rsid w:val="00B525F0"/>
    <w:rsid w:val="00B54F97"/>
    <w:rsid w:val="00B56FAC"/>
    <w:rsid w:val="00B604F9"/>
    <w:rsid w:val="00B60DB5"/>
    <w:rsid w:val="00B61DA2"/>
    <w:rsid w:val="00B67E4D"/>
    <w:rsid w:val="00B72B08"/>
    <w:rsid w:val="00B74B3A"/>
    <w:rsid w:val="00B76468"/>
    <w:rsid w:val="00B764D1"/>
    <w:rsid w:val="00B7776E"/>
    <w:rsid w:val="00B83139"/>
    <w:rsid w:val="00B842C6"/>
    <w:rsid w:val="00B84E0C"/>
    <w:rsid w:val="00B8533F"/>
    <w:rsid w:val="00B87048"/>
    <w:rsid w:val="00B877FC"/>
    <w:rsid w:val="00B87F63"/>
    <w:rsid w:val="00B92A8B"/>
    <w:rsid w:val="00B9474E"/>
    <w:rsid w:val="00B94FC9"/>
    <w:rsid w:val="00B950E8"/>
    <w:rsid w:val="00B978E0"/>
    <w:rsid w:val="00BA0D1E"/>
    <w:rsid w:val="00BA2DDD"/>
    <w:rsid w:val="00BA360C"/>
    <w:rsid w:val="00BB1189"/>
    <w:rsid w:val="00BB17C1"/>
    <w:rsid w:val="00BB2574"/>
    <w:rsid w:val="00BB2595"/>
    <w:rsid w:val="00BC1A76"/>
    <w:rsid w:val="00BC1D9F"/>
    <w:rsid w:val="00BC3F8C"/>
    <w:rsid w:val="00BC4429"/>
    <w:rsid w:val="00BC44B5"/>
    <w:rsid w:val="00BC4A6C"/>
    <w:rsid w:val="00BC69E1"/>
    <w:rsid w:val="00BD14EC"/>
    <w:rsid w:val="00BD1AEB"/>
    <w:rsid w:val="00BD6C8C"/>
    <w:rsid w:val="00BD7674"/>
    <w:rsid w:val="00BD7A75"/>
    <w:rsid w:val="00BE05E1"/>
    <w:rsid w:val="00BE1817"/>
    <w:rsid w:val="00BE299D"/>
    <w:rsid w:val="00BE2FA7"/>
    <w:rsid w:val="00BE38B5"/>
    <w:rsid w:val="00BE4448"/>
    <w:rsid w:val="00BE726B"/>
    <w:rsid w:val="00BF1B36"/>
    <w:rsid w:val="00BF2632"/>
    <w:rsid w:val="00BF2F3E"/>
    <w:rsid w:val="00BF36E1"/>
    <w:rsid w:val="00BF419A"/>
    <w:rsid w:val="00BF5178"/>
    <w:rsid w:val="00BF784E"/>
    <w:rsid w:val="00BF7BC2"/>
    <w:rsid w:val="00C0155F"/>
    <w:rsid w:val="00C021EC"/>
    <w:rsid w:val="00C02A67"/>
    <w:rsid w:val="00C02BBF"/>
    <w:rsid w:val="00C02D7C"/>
    <w:rsid w:val="00C03286"/>
    <w:rsid w:val="00C05E02"/>
    <w:rsid w:val="00C06711"/>
    <w:rsid w:val="00C07418"/>
    <w:rsid w:val="00C1001F"/>
    <w:rsid w:val="00C10192"/>
    <w:rsid w:val="00C11A1D"/>
    <w:rsid w:val="00C14DF3"/>
    <w:rsid w:val="00C1546F"/>
    <w:rsid w:val="00C168EF"/>
    <w:rsid w:val="00C21A50"/>
    <w:rsid w:val="00C2247E"/>
    <w:rsid w:val="00C2558E"/>
    <w:rsid w:val="00C2635F"/>
    <w:rsid w:val="00C2766D"/>
    <w:rsid w:val="00C304D4"/>
    <w:rsid w:val="00C308A1"/>
    <w:rsid w:val="00C30A01"/>
    <w:rsid w:val="00C31883"/>
    <w:rsid w:val="00C31B79"/>
    <w:rsid w:val="00C3511C"/>
    <w:rsid w:val="00C355E3"/>
    <w:rsid w:val="00C35763"/>
    <w:rsid w:val="00C370F6"/>
    <w:rsid w:val="00C3746B"/>
    <w:rsid w:val="00C40630"/>
    <w:rsid w:val="00C409A0"/>
    <w:rsid w:val="00C40F90"/>
    <w:rsid w:val="00C415F9"/>
    <w:rsid w:val="00C417E4"/>
    <w:rsid w:val="00C442C3"/>
    <w:rsid w:val="00C478DF"/>
    <w:rsid w:val="00C47D3E"/>
    <w:rsid w:val="00C51396"/>
    <w:rsid w:val="00C51761"/>
    <w:rsid w:val="00C51AA7"/>
    <w:rsid w:val="00C51F8C"/>
    <w:rsid w:val="00C534FB"/>
    <w:rsid w:val="00C5375D"/>
    <w:rsid w:val="00C54799"/>
    <w:rsid w:val="00C559DB"/>
    <w:rsid w:val="00C61B27"/>
    <w:rsid w:val="00C61C67"/>
    <w:rsid w:val="00C61DD6"/>
    <w:rsid w:val="00C62868"/>
    <w:rsid w:val="00C6603E"/>
    <w:rsid w:val="00C679C6"/>
    <w:rsid w:val="00C70D8F"/>
    <w:rsid w:val="00C718F0"/>
    <w:rsid w:val="00C71FCF"/>
    <w:rsid w:val="00C728F2"/>
    <w:rsid w:val="00C73FE3"/>
    <w:rsid w:val="00C75173"/>
    <w:rsid w:val="00C754B4"/>
    <w:rsid w:val="00C7554E"/>
    <w:rsid w:val="00C760BE"/>
    <w:rsid w:val="00C7635A"/>
    <w:rsid w:val="00C76B0C"/>
    <w:rsid w:val="00C77848"/>
    <w:rsid w:val="00C80A1B"/>
    <w:rsid w:val="00C82A5D"/>
    <w:rsid w:val="00C83AD0"/>
    <w:rsid w:val="00C84414"/>
    <w:rsid w:val="00C86449"/>
    <w:rsid w:val="00C87793"/>
    <w:rsid w:val="00C87864"/>
    <w:rsid w:val="00C903D5"/>
    <w:rsid w:val="00C91AFC"/>
    <w:rsid w:val="00C92927"/>
    <w:rsid w:val="00C95AF8"/>
    <w:rsid w:val="00C97661"/>
    <w:rsid w:val="00CA2A2F"/>
    <w:rsid w:val="00CA2CB9"/>
    <w:rsid w:val="00CA6114"/>
    <w:rsid w:val="00CA6164"/>
    <w:rsid w:val="00CA65E8"/>
    <w:rsid w:val="00CA71D3"/>
    <w:rsid w:val="00CB0303"/>
    <w:rsid w:val="00CB32EF"/>
    <w:rsid w:val="00CB37B5"/>
    <w:rsid w:val="00CB3B79"/>
    <w:rsid w:val="00CB4174"/>
    <w:rsid w:val="00CB5294"/>
    <w:rsid w:val="00CB5A53"/>
    <w:rsid w:val="00CC1D5F"/>
    <w:rsid w:val="00CC1D99"/>
    <w:rsid w:val="00CC532E"/>
    <w:rsid w:val="00CC6882"/>
    <w:rsid w:val="00CC6DF8"/>
    <w:rsid w:val="00CC71E2"/>
    <w:rsid w:val="00CC786E"/>
    <w:rsid w:val="00CD0EDC"/>
    <w:rsid w:val="00CD1B85"/>
    <w:rsid w:val="00CD336B"/>
    <w:rsid w:val="00CD419B"/>
    <w:rsid w:val="00CD47C3"/>
    <w:rsid w:val="00CD4AB7"/>
    <w:rsid w:val="00CD5B18"/>
    <w:rsid w:val="00CD5C88"/>
    <w:rsid w:val="00CD7130"/>
    <w:rsid w:val="00CD7D41"/>
    <w:rsid w:val="00CE09FD"/>
    <w:rsid w:val="00CE1946"/>
    <w:rsid w:val="00CE5D1E"/>
    <w:rsid w:val="00CE67DD"/>
    <w:rsid w:val="00CE76A9"/>
    <w:rsid w:val="00CF04F6"/>
    <w:rsid w:val="00CF6872"/>
    <w:rsid w:val="00CF79D2"/>
    <w:rsid w:val="00D00566"/>
    <w:rsid w:val="00D01230"/>
    <w:rsid w:val="00D02729"/>
    <w:rsid w:val="00D03E80"/>
    <w:rsid w:val="00D03E9B"/>
    <w:rsid w:val="00D0599A"/>
    <w:rsid w:val="00D06980"/>
    <w:rsid w:val="00D114DF"/>
    <w:rsid w:val="00D11F0F"/>
    <w:rsid w:val="00D159FA"/>
    <w:rsid w:val="00D15B3C"/>
    <w:rsid w:val="00D17348"/>
    <w:rsid w:val="00D176E6"/>
    <w:rsid w:val="00D2041A"/>
    <w:rsid w:val="00D209A8"/>
    <w:rsid w:val="00D228DD"/>
    <w:rsid w:val="00D232B3"/>
    <w:rsid w:val="00D241EB"/>
    <w:rsid w:val="00D2552A"/>
    <w:rsid w:val="00D25B1C"/>
    <w:rsid w:val="00D26D44"/>
    <w:rsid w:val="00D27D6A"/>
    <w:rsid w:val="00D33EFC"/>
    <w:rsid w:val="00D368B1"/>
    <w:rsid w:val="00D40661"/>
    <w:rsid w:val="00D412E9"/>
    <w:rsid w:val="00D4416C"/>
    <w:rsid w:val="00D4487E"/>
    <w:rsid w:val="00D45F5F"/>
    <w:rsid w:val="00D45F95"/>
    <w:rsid w:val="00D4763C"/>
    <w:rsid w:val="00D5153D"/>
    <w:rsid w:val="00D52A5D"/>
    <w:rsid w:val="00D53A95"/>
    <w:rsid w:val="00D55372"/>
    <w:rsid w:val="00D57F0E"/>
    <w:rsid w:val="00D60485"/>
    <w:rsid w:val="00D60F56"/>
    <w:rsid w:val="00D620E4"/>
    <w:rsid w:val="00D62F64"/>
    <w:rsid w:val="00D63619"/>
    <w:rsid w:val="00D65679"/>
    <w:rsid w:val="00D65E3B"/>
    <w:rsid w:val="00D66F16"/>
    <w:rsid w:val="00D67E71"/>
    <w:rsid w:val="00D709F4"/>
    <w:rsid w:val="00D70E89"/>
    <w:rsid w:val="00D7669F"/>
    <w:rsid w:val="00D775CD"/>
    <w:rsid w:val="00D83E1B"/>
    <w:rsid w:val="00D841E8"/>
    <w:rsid w:val="00D843B7"/>
    <w:rsid w:val="00D865BE"/>
    <w:rsid w:val="00D86716"/>
    <w:rsid w:val="00D920BF"/>
    <w:rsid w:val="00D92E1D"/>
    <w:rsid w:val="00D938CA"/>
    <w:rsid w:val="00D9423F"/>
    <w:rsid w:val="00D94F5B"/>
    <w:rsid w:val="00D96756"/>
    <w:rsid w:val="00D9708E"/>
    <w:rsid w:val="00DA1A1D"/>
    <w:rsid w:val="00DA20F7"/>
    <w:rsid w:val="00DA41F9"/>
    <w:rsid w:val="00DA52EE"/>
    <w:rsid w:val="00DB0778"/>
    <w:rsid w:val="00DB0D27"/>
    <w:rsid w:val="00DB3950"/>
    <w:rsid w:val="00DB3995"/>
    <w:rsid w:val="00DB54C7"/>
    <w:rsid w:val="00DB72A0"/>
    <w:rsid w:val="00DB7E21"/>
    <w:rsid w:val="00DC201C"/>
    <w:rsid w:val="00DC504C"/>
    <w:rsid w:val="00DC54AD"/>
    <w:rsid w:val="00DC685A"/>
    <w:rsid w:val="00DC720B"/>
    <w:rsid w:val="00DC759B"/>
    <w:rsid w:val="00DC77D1"/>
    <w:rsid w:val="00DE081A"/>
    <w:rsid w:val="00DF20D7"/>
    <w:rsid w:val="00DF3876"/>
    <w:rsid w:val="00DF571E"/>
    <w:rsid w:val="00DF6EEA"/>
    <w:rsid w:val="00E00334"/>
    <w:rsid w:val="00E00EAB"/>
    <w:rsid w:val="00E01CDA"/>
    <w:rsid w:val="00E02F42"/>
    <w:rsid w:val="00E04B72"/>
    <w:rsid w:val="00E073A1"/>
    <w:rsid w:val="00E13392"/>
    <w:rsid w:val="00E1498E"/>
    <w:rsid w:val="00E14BA7"/>
    <w:rsid w:val="00E156C7"/>
    <w:rsid w:val="00E157A7"/>
    <w:rsid w:val="00E165A2"/>
    <w:rsid w:val="00E17CD7"/>
    <w:rsid w:val="00E208C9"/>
    <w:rsid w:val="00E22909"/>
    <w:rsid w:val="00E22C5D"/>
    <w:rsid w:val="00E253D8"/>
    <w:rsid w:val="00E322BE"/>
    <w:rsid w:val="00E32892"/>
    <w:rsid w:val="00E328BC"/>
    <w:rsid w:val="00E368CF"/>
    <w:rsid w:val="00E36C0C"/>
    <w:rsid w:val="00E37867"/>
    <w:rsid w:val="00E37F51"/>
    <w:rsid w:val="00E4143C"/>
    <w:rsid w:val="00E42F6D"/>
    <w:rsid w:val="00E44F68"/>
    <w:rsid w:val="00E474EB"/>
    <w:rsid w:val="00E51B90"/>
    <w:rsid w:val="00E53BDE"/>
    <w:rsid w:val="00E5433B"/>
    <w:rsid w:val="00E5519D"/>
    <w:rsid w:val="00E5792E"/>
    <w:rsid w:val="00E61480"/>
    <w:rsid w:val="00E61C41"/>
    <w:rsid w:val="00E6337C"/>
    <w:rsid w:val="00E653C8"/>
    <w:rsid w:val="00E6610B"/>
    <w:rsid w:val="00E71C4E"/>
    <w:rsid w:val="00E720E5"/>
    <w:rsid w:val="00E76594"/>
    <w:rsid w:val="00E80577"/>
    <w:rsid w:val="00E809EE"/>
    <w:rsid w:val="00E811F8"/>
    <w:rsid w:val="00E83F36"/>
    <w:rsid w:val="00E8414A"/>
    <w:rsid w:val="00E844F2"/>
    <w:rsid w:val="00E857D8"/>
    <w:rsid w:val="00E86EF5"/>
    <w:rsid w:val="00E873FC"/>
    <w:rsid w:val="00E9075C"/>
    <w:rsid w:val="00E917F7"/>
    <w:rsid w:val="00E93CEE"/>
    <w:rsid w:val="00E9590B"/>
    <w:rsid w:val="00E965CE"/>
    <w:rsid w:val="00E966A9"/>
    <w:rsid w:val="00E9716B"/>
    <w:rsid w:val="00EA18E7"/>
    <w:rsid w:val="00EA2C3B"/>
    <w:rsid w:val="00EA4143"/>
    <w:rsid w:val="00EA58A0"/>
    <w:rsid w:val="00EA636B"/>
    <w:rsid w:val="00EB0E40"/>
    <w:rsid w:val="00EB3B38"/>
    <w:rsid w:val="00EB3D7C"/>
    <w:rsid w:val="00EB58C4"/>
    <w:rsid w:val="00EC055B"/>
    <w:rsid w:val="00EC3D22"/>
    <w:rsid w:val="00EC49C5"/>
    <w:rsid w:val="00EC58E8"/>
    <w:rsid w:val="00EC5A72"/>
    <w:rsid w:val="00ED17F2"/>
    <w:rsid w:val="00ED1BAF"/>
    <w:rsid w:val="00ED252D"/>
    <w:rsid w:val="00ED2B28"/>
    <w:rsid w:val="00ED3212"/>
    <w:rsid w:val="00ED5FFB"/>
    <w:rsid w:val="00EE276D"/>
    <w:rsid w:val="00EE2FEC"/>
    <w:rsid w:val="00EE391E"/>
    <w:rsid w:val="00EE3FCF"/>
    <w:rsid w:val="00EE4405"/>
    <w:rsid w:val="00EE4CEB"/>
    <w:rsid w:val="00EE7840"/>
    <w:rsid w:val="00EE7B4B"/>
    <w:rsid w:val="00EE7D41"/>
    <w:rsid w:val="00EF1142"/>
    <w:rsid w:val="00EF148C"/>
    <w:rsid w:val="00EF2FD6"/>
    <w:rsid w:val="00EF36B5"/>
    <w:rsid w:val="00EF5789"/>
    <w:rsid w:val="00EF5AEA"/>
    <w:rsid w:val="00EF7A8B"/>
    <w:rsid w:val="00F015B4"/>
    <w:rsid w:val="00F0161C"/>
    <w:rsid w:val="00F01E0D"/>
    <w:rsid w:val="00F061F4"/>
    <w:rsid w:val="00F0627D"/>
    <w:rsid w:val="00F13205"/>
    <w:rsid w:val="00F15F4C"/>
    <w:rsid w:val="00F1723D"/>
    <w:rsid w:val="00F1794E"/>
    <w:rsid w:val="00F22A87"/>
    <w:rsid w:val="00F23A09"/>
    <w:rsid w:val="00F253F8"/>
    <w:rsid w:val="00F25B6D"/>
    <w:rsid w:val="00F33229"/>
    <w:rsid w:val="00F35C24"/>
    <w:rsid w:val="00F36815"/>
    <w:rsid w:val="00F370A1"/>
    <w:rsid w:val="00F37450"/>
    <w:rsid w:val="00F41201"/>
    <w:rsid w:val="00F41288"/>
    <w:rsid w:val="00F43D52"/>
    <w:rsid w:val="00F4407A"/>
    <w:rsid w:val="00F447C9"/>
    <w:rsid w:val="00F450D1"/>
    <w:rsid w:val="00F4639E"/>
    <w:rsid w:val="00F469CB"/>
    <w:rsid w:val="00F470FC"/>
    <w:rsid w:val="00F50F12"/>
    <w:rsid w:val="00F52137"/>
    <w:rsid w:val="00F52192"/>
    <w:rsid w:val="00F528F7"/>
    <w:rsid w:val="00F52C1E"/>
    <w:rsid w:val="00F534C5"/>
    <w:rsid w:val="00F5378E"/>
    <w:rsid w:val="00F54122"/>
    <w:rsid w:val="00F61374"/>
    <w:rsid w:val="00F623AB"/>
    <w:rsid w:val="00F627AA"/>
    <w:rsid w:val="00F64DF5"/>
    <w:rsid w:val="00F65A58"/>
    <w:rsid w:val="00F66A63"/>
    <w:rsid w:val="00F66E69"/>
    <w:rsid w:val="00F66E90"/>
    <w:rsid w:val="00F66F52"/>
    <w:rsid w:val="00F71077"/>
    <w:rsid w:val="00F726F8"/>
    <w:rsid w:val="00F73B8F"/>
    <w:rsid w:val="00F76EA4"/>
    <w:rsid w:val="00F809CA"/>
    <w:rsid w:val="00F80CA6"/>
    <w:rsid w:val="00F8131C"/>
    <w:rsid w:val="00F814FC"/>
    <w:rsid w:val="00F846CE"/>
    <w:rsid w:val="00F85CBD"/>
    <w:rsid w:val="00F87D2E"/>
    <w:rsid w:val="00F907DB"/>
    <w:rsid w:val="00F91A09"/>
    <w:rsid w:val="00F9212D"/>
    <w:rsid w:val="00F9221C"/>
    <w:rsid w:val="00F92824"/>
    <w:rsid w:val="00F94C32"/>
    <w:rsid w:val="00F96249"/>
    <w:rsid w:val="00FA15A8"/>
    <w:rsid w:val="00FA55C2"/>
    <w:rsid w:val="00FA5CB5"/>
    <w:rsid w:val="00FA7D6E"/>
    <w:rsid w:val="00FA7FFC"/>
    <w:rsid w:val="00FB0E77"/>
    <w:rsid w:val="00FB0FA8"/>
    <w:rsid w:val="00FB277E"/>
    <w:rsid w:val="00FB2E59"/>
    <w:rsid w:val="00FB31E2"/>
    <w:rsid w:val="00FB3B2F"/>
    <w:rsid w:val="00FB66CD"/>
    <w:rsid w:val="00FC24E3"/>
    <w:rsid w:val="00FC2EC0"/>
    <w:rsid w:val="00FC437D"/>
    <w:rsid w:val="00FC497A"/>
    <w:rsid w:val="00FC6720"/>
    <w:rsid w:val="00FD0431"/>
    <w:rsid w:val="00FD1F95"/>
    <w:rsid w:val="00FD52A0"/>
    <w:rsid w:val="00FD5356"/>
    <w:rsid w:val="00FE16B1"/>
    <w:rsid w:val="00FE19D0"/>
    <w:rsid w:val="00FE2158"/>
    <w:rsid w:val="00FE31E1"/>
    <w:rsid w:val="00FE5499"/>
    <w:rsid w:val="00FE6B1C"/>
    <w:rsid w:val="00FF1B83"/>
    <w:rsid w:val="00FF2F2E"/>
    <w:rsid w:val="00FF310C"/>
    <w:rsid w:val="00FF315F"/>
    <w:rsid w:val="00FF396D"/>
    <w:rsid w:val="00FF5650"/>
    <w:rsid w:val="00FF7CBC"/>
    <w:rsid w:val="03261876"/>
    <w:rsid w:val="03A6507A"/>
    <w:rsid w:val="0409E67E"/>
    <w:rsid w:val="0475F4F1"/>
    <w:rsid w:val="04C5117B"/>
    <w:rsid w:val="05C10539"/>
    <w:rsid w:val="08FB3F18"/>
    <w:rsid w:val="0A3AD1A8"/>
    <w:rsid w:val="0AE8853D"/>
    <w:rsid w:val="0BB2CEBF"/>
    <w:rsid w:val="0BCBB008"/>
    <w:rsid w:val="0BDFF89D"/>
    <w:rsid w:val="0BEEAD14"/>
    <w:rsid w:val="0CBD5879"/>
    <w:rsid w:val="0D210D8A"/>
    <w:rsid w:val="0D4EEC2B"/>
    <w:rsid w:val="0EB9A2F5"/>
    <w:rsid w:val="10526966"/>
    <w:rsid w:val="111E905B"/>
    <w:rsid w:val="117E43B9"/>
    <w:rsid w:val="11A0FDD6"/>
    <w:rsid w:val="1240C490"/>
    <w:rsid w:val="1318CCC1"/>
    <w:rsid w:val="132FAFE6"/>
    <w:rsid w:val="13FEA119"/>
    <w:rsid w:val="14358514"/>
    <w:rsid w:val="153D60A7"/>
    <w:rsid w:val="164D54C1"/>
    <w:rsid w:val="196E2C0D"/>
    <w:rsid w:val="19EAB234"/>
    <w:rsid w:val="1A921C2F"/>
    <w:rsid w:val="1AED2F34"/>
    <w:rsid w:val="1D28FD9E"/>
    <w:rsid w:val="1F6D2913"/>
    <w:rsid w:val="1F8BDBF1"/>
    <w:rsid w:val="1F8E1221"/>
    <w:rsid w:val="1FC6F05F"/>
    <w:rsid w:val="21E0C08E"/>
    <w:rsid w:val="240C7E5A"/>
    <w:rsid w:val="24375D1C"/>
    <w:rsid w:val="259F9EEF"/>
    <w:rsid w:val="26440D63"/>
    <w:rsid w:val="2754F91F"/>
    <w:rsid w:val="277B1C6B"/>
    <w:rsid w:val="27D9ED10"/>
    <w:rsid w:val="2AE85F0F"/>
    <w:rsid w:val="2BFD7A76"/>
    <w:rsid w:val="2C952CBB"/>
    <w:rsid w:val="30F73285"/>
    <w:rsid w:val="3270837E"/>
    <w:rsid w:val="33481FC1"/>
    <w:rsid w:val="3544F582"/>
    <w:rsid w:val="35C3EE2E"/>
    <w:rsid w:val="3620F6F8"/>
    <w:rsid w:val="38FB0C44"/>
    <w:rsid w:val="39F45EAF"/>
    <w:rsid w:val="3A01A0A9"/>
    <w:rsid w:val="3B9D710A"/>
    <w:rsid w:val="3E46CED4"/>
    <w:rsid w:val="3EBF2D46"/>
    <w:rsid w:val="3EEF8E08"/>
    <w:rsid w:val="3F18D4CB"/>
    <w:rsid w:val="4024951E"/>
    <w:rsid w:val="4130D87B"/>
    <w:rsid w:val="417F2B89"/>
    <w:rsid w:val="419CDF8F"/>
    <w:rsid w:val="436D0B01"/>
    <w:rsid w:val="440D43AA"/>
    <w:rsid w:val="450B3BF0"/>
    <w:rsid w:val="4577FA74"/>
    <w:rsid w:val="4661F10A"/>
    <w:rsid w:val="478FA876"/>
    <w:rsid w:val="47D088FC"/>
    <w:rsid w:val="4815D199"/>
    <w:rsid w:val="48F71809"/>
    <w:rsid w:val="499D7C22"/>
    <w:rsid w:val="4C59F031"/>
    <w:rsid w:val="4C724F66"/>
    <w:rsid w:val="4D9104B9"/>
    <w:rsid w:val="4DDF02C6"/>
    <w:rsid w:val="4DF6CA9E"/>
    <w:rsid w:val="51A6A9CF"/>
    <w:rsid w:val="53EDF6F3"/>
    <w:rsid w:val="54302B24"/>
    <w:rsid w:val="55311741"/>
    <w:rsid w:val="57C32282"/>
    <w:rsid w:val="57EB372A"/>
    <w:rsid w:val="5A260FA9"/>
    <w:rsid w:val="5A872B70"/>
    <w:rsid w:val="5AB767C9"/>
    <w:rsid w:val="5CFEA58C"/>
    <w:rsid w:val="5F3F19A7"/>
    <w:rsid w:val="5F50311E"/>
    <w:rsid w:val="6027CEB2"/>
    <w:rsid w:val="60BF2C67"/>
    <w:rsid w:val="6324ED88"/>
    <w:rsid w:val="63A44A63"/>
    <w:rsid w:val="63D94038"/>
    <w:rsid w:val="650F25F4"/>
    <w:rsid w:val="65AD21C7"/>
    <w:rsid w:val="664BFBF1"/>
    <w:rsid w:val="66A6B388"/>
    <w:rsid w:val="66BB611E"/>
    <w:rsid w:val="66C947CD"/>
    <w:rsid w:val="671A7E89"/>
    <w:rsid w:val="673E8689"/>
    <w:rsid w:val="69CD5DB5"/>
    <w:rsid w:val="6CB9C1D9"/>
    <w:rsid w:val="6D1CE0AA"/>
    <w:rsid w:val="6D58FBB8"/>
    <w:rsid w:val="6D8A2783"/>
    <w:rsid w:val="6DCD6996"/>
    <w:rsid w:val="6FD9EC7D"/>
    <w:rsid w:val="6FF894D6"/>
    <w:rsid w:val="6FF917FB"/>
    <w:rsid w:val="70730B6C"/>
    <w:rsid w:val="70FD46A5"/>
    <w:rsid w:val="70FDD308"/>
    <w:rsid w:val="72E4BA57"/>
    <w:rsid w:val="72F90627"/>
    <w:rsid w:val="739EE550"/>
    <w:rsid w:val="73D041A5"/>
    <w:rsid w:val="76C6797A"/>
    <w:rsid w:val="77DA2823"/>
    <w:rsid w:val="79AAA0B3"/>
    <w:rsid w:val="7A0B7E3B"/>
    <w:rsid w:val="7A503172"/>
    <w:rsid w:val="7B18A8BD"/>
    <w:rsid w:val="7B7F5D96"/>
    <w:rsid w:val="7B913E3E"/>
    <w:rsid w:val="7BABE6BA"/>
    <w:rsid w:val="7BD80ED7"/>
    <w:rsid w:val="7C328CAC"/>
    <w:rsid w:val="7E2E4963"/>
    <w:rsid w:val="7E9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D6ED4"/>
  <w15:chartTrackingRefBased/>
  <w15:docId w15:val="{9BE4B2D5-83A3-4951-98B4-877C47EA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20"/>
    <w:pPr>
      <w:spacing w:before="0" w:after="0"/>
    </w:pPr>
    <w:rPr>
      <w:rFonts w:ascii="Arial" w:hAnsi="Arial"/>
      <w:sz w:val="20"/>
    </w:rPr>
  </w:style>
  <w:style w:type="paragraph" w:styleId="Heading1">
    <w:name w:val="heading 1"/>
    <w:basedOn w:val="SubHeading1"/>
    <w:next w:val="Body"/>
    <w:link w:val="Heading1Char"/>
    <w:uiPriority w:val="9"/>
    <w:qFormat/>
    <w:rsid w:val="0027493F"/>
    <w:pPr>
      <w:numPr>
        <w:numId w:val="4"/>
      </w:numPr>
      <w:outlineLvl w:val="0"/>
    </w:pPr>
  </w:style>
  <w:style w:type="paragraph" w:styleId="Heading2">
    <w:name w:val="heading 2"/>
    <w:basedOn w:val="Normal"/>
    <w:next w:val="Body"/>
    <w:link w:val="Heading2Char"/>
    <w:uiPriority w:val="9"/>
    <w:qFormat/>
    <w:rsid w:val="0015332D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1F688D"/>
      <w:sz w:val="32"/>
      <w:szCs w:val="26"/>
    </w:rPr>
  </w:style>
  <w:style w:type="paragraph" w:styleId="Heading3">
    <w:name w:val="heading 3"/>
    <w:basedOn w:val="Normal"/>
    <w:next w:val="Body"/>
    <w:link w:val="Heading3Char"/>
    <w:uiPriority w:val="9"/>
    <w:qFormat/>
    <w:rsid w:val="0015332D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1F688D"/>
      <w:sz w:val="24"/>
    </w:rPr>
  </w:style>
  <w:style w:type="paragraph" w:styleId="Heading4">
    <w:name w:val="heading 4"/>
    <w:basedOn w:val="Heading5"/>
    <w:next w:val="Body"/>
    <w:link w:val="Heading4Char"/>
    <w:uiPriority w:val="9"/>
    <w:unhideWhenUsed/>
    <w:qFormat/>
    <w:rsid w:val="0075126A"/>
    <w:pPr>
      <w:outlineLvl w:val="3"/>
    </w:pPr>
    <w:rPr>
      <w:rFonts w:ascii="VIC" w:hAnsi="VIC"/>
      <w:b/>
      <w:bCs/>
      <w:i w:val="0"/>
      <w:iCs/>
      <w:sz w:val="22"/>
    </w:rPr>
  </w:style>
  <w:style w:type="paragraph" w:styleId="Heading5">
    <w:name w:val="heading 5"/>
    <w:basedOn w:val="Normal"/>
    <w:next w:val="Body"/>
    <w:link w:val="Heading5Char"/>
    <w:uiPriority w:val="9"/>
    <w:unhideWhenUsed/>
    <w:qFormat/>
    <w:rsid w:val="006448ED"/>
    <w:pPr>
      <w:keepNext/>
      <w:keepLines/>
      <w:spacing w:before="240" w:after="120"/>
      <w:outlineLvl w:val="4"/>
    </w:pPr>
    <w:rPr>
      <w:i/>
      <w:color w:val="7030A0"/>
    </w:rPr>
  </w:style>
  <w:style w:type="paragraph" w:styleId="Heading6">
    <w:name w:val="heading 6"/>
    <w:basedOn w:val="Body"/>
    <w:next w:val="Body"/>
    <w:link w:val="Heading6Char"/>
    <w:uiPriority w:val="9"/>
    <w:unhideWhenUsed/>
    <w:qFormat/>
    <w:rsid w:val="0015332D"/>
    <w:pPr>
      <w:keepNext/>
      <w:keepLines/>
      <w:spacing w:before="240" w:after="120" w:line="240" w:lineRule="auto"/>
      <w:outlineLvl w:val="5"/>
    </w:pPr>
    <w:rPr>
      <w:color w:val="1F688D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A4EF8"/>
    <w:pPr>
      <w:keepNext/>
      <w:keepLines/>
      <w:spacing w:before="40"/>
      <w:outlineLvl w:val="6"/>
    </w:pPr>
    <w:rPr>
      <w:rFonts w:eastAsiaTheme="majorEastAsia" w:cs="Arial"/>
      <w:i/>
      <w:iCs/>
      <w:color w:val="1F6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Body"/>
    <w:uiPriority w:val="35"/>
    <w:unhideWhenUsed/>
    <w:qFormat/>
    <w:rsid w:val="002A4EF8"/>
    <w:pPr>
      <w:spacing w:before="240"/>
      <w:ind w:left="1418" w:hanging="1418"/>
    </w:pPr>
    <w:rPr>
      <w:rFonts w:ascii="Arial Bold" w:eastAsia="Times New Roman" w:hAnsi="Arial Bold" w:cs="Times New Roman"/>
      <w:b/>
      <w:bCs/>
      <w:color w:val="1F688D"/>
      <w:szCs w:val="18"/>
    </w:rPr>
  </w:style>
  <w:style w:type="paragraph" w:customStyle="1" w:styleId="FigureNote">
    <w:name w:val="Figure Note"/>
    <w:basedOn w:val="Normal"/>
    <w:link w:val="FigureNoteChar"/>
    <w:qFormat/>
    <w:rsid w:val="002A4EF8"/>
    <w:pPr>
      <w:jc w:val="both"/>
    </w:pPr>
    <w:rPr>
      <w:rFonts w:eastAsia="Calibri" w:cs="Times New Roman"/>
      <w:sz w:val="16"/>
      <w:lang w:val="en-GB"/>
    </w:rPr>
  </w:style>
  <w:style w:type="character" w:customStyle="1" w:styleId="FigureNoteChar">
    <w:name w:val="Figure Note Char"/>
    <w:basedOn w:val="DefaultParagraphFont"/>
    <w:link w:val="FigureNote"/>
    <w:rsid w:val="002A4EF8"/>
    <w:rPr>
      <w:rFonts w:ascii="Arial" w:eastAsia="Calibri" w:hAnsi="Arial" w:cs="Times New Roman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7493F"/>
    <w:rPr>
      <w:rFonts w:ascii="VIC" w:hAnsi="VIC"/>
      <w:b/>
      <w:color w:val="7030A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32D"/>
    <w:rPr>
      <w:rFonts w:ascii="Arial" w:eastAsiaTheme="majorEastAsia" w:hAnsi="Arial" w:cstheme="majorBidi"/>
      <w:b/>
      <w:bCs/>
      <w:color w:val="1F688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32D"/>
    <w:rPr>
      <w:rFonts w:ascii="Arial" w:eastAsiaTheme="majorEastAsia" w:hAnsi="Arial" w:cstheme="majorBidi"/>
      <w:b/>
      <w:bCs/>
      <w:color w:val="1F688D"/>
      <w:sz w:val="24"/>
    </w:rPr>
  </w:style>
  <w:style w:type="paragraph" w:customStyle="1" w:styleId="AppendixHeading">
    <w:name w:val="Appendix Heading"/>
    <w:basedOn w:val="Heading1"/>
    <w:next w:val="Body"/>
    <w:link w:val="AppendixHeadingChar"/>
    <w:qFormat/>
    <w:rsid w:val="002A4EF8"/>
    <w:pPr>
      <w:numPr>
        <w:numId w:val="0"/>
      </w:numPr>
    </w:pPr>
  </w:style>
  <w:style w:type="character" w:customStyle="1" w:styleId="AppendixHeadingChar">
    <w:name w:val="Appendix Heading Char"/>
    <w:basedOn w:val="Heading1Char"/>
    <w:link w:val="AppendixHeading"/>
    <w:rsid w:val="002A4EF8"/>
    <w:rPr>
      <w:rFonts w:ascii="Arial" w:hAnsi="Arial"/>
      <w:b/>
      <w:color w:val="1F688D"/>
      <w:sz w:val="40"/>
      <w:szCs w:val="40"/>
    </w:rPr>
  </w:style>
  <w:style w:type="paragraph" w:customStyle="1" w:styleId="SubHeading1">
    <w:name w:val="Sub Heading 1"/>
    <w:basedOn w:val="Normal"/>
    <w:next w:val="Body"/>
    <w:link w:val="SubHeading1Char"/>
    <w:qFormat/>
    <w:rsid w:val="0029299C"/>
    <w:pPr>
      <w:spacing w:before="240" w:after="120"/>
      <w:outlineLvl w:val="1"/>
    </w:pPr>
    <w:rPr>
      <w:rFonts w:ascii="VIC" w:hAnsi="VIC"/>
      <w:b/>
      <w:color w:val="7030A0"/>
      <w:sz w:val="28"/>
      <w:szCs w:val="28"/>
    </w:rPr>
  </w:style>
  <w:style w:type="character" w:customStyle="1" w:styleId="SubHeading1Char">
    <w:name w:val="Sub Heading 1 Char"/>
    <w:basedOn w:val="DefaultParagraphFont"/>
    <w:link w:val="SubHeading1"/>
    <w:rsid w:val="0029299C"/>
    <w:rPr>
      <w:rFonts w:ascii="VIC" w:hAnsi="VIC"/>
      <w:b/>
      <w:color w:val="7030A0"/>
      <w:sz w:val="28"/>
      <w:szCs w:val="28"/>
    </w:rPr>
  </w:style>
  <w:style w:type="paragraph" w:customStyle="1" w:styleId="SubHeading2">
    <w:name w:val="Sub Heading 2"/>
    <w:basedOn w:val="Normal"/>
    <w:next w:val="Normal"/>
    <w:rsid w:val="00D620E4"/>
    <w:pPr>
      <w:spacing w:line="360" w:lineRule="auto"/>
      <w:jc w:val="both"/>
    </w:pPr>
    <w:rPr>
      <w:b/>
      <w:color w:val="00008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6389"/>
    <w:pPr>
      <w:tabs>
        <w:tab w:val="right" w:leader="dot" w:pos="9628"/>
      </w:tabs>
      <w:spacing w:before="60" w:after="60" w:line="300" w:lineRule="auto"/>
      <w:ind w:left="567" w:right="567" w:hanging="567"/>
    </w:pPr>
    <w:rPr>
      <w:rFonts w:ascii="VIC" w:eastAsiaTheme="minorEastAsia" w:hAnsi="VIC"/>
      <w:bCs/>
      <w:noProof/>
      <w:szCs w:val="20"/>
      <w:lang w:eastAsia="en-AU"/>
    </w:rPr>
  </w:style>
  <w:style w:type="paragraph" w:styleId="TOC2">
    <w:name w:val="toc 2"/>
    <w:basedOn w:val="Normal"/>
    <w:next w:val="Normal"/>
    <w:link w:val="TOC2Char"/>
    <w:uiPriority w:val="39"/>
    <w:unhideWhenUsed/>
    <w:qFormat/>
    <w:rsid w:val="002A4EF8"/>
    <w:pPr>
      <w:tabs>
        <w:tab w:val="left" w:pos="1560"/>
        <w:tab w:val="right" w:leader="dot" w:pos="9628"/>
      </w:tabs>
      <w:spacing w:before="60" w:after="60"/>
      <w:ind w:left="1418" w:right="567" w:hanging="851"/>
      <w:jc w:val="both"/>
    </w:pPr>
    <w:rPr>
      <w:rFonts w:eastAsia="Times New Roman" w:cs="Times New Roman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2A4EF8"/>
    <w:rPr>
      <w:rFonts w:ascii="Arial" w:eastAsia="Times New Roman" w:hAnsi="Arial" w:cs="Times New Roman"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2A4EF8"/>
    <w:pPr>
      <w:tabs>
        <w:tab w:val="left" w:pos="1560"/>
        <w:tab w:val="right" w:leader="dot" w:pos="9628"/>
      </w:tabs>
      <w:spacing w:before="60" w:after="60"/>
      <w:ind w:left="1418" w:right="567" w:hanging="851"/>
      <w:jc w:val="both"/>
    </w:pPr>
    <w:rPr>
      <w:rFonts w:eastAsia="Times New Roman" w:cs="Times New Roman"/>
      <w:noProof/>
      <w:szCs w:val="20"/>
    </w:rPr>
  </w:style>
  <w:style w:type="paragraph" w:customStyle="1" w:styleId="Body">
    <w:name w:val="Body"/>
    <w:basedOn w:val="Normal"/>
    <w:link w:val="BodyChar"/>
    <w:qFormat/>
    <w:rsid w:val="00BD7A75"/>
    <w:pPr>
      <w:spacing w:after="240" w:line="300" w:lineRule="auto"/>
    </w:pPr>
    <w:rPr>
      <w:rFonts w:ascii="VIC" w:eastAsia="Times New Roman" w:hAnsi="VIC" w:cs="Times New Roman"/>
      <w:szCs w:val="20"/>
    </w:rPr>
  </w:style>
  <w:style w:type="character" w:customStyle="1" w:styleId="BodyChar">
    <w:name w:val="Body Char"/>
    <w:link w:val="Body"/>
    <w:rsid w:val="00BD7A75"/>
    <w:rPr>
      <w:rFonts w:ascii="VIC" w:eastAsia="Times New Roman" w:hAnsi="VIC" w:cs="Times New Roman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2A4EF8"/>
    <w:rPr>
      <w:b/>
      <w:bCs/>
      <w:i/>
      <w:iCs/>
      <w:spacing w:val="5"/>
    </w:rPr>
  </w:style>
  <w:style w:type="paragraph" w:customStyle="1" w:styleId="FigChartNote">
    <w:name w:val="Fig/Chart Note"/>
    <w:basedOn w:val="Normal"/>
    <w:link w:val="FigChartNoteChar"/>
    <w:rsid w:val="00D620E4"/>
    <w:pPr>
      <w:jc w:val="both"/>
    </w:pPr>
    <w:rPr>
      <w:rFonts w:eastAsia="Calibri" w:cs="Times New Roman"/>
      <w:sz w:val="16"/>
      <w:lang w:val="en-GB"/>
    </w:rPr>
  </w:style>
  <w:style w:type="character" w:customStyle="1" w:styleId="FigChartNoteChar">
    <w:name w:val="Fig/Chart Note Char"/>
    <w:basedOn w:val="DefaultParagraphFont"/>
    <w:link w:val="FigChartNote"/>
    <w:rsid w:val="00D620E4"/>
    <w:rPr>
      <w:rFonts w:ascii="Arial" w:eastAsia="Calibri" w:hAnsi="Arial" w:cs="Times New Roman"/>
      <w:sz w:val="16"/>
      <w:lang w:val="en-GB"/>
    </w:rPr>
  </w:style>
  <w:style w:type="paragraph" w:styleId="ListParagraph">
    <w:name w:val="List Paragraph"/>
    <w:basedOn w:val="Normal"/>
    <w:uiPriority w:val="34"/>
    <w:qFormat/>
    <w:rsid w:val="002A4EF8"/>
    <w:pPr>
      <w:spacing w:before="60" w:after="60" w:line="30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5126A"/>
    <w:rPr>
      <w:rFonts w:ascii="VIC" w:hAnsi="VIC"/>
      <w:b/>
      <w:bCs/>
      <w:iCs/>
      <w:color w:val="7030A0"/>
    </w:rPr>
  </w:style>
  <w:style w:type="character" w:customStyle="1" w:styleId="Heading5Char">
    <w:name w:val="Heading 5 Char"/>
    <w:basedOn w:val="DefaultParagraphFont"/>
    <w:link w:val="Heading5"/>
    <w:uiPriority w:val="9"/>
    <w:rsid w:val="006448ED"/>
    <w:rPr>
      <w:rFonts w:ascii="Arial" w:hAnsi="Arial"/>
      <w:i/>
      <w:color w:val="7030A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5332D"/>
    <w:rPr>
      <w:rFonts w:ascii="Arial" w:eastAsia="Times New Roman" w:hAnsi="Arial" w:cs="Times New Roman"/>
      <w:color w:val="1F688D"/>
      <w:sz w:val="20"/>
      <w:szCs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A4EF8"/>
    <w:pPr>
      <w:spacing w:line="300" w:lineRule="auto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EF8"/>
    <w:rPr>
      <w:rFonts w:ascii="Arial" w:hAnsi="Arial"/>
      <w:i/>
      <w:iCs/>
      <w:color w:val="404040" w:themeColor="text1" w:themeTint="BF"/>
      <w:sz w:val="20"/>
    </w:rPr>
  </w:style>
  <w:style w:type="paragraph" w:styleId="Title">
    <w:name w:val="Title"/>
    <w:basedOn w:val="Normal"/>
    <w:next w:val="Body"/>
    <w:link w:val="TitleChar"/>
    <w:uiPriority w:val="10"/>
    <w:qFormat/>
    <w:rsid w:val="0015332D"/>
    <w:pPr>
      <w:spacing w:before="240" w:after="240"/>
    </w:pPr>
    <w:rPr>
      <w:b/>
      <w:color w:val="1F688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2D"/>
    <w:rPr>
      <w:rFonts w:ascii="Arial" w:hAnsi="Arial"/>
      <w:b/>
      <w:color w:val="1F688D"/>
      <w:sz w:val="56"/>
      <w:szCs w:val="56"/>
    </w:rPr>
  </w:style>
  <w:style w:type="paragraph" w:styleId="Subtitle">
    <w:name w:val="Subtitle"/>
    <w:basedOn w:val="Title"/>
    <w:next w:val="Body"/>
    <w:link w:val="SubtitleChar"/>
    <w:uiPriority w:val="11"/>
    <w:qFormat/>
    <w:rsid w:val="002A4EF8"/>
    <w:rPr>
      <w:color w:val="000000" w:themeColor="text1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A4EF8"/>
    <w:rPr>
      <w:rFonts w:ascii="Arial" w:hAnsi="Arial"/>
      <w:b/>
      <w:color w:val="000000" w:themeColor="text1"/>
      <w:sz w:val="44"/>
      <w:szCs w:val="44"/>
    </w:rPr>
  </w:style>
  <w:style w:type="paragraph" w:customStyle="1" w:styleId="Bullets1">
    <w:name w:val="Bullets 1"/>
    <w:basedOn w:val="Normal"/>
    <w:qFormat/>
    <w:rsid w:val="002A4EF8"/>
    <w:pPr>
      <w:numPr>
        <w:numId w:val="1"/>
      </w:numPr>
      <w:spacing w:line="300" w:lineRule="auto"/>
    </w:pPr>
    <w:rPr>
      <w:rFonts w:eastAsia="Times New Roman" w:cs="Times New Roman"/>
      <w:szCs w:val="20"/>
    </w:rPr>
  </w:style>
  <w:style w:type="paragraph" w:customStyle="1" w:styleId="Bullets2">
    <w:name w:val="Bullets 2"/>
    <w:basedOn w:val="Normal"/>
    <w:autoRedefine/>
    <w:qFormat/>
    <w:rsid w:val="007C29A3"/>
    <w:pPr>
      <w:numPr>
        <w:ilvl w:val="1"/>
        <w:numId w:val="1"/>
      </w:numPr>
      <w:spacing w:line="300" w:lineRule="auto"/>
    </w:pPr>
    <w:rPr>
      <w:rFonts w:eastAsia="Times New Roman" w:cs="Times New Roman"/>
      <w:szCs w:val="20"/>
    </w:rPr>
  </w:style>
  <w:style w:type="paragraph" w:customStyle="1" w:styleId="Bullets3">
    <w:name w:val="Bullets 3"/>
    <w:basedOn w:val="Normal"/>
    <w:qFormat/>
    <w:rsid w:val="0015332D"/>
    <w:pPr>
      <w:numPr>
        <w:ilvl w:val="2"/>
        <w:numId w:val="1"/>
      </w:numPr>
      <w:spacing w:line="300" w:lineRule="auto"/>
    </w:pPr>
    <w:rPr>
      <w:rFonts w:eastAsia="Times New Roman" w:cs="Times New Roman"/>
      <w:szCs w:val="20"/>
    </w:rPr>
  </w:style>
  <w:style w:type="paragraph" w:customStyle="1" w:styleId="MajorHeading">
    <w:name w:val="Major Heading"/>
    <w:basedOn w:val="Heading1"/>
    <w:next w:val="Body"/>
    <w:link w:val="MajorHeadingChar"/>
    <w:qFormat/>
    <w:rsid w:val="002A4EF8"/>
    <w:pPr>
      <w:keepNext/>
      <w:keepLines/>
      <w:numPr>
        <w:numId w:val="0"/>
      </w:numPr>
    </w:pPr>
    <w:rPr>
      <w:rFonts w:eastAsiaTheme="majorEastAsia" w:cstheme="majorBidi"/>
      <w:bCs/>
    </w:rPr>
  </w:style>
  <w:style w:type="paragraph" w:customStyle="1" w:styleId="BodyIndent">
    <w:name w:val="Body Indent"/>
    <w:basedOn w:val="Body"/>
    <w:qFormat/>
    <w:rsid w:val="002A4EF8"/>
    <w:pPr>
      <w:ind w:left="851"/>
    </w:pPr>
  </w:style>
  <w:style w:type="paragraph" w:customStyle="1" w:styleId="Question">
    <w:name w:val="Question"/>
    <w:basedOn w:val="FigureNote"/>
    <w:next w:val="Body"/>
    <w:rsid w:val="00AC3DD1"/>
    <w:pPr>
      <w:ind w:left="1134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4EF8"/>
    <w:rPr>
      <w:color w:val="7030A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EF8"/>
    <w:rPr>
      <w:rFonts w:ascii="Arial" w:hAnsi="Arial"/>
      <w:sz w:val="20"/>
    </w:rPr>
  </w:style>
  <w:style w:type="table" w:styleId="GridTable2-Accent1">
    <w:name w:val="Grid Table 2 Accent 1"/>
    <w:basedOn w:val="TableNormal"/>
    <w:uiPriority w:val="47"/>
    <w:rsid w:val="002A4EF8"/>
    <w:tblPr>
      <w:tblStyleRowBandSize w:val="1"/>
      <w:tblStyleColBandSize w:val="1"/>
      <w:tblBorders>
        <w:top w:val="single" w:sz="2" w:space="0" w:color="58AEDA" w:themeColor="accent1" w:themeTint="99"/>
        <w:bottom w:val="single" w:sz="2" w:space="0" w:color="58AEDA" w:themeColor="accent1" w:themeTint="99"/>
        <w:insideH w:val="single" w:sz="2" w:space="0" w:color="58AEDA" w:themeColor="accent1" w:themeTint="99"/>
        <w:insideV w:val="single" w:sz="2" w:space="0" w:color="58AED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AED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AED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4F2" w:themeFill="accent1" w:themeFillTint="33"/>
      </w:tcPr>
    </w:tblStylePr>
    <w:tblStylePr w:type="band1Horz">
      <w:tblPr/>
      <w:tcPr>
        <w:shd w:val="clear" w:color="auto" w:fill="C7E4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EF8"/>
    <w:tblPr>
      <w:tblStyleRowBandSize w:val="1"/>
      <w:tblStyleColBandSize w:val="1"/>
      <w:tblBorders>
        <w:top w:val="single" w:sz="2" w:space="0" w:color="9BD9F0" w:themeColor="accent2" w:themeTint="99"/>
        <w:bottom w:val="single" w:sz="2" w:space="0" w:color="9BD9F0" w:themeColor="accent2" w:themeTint="99"/>
        <w:insideH w:val="single" w:sz="2" w:space="0" w:color="9BD9F0" w:themeColor="accent2" w:themeTint="99"/>
        <w:insideV w:val="single" w:sz="2" w:space="0" w:color="9BD9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9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9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FA" w:themeFill="accent2" w:themeFillTint="33"/>
      </w:tcPr>
    </w:tblStylePr>
    <w:tblStylePr w:type="band1Horz">
      <w:tblPr/>
      <w:tcPr>
        <w:shd w:val="clear" w:color="auto" w:fill="DDF2F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EF8"/>
    <w:tblPr>
      <w:tblStyleRowBandSize w:val="1"/>
      <w:tblStyleColBandSize w:val="1"/>
      <w:tblBorders>
        <w:top w:val="single" w:sz="2" w:space="0" w:color="D9F4FA" w:themeColor="accent3" w:themeTint="99"/>
        <w:bottom w:val="single" w:sz="2" w:space="0" w:color="D9F4FA" w:themeColor="accent3" w:themeTint="99"/>
        <w:insideH w:val="single" w:sz="2" w:space="0" w:color="D9F4FA" w:themeColor="accent3" w:themeTint="99"/>
        <w:insideV w:val="single" w:sz="2" w:space="0" w:color="D9F4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4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4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3"/>
      </w:tcPr>
    </w:tblStylePr>
    <w:tblStylePr w:type="band1Horz">
      <w:tblPr/>
      <w:tcPr>
        <w:shd w:val="clear" w:color="auto" w:fill="F2FBF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2A4EF8"/>
    <w:tblPr>
      <w:tblStyleRowBandSize w:val="1"/>
      <w:tblStyleColBandSize w:val="1"/>
      <w:tblBorders>
        <w:top w:val="single" w:sz="4" w:space="0" w:color="58AEDA" w:themeColor="accent1" w:themeTint="99"/>
        <w:left w:val="single" w:sz="4" w:space="0" w:color="58AEDA" w:themeColor="accent1" w:themeTint="99"/>
        <w:bottom w:val="single" w:sz="4" w:space="0" w:color="58AEDA" w:themeColor="accent1" w:themeTint="99"/>
        <w:right w:val="single" w:sz="4" w:space="0" w:color="58AEDA" w:themeColor="accent1" w:themeTint="99"/>
        <w:insideH w:val="single" w:sz="4" w:space="0" w:color="58AEDA" w:themeColor="accent1" w:themeTint="99"/>
        <w:insideV w:val="single" w:sz="4" w:space="0" w:color="58AE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4F2" w:themeFill="accent1" w:themeFillTint="33"/>
      </w:tcPr>
    </w:tblStylePr>
    <w:tblStylePr w:type="band1Horz">
      <w:tblPr/>
      <w:tcPr>
        <w:shd w:val="clear" w:color="auto" w:fill="C7E4F2" w:themeFill="accent1" w:themeFillTint="33"/>
      </w:tcPr>
    </w:tblStylePr>
    <w:tblStylePr w:type="neCell">
      <w:tblPr/>
      <w:tcPr>
        <w:tcBorders>
          <w:bottom w:val="single" w:sz="4" w:space="0" w:color="58AEDA" w:themeColor="accent1" w:themeTint="99"/>
        </w:tcBorders>
      </w:tcPr>
    </w:tblStylePr>
    <w:tblStylePr w:type="nwCell">
      <w:tblPr/>
      <w:tcPr>
        <w:tcBorders>
          <w:bottom w:val="single" w:sz="4" w:space="0" w:color="58AEDA" w:themeColor="accent1" w:themeTint="99"/>
        </w:tcBorders>
      </w:tcPr>
    </w:tblStylePr>
    <w:tblStylePr w:type="seCell">
      <w:tblPr/>
      <w:tcPr>
        <w:tcBorders>
          <w:top w:val="single" w:sz="4" w:space="0" w:color="58AEDA" w:themeColor="accent1" w:themeTint="99"/>
        </w:tcBorders>
      </w:tcPr>
    </w:tblStylePr>
    <w:tblStylePr w:type="swCell">
      <w:tblPr/>
      <w:tcPr>
        <w:tcBorders>
          <w:top w:val="single" w:sz="4" w:space="0" w:color="58AED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EF8"/>
    <w:tblPr>
      <w:tblStyleRowBandSize w:val="1"/>
      <w:tblStyleColBandSize w:val="1"/>
      <w:tblBorders>
        <w:top w:val="single" w:sz="4" w:space="0" w:color="9BD9F0" w:themeColor="accent2" w:themeTint="99"/>
        <w:left w:val="single" w:sz="4" w:space="0" w:color="9BD9F0" w:themeColor="accent2" w:themeTint="99"/>
        <w:bottom w:val="single" w:sz="4" w:space="0" w:color="9BD9F0" w:themeColor="accent2" w:themeTint="99"/>
        <w:right w:val="single" w:sz="4" w:space="0" w:color="9BD9F0" w:themeColor="accent2" w:themeTint="99"/>
        <w:insideH w:val="single" w:sz="4" w:space="0" w:color="9BD9F0" w:themeColor="accent2" w:themeTint="99"/>
        <w:insideV w:val="single" w:sz="4" w:space="0" w:color="9BD9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2FA" w:themeFill="accent2" w:themeFillTint="33"/>
      </w:tcPr>
    </w:tblStylePr>
    <w:tblStylePr w:type="band1Horz">
      <w:tblPr/>
      <w:tcPr>
        <w:shd w:val="clear" w:color="auto" w:fill="DDF2FA" w:themeFill="accent2" w:themeFillTint="33"/>
      </w:tcPr>
    </w:tblStylePr>
    <w:tblStylePr w:type="neCell">
      <w:tblPr/>
      <w:tcPr>
        <w:tcBorders>
          <w:bottom w:val="single" w:sz="4" w:space="0" w:color="9BD9F0" w:themeColor="accent2" w:themeTint="99"/>
        </w:tcBorders>
      </w:tcPr>
    </w:tblStylePr>
    <w:tblStylePr w:type="nwCell">
      <w:tblPr/>
      <w:tcPr>
        <w:tcBorders>
          <w:bottom w:val="single" w:sz="4" w:space="0" w:color="9BD9F0" w:themeColor="accent2" w:themeTint="99"/>
        </w:tcBorders>
      </w:tcPr>
    </w:tblStylePr>
    <w:tblStylePr w:type="seCell">
      <w:tblPr/>
      <w:tcPr>
        <w:tcBorders>
          <w:top w:val="single" w:sz="4" w:space="0" w:color="9BD9F0" w:themeColor="accent2" w:themeTint="99"/>
        </w:tcBorders>
      </w:tcPr>
    </w:tblStylePr>
    <w:tblStylePr w:type="swCell">
      <w:tblPr/>
      <w:tcPr>
        <w:tcBorders>
          <w:top w:val="single" w:sz="4" w:space="0" w:color="9BD9F0" w:themeColor="accent2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EF8"/>
    <w:tblPr>
      <w:tblStyleRowBandSize w:val="1"/>
      <w:tblStyleColBandSize w:val="1"/>
      <w:tblBorders>
        <w:top w:val="single" w:sz="4" w:space="0" w:color="4B7CCA" w:themeColor="accent6" w:themeTint="99"/>
        <w:left w:val="single" w:sz="4" w:space="0" w:color="4B7CCA" w:themeColor="accent6" w:themeTint="99"/>
        <w:bottom w:val="single" w:sz="4" w:space="0" w:color="4B7CCA" w:themeColor="accent6" w:themeTint="99"/>
        <w:right w:val="single" w:sz="4" w:space="0" w:color="4B7CCA" w:themeColor="accent6" w:themeTint="99"/>
        <w:insideH w:val="single" w:sz="4" w:space="0" w:color="4B7CCA" w:themeColor="accent6" w:themeTint="99"/>
        <w:insideV w:val="single" w:sz="4" w:space="0" w:color="4B7CC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3ED" w:themeFill="accent6" w:themeFillTint="33"/>
      </w:tcPr>
    </w:tblStylePr>
    <w:tblStylePr w:type="band1Horz">
      <w:tblPr/>
      <w:tcPr>
        <w:shd w:val="clear" w:color="auto" w:fill="C3D3ED" w:themeFill="accent6" w:themeFillTint="33"/>
      </w:tcPr>
    </w:tblStylePr>
    <w:tblStylePr w:type="neCell">
      <w:tblPr/>
      <w:tcPr>
        <w:tcBorders>
          <w:bottom w:val="single" w:sz="4" w:space="0" w:color="4B7CCA" w:themeColor="accent6" w:themeTint="99"/>
        </w:tcBorders>
      </w:tcPr>
    </w:tblStylePr>
    <w:tblStylePr w:type="nwCell">
      <w:tblPr/>
      <w:tcPr>
        <w:tcBorders>
          <w:bottom w:val="single" w:sz="4" w:space="0" w:color="4B7CCA" w:themeColor="accent6" w:themeTint="99"/>
        </w:tcBorders>
      </w:tcPr>
    </w:tblStylePr>
    <w:tblStylePr w:type="seCell">
      <w:tblPr/>
      <w:tcPr>
        <w:tcBorders>
          <w:top w:val="single" w:sz="4" w:space="0" w:color="4B7CCA" w:themeColor="accent6" w:themeTint="99"/>
        </w:tcBorders>
      </w:tcPr>
    </w:tblStylePr>
    <w:tblStylePr w:type="swCell">
      <w:tblPr/>
      <w:tcPr>
        <w:tcBorders>
          <w:top w:val="single" w:sz="4" w:space="0" w:color="4B7CC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58AEDA" w:themeColor="accent1" w:themeTint="99"/>
        <w:left w:val="single" w:sz="4" w:space="0" w:color="58AEDA" w:themeColor="accent1" w:themeTint="99"/>
        <w:bottom w:val="single" w:sz="4" w:space="0" w:color="58AEDA" w:themeColor="accent1" w:themeTint="99"/>
        <w:right w:val="single" w:sz="4" w:space="0" w:color="58AEDA" w:themeColor="accent1" w:themeTint="99"/>
        <w:insideH w:val="single" w:sz="4" w:space="0" w:color="58AEDA" w:themeColor="accent1" w:themeTint="99"/>
        <w:insideV w:val="single" w:sz="4" w:space="0" w:color="58AE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688D" w:themeColor="accent1"/>
          <w:left w:val="single" w:sz="4" w:space="0" w:color="1F688D" w:themeColor="accent1"/>
          <w:bottom w:val="single" w:sz="4" w:space="0" w:color="1F688D" w:themeColor="accent1"/>
          <w:right w:val="single" w:sz="4" w:space="0" w:color="1F688D" w:themeColor="accent1"/>
          <w:insideH w:val="nil"/>
          <w:insideV w:val="nil"/>
        </w:tcBorders>
        <w:shd w:val="clear" w:color="auto" w:fill="1F688D" w:themeFill="accent1"/>
      </w:tcPr>
    </w:tblStylePr>
    <w:tblStylePr w:type="lastRow">
      <w:rPr>
        <w:b/>
        <w:bCs/>
      </w:rPr>
      <w:tblPr/>
      <w:tcPr>
        <w:tcBorders>
          <w:top w:val="double" w:sz="4" w:space="0" w:color="1F68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4F2" w:themeFill="accent1" w:themeFillTint="33"/>
      </w:tcPr>
    </w:tblStylePr>
    <w:tblStylePr w:type="band1Horz">
      <w:tblPr/>
      <w:tcPr>
        <w:shd w:val="clear" w:color="auto" w:fill="C7E4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9BD9F0" w:themeColor="accent2" w:themeTint="99"/>
        <w:left w:val="single" w:sz="4" w:space="0" w:color="9BD9F0" w:themeColor="accent2" w:themeTint="99"/>
        <w:bottom w:val="single" w:sz="4" w:space="0" w:color="9BD9F0" w:themeColor="accent2" w:themeTint="99"/>
        <w:right w:val="single" w:sz="4" w:space="0" w:color="9BD9F0" w:themeColor="accent2" w:themeTint="99"/>
        <w:insideH w:val="single" w:sz="4" w:space="0" w:color="9BD9F0" w:themeColor="accent2" w:themeTint="99"/>
        <w:insideV w:val="single" w:sz="4" w:space="0" w:color="9BD9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0E7" w:themeColor="accent2"/>
          <w:left w:val="single" w:sz="4" w:space="0" w:color="5AC0E7" w:themeColor="accent2"/>
          <w:bottom w:val="single" w:sz="4" w:space="0" w:color="5AC0E7" w:themeColor="accent2"/>
          <w:right w:val="single" w:sz="4" w:space="0" w:color="5AC0E7" w:themeColor="accent2"/>
          <w:insideH w:val="nil"/>
          <w:insideV w:val="nil"/>
        </w:tcBorders>
        <w:shd w:val="clear" w:color="auto" w:fill="5AC0E7" w:themeFill="accent2"/>
      </w:tcPr>
    </w:tblStylePr>
    <w:tblStylePr w:type="lastRow">
      <w:rPr>
        <w:b/>
        <w:bCs/>
      </w:rPr>
      <w:tblPr/>
      <w:tcPr>
        <w:tcBorders>
          <w:top w:val="double" w:sz="4" w:space="0" w:color="5AC0E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FA" w:themeFill="accent2" w:themeFillTint="33"/>
      </w:tcPr>
    </w:tblStylePr>
    <w:tblStylePr w:type="band1Horz">
      <w:tblPr/>
      <w:tcPr>
        <w:shd w:val="clear" w:color="auto" w:fill="DDF2F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D9F4FA" w:themeColor="accent3" w:themeTint="99"/>
        <w:left w:val="single" w:sz="4" w:space="0" w:color="D9F4FA" w:themeColor="accent3" w:themeTint="99"/>
        <w:bottom w:val="single" w:sz="4" w:space="0" w:color="D9F4FA" w:themeColor="accent3" w:themeTint="99"/>
        <w:right w:val="single" w:sz="4" w:space="0" w:color="D9F4FA" w:themeColor="accent3" w:themeTint="99"/>
        <w:insideH w:val="single" w:sz="4" w:space="0" w:color="D9F4FA" w:themeColor="accent3" w:themeTint="99"/>
        <w:insideV w:val="single" w:sz="4" w:space="0" w:color="D9F4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EDF8" w:themeColor="accent3"/>
          <w:left w:val="single" w:sz="4" w:space="0" w:color="C0EDF8" w:themeColor="accent3"/>
          <w:bottom w:val="single" w:sz="4" w:space="0" w:color="C0EDF8" w:themeColor="accent3"/>
          <w:right w:val="single" w:sz="4" w:space="0" w:color="C0EDF8" w:themeColor="accent3"/>
          <w:insideH w:val="nil"/>
          <w:insideV w:val="nil"/>
        </w:tcBorders>
        <w:shd w:val="clear" w:color="auto" w:fill="C0EDF8" w:themeFill="accent3"/>
      </w:tcPr>
    </w:tblStylePr>
    <w:tblStylePr w:type="lastRow">
      <w:rPr>
        <w:b/>
        <w:bCs/>
      </w:rPr>
      <w:tblPr/>
      <w:tcPr>
        <w:tcBorders>
          <w:top w:val="double" w:sz="4" w:space="0" w:color="C0ED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3"/>
      </w:tcPr>
    </w:tblStylePr>
    <w:tblStylePr w:type="band1Horz">
      <w:tblPr/>
      <w:tcPr>
        <w:shd w:val="clear" w:color="auto" w:fill="F2FBF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68E9C9" w:themeColor="accent4" w:themeTint="99"/>
        <w:left w:val="single" w:sz="4" w:space="0" w:color="68E9C9" w:themeColor="accent4" w:themeTint="99"/>
        <w:bottom w:val="single" w:sz="4" w:space="0" w:color="68E9C9" w:themeColor="accent4" w:themeTint="99"/>
        <w:right w:val="single" w:sz="4" w:space="0" w:color="68E9C9" w:themeColor="accent4" w:themeTint="99"/>
        <w:insideH w:val="single" w:sz="4" w:space="0" w:color="68E9C9" w:themeColor="accent4" w:themeTint="99"/>
        <w:insideV w:val="single" w:sz="4" w:space="0" w:color="68E9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49B" w:themeColor="accent4"/>
          <w:left w:val="single" w:sz="4" w:space="0" w:color="1CC49B" w:themeColor="accent4"/>
          <w:bottom w:val="single" w:sz="4" w:space="0" w:color="1CC49B" w:themeColor="accent4"/>
          <w:right w:val="single" w:sz="4" w:space="0" w:color="1CC49B" w:themeColor="accent4"/>
          <w:insideH w:val="nil"/>
          <w:insideV w:val="nil"/>
        </w:tcBorders>
        <w:shd w:val="clear" w:color="auto" w:fill="1CC49B" w:themeFill="accent4"/>
      </w:tcPr>
    </w:tblStylePr>
    <w:tblStylePr w:type="lastRow">
      <w:rPr>
        <w:b/>
        <w:bCs/>
      </w:rPr>
      <w:tblPr/>
      <w:tcPr>
        <w:tcBorders>
          <w:top w:val="double" w:sz="4" w:space="0" w:color="1CC4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7ED" w:themeFill="accent4" w:themeFillTint="33"/>
      </w:tcPr>
    </w:tblStylePr>
    <w:tblStylePr w:type="band1Horz">
      <w:tblPr/>
      <w:tcPr>
        <w:shd w:val="clear" w:color="auto" w:fill="CCF7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83A4B3" w:themeColor="accent5" w:themeTint="99"/>
        <w:left w:val="single" w:sz="4" w:space="0" w:color="83A4B3" w:themeColor="accent5" w:themeTint="99"/>
        <w:bottom w:val="single" w:sz="4" w:space="0" w:color="83A4B3" w:themeColor="accent5" w:themeTint="99"/>
        <w:right w:val="single" w:sz="4" w:space="0" w:color="83A4B3" w:themeColor="accent5" w:themeTint="99"/>
        <w:insideH w:val="single" w:sz="4" w:space="0" w:color="83A4B3" w:themeColor="accent5" w:themeTint="99"/>
        <w:insideV w:val="single" w:sz="4" w:space="0" w:color="83A4B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626F" w:themeColor="accent5"/>
          <w:left w:val="single" w:sz="4" w:space="0" w:color="44626F" w:themeColor="accent5"/>
          <w:bottom w:val="single" w:sz="4" w:space="0" w:color="44626F" w:themeColor="accent5"/>
          <w:right w:val="single" w:sz="4" w:space="0" w:color="44626F" w:themeColor="accent5"/>
          <w:insideH w:val="nil"/>
          <w:insideV w:val="nil"/>
        </w:tcBorders>
        <w:shd w:val="clear" w:color="auto" w:fill="44626F" w:themeFill="accent5"/>
      </w:tcPr>
    </w:tblStylePr>
    <w:tblStylePr w:type="lastRow">
      <w:rPr>
        <w:b/>
        <w:bCs/>
      </w:rPr>
      <w:tblPr/>
      <w:tcPr>
        <w:tcBorders>
          <w:top w:val="double" w:sz="4" w:space="0" w:color="44626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0E5" w:themeFill="accent5" w:themeFillTint="33"/>
      </w:tcPr>
    </w:tblStylePr>
    <w:tblStylePr w:type="band1Horz">
      <w:tblPr/>
      <w:tcPr>
        <w:shd w:val="clear" w:color="auto" w:fill="D5E0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4B7CCA" w:themeColor="accent6" w:themeTint="99"/>
        <w:left w:val="single" w:sz="4" w:space="0" w:color="4B7CCA" w:themeColor="accent6" w:themeTint="99"/>
        <w:bottom w:val="single" w:sz="4" w:space="0" w:color="4B7CCA" w:themeColor="accent6" w:themeTint="99"/>
        <w:right w:val="single" w:sz="4" w:space="0" w:color="4B7CCA" w:themeColor="accent6" w:themeTint="99"/>
        <w:insideH w:val="single" w:sz="4" w:space="0" w:color="4B7CCA" w:themeColor="accent6" w:themeTint="99"/>
        <w:insideV w:val="single" w:sz="4" w:space="0" w:color="4B7CC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365F" w:themeColor="accent6"/>
          <w:left w:val="single" w:sz="4" w:space="0" w:color="1C365F" w:themeColor="accent6"/>
          <w:bottom w:val="single" w:sz="4" w:space="0" w:color="1C365F" w:themeColor="accent6"/>
          <w:right w:val="single" w:sz="4" w:space="0" w:color="1C365F" w:themeColor="accent6"/>
          <w:insideH w:val="nil"/>
          <w:insideV w:val="nil"/>
        </w:tcBorders>
        <w:shd w:val="clear" w:color="auto" w:fill="1C365F" w:themeFill="accent6"/>
      </w:tcPr>
    </w:tblStylePr>
    <w:tblStylePr w:type="lastRow">
      <w:rPr>
        <w:b/>
        <w:bCs/>
      </w:rPr>
      <w:tblPr/>
      <w:tcPr>
        <w:tcBorders>
          <w:top w:val="double" w:sz="4" w:space="0" w:color="1C36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3ED" w:themeFill="accent6" w:themeFillTint="33"/>
      </w:tcPr>
    </w:tblStylePr>
    <w:tblStylePr w:type="band1Horz">
      <w:tblPr/>
      <w:tcPr>
        <w:shd w:val="clear" w:color="auto" w:fill="C3D3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E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2A4E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2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0E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0E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0E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0E7" w:themeFill="accent2"/>
      </w:tcPr>
    </w:tblStylePr>
    <w:tblStylePr w:type="band1Vert">
      <w:tblPr/>
      <w:tcPr>
        <w:shd w:val="clear" w:color="auto" w:fill="BCE5F5" w:themeFill="accent2" w:themeFillTint="66"/>
      </w:tcPr>
    </w:tblStylePr>
    <w:tblStylePr w:type="band1Horz">
      <w:tblPr/>
      <w:tcPr>
        <w:shd w:val="clear" w:color="auto" w:fill="BCE5F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E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ED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ED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ED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EDF8" w:themeFill="accent3"/>
      </w:tcPr>
    </w:tblStylePr>
    <w:tblStylePr w:type="band1Vert">
      <w:tblPr/>
      <w:tcPr>
        <w:shd w:val="clear" w:color="auto" w:fill="E5F7FC" w:themeFill="accent3" w:themeFillTint="66"/>
      </w:tcPr>
    </w:tblStylePr>
    <w:tblStylePr w:type="band1Horz">
      <w:tblPr/>
      <w:tcPr>
        <w:shd w:val="clear" w:color="auto" w:fill="E5F7F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E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7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4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4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4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49B" w:themeFill="accent4"/>
      </w:tcPr>
    </w:tblStylePr>
    <w:tblStylePr w:type="band1Vert">
      <w:tblPr/>
      <w:tcPr>
        <w:shd w:val="clear" w:color="auto" w:fill="9AF0DB" w:themeFill="accent4" w:themeFillTint="66"/>
      </w:tcPr>
    </w:tblStylePr>
    <w:tblStylePr w:type="band1Horz">
      <w:tblPr/>
      <w:tcPr>
        <w:shd w:val="clear" w:color="auto" w:fill="9AF0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E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0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626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626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626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626F" w:themeFill="accent5"/>
      </w:tcPr>
    </w:tblStylePr>
    <w:tblStylePr w:type="band1Vert">
      <w:tblPr/>
      <w:tcPr>
        <w:shd w:val="clear" w:color="auto" w:fill="ACC2CC" w:themeFill="accent5" w:themeFillTint="66"/>
      </w:tcPr>
    </w:tblStylePr>
    <w:tblStylePr w:type="band1Horz">
      <w:tblPr/>
      <w:tcPr>
        <w:shd w:val="clear" w:color="auto" w:fill="ACC2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E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3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36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36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36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365F" w:themeFill="accent6"/>
      </w:tcPr>
    </w:tblStylePr>
    <w:tblStylePr w:type="band1Vert">
      <w:tblPr/>
      <w:tcPr>
        <w:shd w:val="clear" w:color="auto" w:fill="87A7DB" w:themeFill="accent6" w:themeFillTint="66"/>
      </w:tcPr>
    </w:tblStylePr>
    <w:tblStylePr w:type="band1Horz">
      <w:tblPr/>
      <w:tcPr>
        <w:shd w:val="clear" w:color="auto" w:fill="87A7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E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EF8"/>
    <w:rPr>
      <w:color w:val="174D69" w:themeColor="accent1" w:themeShade="BF"/>
    </w:rPr>
    <w:tblPr>
      <w:tblStyleRowBandSize w:val="1"/>
      <w:tblStyleColBandSize w:val="1"/>
      <w:tblBorders>
        <w:top w:val="single" w:sz="4" w:space="0" w:color="58AEDA" w:themeColor="accent1" w:themeTint="99"/>
        <w:left w:val="single" w:sz="4" w:space="0" w:color="58AEDA" w:themeColor="accent1" w:themeTint="99"/>
        <w:bottom w:val="single" w:sz="4" w:space="0" w:color="58AEDA" w:themeColor="accent1" w:themeTint="99"/>
        <w:right w:val="single" w:sz="4" w:space="0" w:color="58AEDA" w:themeColor="accent1" w:themeTint="99"/>
        <w:insideH w:val="single" w:sz="4" w:space="0" w:color="58AEDA" w:themeColor="accent1" w:themeTint="99"/>
        <w:insideV w:val="single" w:sz="4" w:space="0" w:color="58AED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AE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AE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4F2" w:themeFill="accent1" w:themeFillTint="33"/>
      </w:tcPr>
    </w:tblStylePr>
    <w:tblStylePr w:type="band1Horz">
      <w:tblPr/>
      <w:tcPr>
        <w:shd w:val="clear" w:color="auto" w:fill="C7E4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EF8"/>
    <w:rPr>
      <w:color w:val="1E9FD1" w:themeColor="accent2" w:themeShade="BF"/>
    </w:rPr>
    <w:tblPr>
      <w:tblStyleRowBandSize w:val="1"/>
      <w:tblStyleColBandSize w:val="1"/>
      <w:tblBorders>
        <w:top w:val="single" w:sz="4" w:space="0" w:color="9BD9F0" w:themeColor="accent2" w:themeTint="99"/>
        <w:left w:val="single" w:sz="4" w:space="0" w:color="9BD9F0" w:themeColor="accent2" w:themeTint="99"/>
        <w:bottom w:val="single" w:sz="4" w:space="0" w:color="9BD9F0" w:themeColor="accent2" w:themeTint="99"/>
        <w:right w:val="single" w:sz="4" w:space="0" w:color="9BD9F0" w:themeColor="accent2" w:themeTint="99"/>
        <w:insideH w:val="single" w:sz="4" w:space="0" w:color="9BD9F0" w:themeColor="accent2" w:themeTint="99"/>
        <w:insideV w:val="single" w:sz="4" w:space="0" w:color="9BD9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D9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9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FA" w:themeFill="accent2" w:themeFillTint="33"/>
      </w:tcPr>
    </w:tblStylePr>
    <w:tblStylePr w:type="band1Horz">
      <w:tblPr/>
      <w:tcPr>
        <w:shd w:val="clear" w:color="auto" w:fill="DDF2F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EF8"/>
    <w:rPr>
      <w:color w:val="5CD0ED" w:themeColor="accent3" w:themeShade="BF"/>
    </w:rPr>
    <w:tblPr>
      <w:tblStyleRowBandSize w:val="1"/>
      <w:tblStyleColBandSize w:val="1"/>
      <w:tblBorders>
        <w:top w:val="single" w:sz="4" w:space="0" w:color="D9F4FA" w:themeColor="accent3" w:themeTint="99"/>
        <w:left w:val="single" w:sz="4" w:space="0" w:color="D9F4FA" w:themeColor="accent3" w:themeTint="99"/>
        <w:bottom w:val="single" w:sz="4" w:space="0" w:color="D9F4FA" w:themeColor="accent3" w:themeTint="99"/>
        <w:right w:val="single" w:sz="4" w:space="0" w:color="D9F4FA" w:themeColor="accent3" w:themeTint="99"/>
        <w:insideH w:val="single" w:sz="4" w:space="0" w:color="D9F4FA" w:themeColor="accent3" w:themeTint="99"/>
        <w:insideV w:val="single" w:sz="4" w:space="0" w:color="D9F4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F4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4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3"/>
      </w:tcPr>
    </w:tblStylePr>
    <w:tblStylePr w:type="band1Horz">
      <w:tblPr/>
      <w:tcPr>
        <w:shd w:val="clear" w:color="auto" w:fill="F2FBF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EF8"/>
    <w:rPr>
      <w:color w:val="159273" w:themeColor="accent4" w:themeShade="BF"/>
    </w:rPr>
    <w:tblPr>
      <w:tblStyleRowBandSize w:val="1"/>
      <w:tblStyleColBandSize w:val="1"/>
      <w:tblBorders>
        <w:top w:val="single" w:sz="4" w:space="0" w:color="68E9C9" w:themeColor="accent4" w:themeTint="99"/>
        <w:left w:val="single" w:sz="4" w:space="0" w:color="68E9C9" w:themeColor="accent4" w:themeTint="99"/>
        <w:bottom w:val="single" w:sz="4" w:space="0" w:color="68E9C9" w:themeColor="accent4" w:themeTint="99"/>
        <w:right w:val="single" w:sz="4" w:space="0" w:color="68E9C9" w:themeColor="accent4" w:themeTint="99"/>
        <w:insideH w:val="single" w:sz="4" w:space="0" w:color="68E9C9" w:themeColor="accent4" w:themeTint="99"/>
        <w:insideV w:val="single" w:sz="4" w:space="0" w:color="68E9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8E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7ED" w:themeFill="accent4" w:themeFillTint="33"/>
      </w:tcPr>
    </w:tblStylePr>
    <w:tblStylePr w:type="band1Horz">
      <w:tblPr/>
      <w:tcPr>
        <w:shd w:val="clear" w:color="auto" w:fill="CCF7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EF8"/>
    <w:rPr>
      <w:color w:val="334953" w:themeColor="accent5" w:themeShade="BF"/>
    </w:rPr>
    <w:tblPr>
      <w:tblStyleRowBandSize w:val="1"/>
      <w:tblStyleColBandSize w:val="1"/>
      <w:tblBorders>
        <w:top w:val="single" w:sz="4" w:space="0" w:color="83A4B3" w:themeColor="accent5" w:themeTint="99"/>
        <w:left w:val="single" w:sz="4" w:space="0" w:color="83A4B3" w:themeColor="accent5" w:themeTint="99"/>
        <w:bottom w:val="single" w:sz="4" w:space="0" w:color="83A4B3" w:themeColor="accent5" w:themeTint="99"/>
        <w:right w:val="single" w:sz="4" w:space="0" w:color="83A4B3" w:themeColor="accent5" w:themeTint="99"/>
        <w:insideH w:val="single" w:sz="4" w:space="0" w:color="83A4B3" w:themeColor="accent5" w:themeTint="99"/>
        <w:insideV w:val="single" w:sz="4" w:space="0" w:color="83A4B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3A4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A4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0E5" w:themeFill="accent5" w:themeFillTint="33"/>
      </w:tcPr>
    </w:tblStylePr>
    <w:tblStylePr w:type="band1Horz">
      <w:tblPr/>
      <w:tcPr>
        <w:shd w:val="clear" w:color="auto" w:fill="D5E0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EF8"/>
    <w:rPr>
      <w:color w:val="152847" w:themeColor="accent6" w:themeShade="BF"/>
    </w:rPr>
    <w:tblPr>
      <w:tblStyleRowBandSize w:val="1"/>
      <w:tblStyleColBandSize w:val="1"/>
      <w:tblBorders>
        <w:top w:val="single" w:sz="4" w:space="0" w:color="4B7CCA" w:themeColor="accent6" w:themeTint="99"/>
        <w:left w:val="single" w:sz="4" w:space="0" w:color="4B7CCA" w:themeColor="accent6" w:themeTint="99"/>
        <w:bottom w:val="single" w:sz="4" w:space="0" w:color="4B7CCA" w:themeColor="accent6" w:themeTint="99"/>
        <w:right w:val="single" w:sz="4" w:space="0" w:color="4B7CCA" w:themeColor="accent6" w:themeTint="99"/>
        <w:insideH w:val="single" w:sz="4" w:space="0" w:color="4B7CCA" w:themeColor="accent6" w:themeTint="99"/>
        <w:insideV w:val="single" w:sz="4" w:space="0" w:color="4B7CC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B7CC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7CC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3ED" w:themeFill="accent6" w:themeFillTint="33"/>
      </w:tcPr>
    </w:tblStylePr>
    <w:tblStylePr w:type="band1Horz">
      <w:tblPr/>
      <w:tcPr>
        <w:shd w:val="clear" w:color="auto" w:fill="C3D3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E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EF8"/>
    <w:rPr>
      <w:color w:val="174D69" w:themeColor="accent1" w:themeShade="BF"/>
    </w:rPr>
    <w:tblPr>
      <w:tblStyleRowBandSize w:val="1"/>
      <w:tblStyleColBandSize w:val="1"/>
      <w:tblBorders>
        <w:top w:val="single" w:sz="4" w:space="0" w:color="58AEDA" w:themeColor="accent1" w:themeTint="99"/>
        <w:left w:val="single" w:sz="4" w:space="0" w:color="58AEDA" w:themeColor="accent1" w:themeTint="99"/>
        <w:bottom w:val="single" w:sz="4" w:space="0" w:color="58AEDA" w:themeColor="accent1" w:themeTint="99"/>
        <w:right w:val="single" w:sz="4" w:space="0" w:color="58AEDA" w:themeColor="accent1" w:themeTint="99"/>
        <w:insideH w:val="single" w:sz="4" w:space="0" w:color="58AEDA" w:themeColor="accent1" w:themeTint="99"/>
        <w:insideV w:val="single" w:sz="4" w:space="0" w:color="58AE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4F2" w:themeFill="accent1" w:themeFillTint="33"/>
      </w:tcPr>
    </w:tblStylePr>
    <w:tblStylePr w:type="band1Horz">
      <w:tblPr/>
      <w:tcPr>
        <w:shd w:val="clear" w:color="auto" w:fill="C7E4F2" w:themeFill="accent1" w:themeFillTint="33"/>
      </w:tcPr>
    </w:tblStylePr>
    <w:tblStylePr w:type="neCell">
      <w:tblPr/>
      <w:tcPr>
        <w:tcBorders>
          <w:bottom w:val="single" w:sz="4" w:space="0" w:color="58AEDA" w:themeColor="accent1" w:themeTint="99"/>
        </w:tcBorders>
      </w:tcPr>
    </w:tblStylePr>
    <w:tblStylePr w:type="nwCell">
      <w:tblPr/>
      <w:tcPr>
        <w:tcBorders>
          <w:bottom w:val="single" w:sz="4" w:space="0" w:color="58AEDA" w:themeColor="accent1" w:themeTint="99"/>
        </w:tcBorders>
      </w:tcPr>
    </w:tblStylePr>
    <w:tblStylePr w:type="seCell">
      <w:tblPr/>
      <w:tcPr>
        <w:tcBorders>
          <w:top w:val="single" w:sz="4" w:space="0" w:color="58AEDA" w:themeColor="accent1" w:themeTint="99"/>
        </w:tcBorders>
      </w:tcPr>
    </w:tblStylePr>
    <w:tblStylePr w:type="swCell">
      <w:tblPr/>
      <w:tcPr>
        <w:tcBorders>
          <w:top w:val="single" w:sz="4" w:space="0" w:color="58AED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EF8"/>
    <w:rPr>
      <w:color w:val="1E9FD1" w:themeColor="accent2" w:themeShade="BF"/>
    </w:rPr>
    <w:tblPr>
      <w:tblStyleRowBandSize w:val="1"/>
      <w:tblStyleColBandSize w:val="1"/>
      <w:tblBorders>
        <w:top w:val="single" w:sz="4" w:space="0" w:color="9BD9F0" w:themeColor="accent2" w:themeTint="99"/>
        <w:left w:val="single" w:sz="4" w:space="0" w:color="9BD9F0" w:themeColor="accent2" w:themeTint="99"/>
        <w:bottom w:val="single" w:sz="4" w:space="0" w:color="9BD9F0" w:themeColor="accent2" w:themeTint="99"/>
        <w:right w:val="single" w:sz="4" w:space="0" w:color="9BD9F0" w:themeColor="accent2" w:themeTint="99"/>
        <w:insideH w:val="single" w:sz="4" w:space="0" w:color="9BD9F0" w:themeColor="accent2" w:themeTint="99"/>
        <w:insideV w:val="single" w:sz="4" w:space="0" w:color="9BD9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2FA" w:themeFill="accent2" w:themeFillTint="33"/>
      </w:tcPr>
    </w:tblStylePr>
    <w:tblStylePr w:type="band1Horz">
      <w:tblPr/>
      <w:tcPr>
        <w:shd w:val="clear" w:color="auto" w:fill="DDF2FA" w:themeFill="accent2" w:themeFillTint="33"/>
      </w:tcPr>
    </w:tblStylePr>
    <w:tblStylePr w:type="neCell">
      <w:tblPr/>
      <w:tcPr>
        <w:tcBorders>
          <w:bottom w:val="single" w:sz="4" w:space="0" w:color="9BD9F0" w:themeColor="accent2" w:themeTint="99"/>
        </w:tcBorders>
      </w:tcPr>
    </w:tblStylePr>
    <w:tblStylePr w:type="nwCell">
      <w:tblPr/>
      <w:tcPr>
        <w:tcBorders>
          <w:bottom w:val="single" w:sz="4" w:space="0" w:color="9BD9F0" w:themeColor="accent2" w:themeTint="99"/>
        </w:tcBorders>
      </w:tcPr>
    </w:tblStylePr>
    <w:tblStylePr w:type="seCell">
      <w:tblPr/>
      <w:tcPr>
        <w:tcBorders>
          <w:top w:val="single" w:sz="4" w:space="0" w:color="9BD9F0" w:themeColor="accent2" w:themeTint="99"/>
        </w:tcBorders>
      </w:tcPr>
    </w:tblStylePr>
    <w:tblStylePr w:type="swCell">
      <w:tblPr/>
      <w:tcPr>
        <w:tcBorders>
          <w:top w:val="single" w:sz="4" w:space="0" w:color="9BD9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EF8"/>
    <w:rPr>
      <w:color w:val="5CD0ED" w:themeColor="accent3" w:themeShade="BF"/>
    </w:rPr>
    <w:tblPr>
      <w:tblStyleRowBandSize w:val="1"/>
      <w:tblStyleColBandSize w:val="1"/>
      <w:tblBorders>
        <w:top w:val="single" w:sz="4" w:space="0" w:color="D9F4FA" w:themeColor="accent3" w:themeTint="99"/>
        <w:left w:val="single" w:sz="4" w:space="0" w:color="D9F4FA" w:themeColor="accent3" w:themeTint="99"/>
        <w:bottom w:val="single" w:sz="4" w:space="0" w:color="D9F4FA" w:themeColor="accent3" w:themeTint="99"/>
        <w:right w:val="single" w:sz="4" w:space="0" w:color="D9F4FA" w:themeColor="accent3" w:themeTint="99"/>
        <w:insideH w:val="single" w:sz="4" w:space="0" w:color="D9F4FA" w:themeColor="accent3" w:themeTint="99"/>
        <w:insideV w:val="single" w:sz="4" w:space="0" w:color="D9F4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3" w:themeFillTint="33"/>
      </w:tcPr>
    </w:tblStylePr>
    <w:tblStylePr w:type="band1Horz">
      <w:tblPr/>
      <w:tcPr>
        <w:shd w:val="clear" w:color="auto" w:fill="F2FBFD" w:themeFill="accent3" w:themeFillTint="33"/>
      </w:tcPr>
    </w:tblStylePr>
    <w:tblStylePr w:type="neCell">
      <w:tblPr/>
      <w:tcPr>
        <w:tcBorders>
          <w:bottom w:val="single" w:sz="4" w:space="0" w:color="D9F4FA" w:themeColor="accent3" w:themeTint="99"/>
        </w:tcBorders>
      </w:tcPr>
    </w:tblStylePr>
    <w:tblStylePr w:type="nwCell">
      <w:tblPr/>
      <w:tcPr>
        <w:tcBorders>
          <w:bottom w:val="single" w:sz="4" w:space="0" w:color="D9F4FA" w:themeColor="accent3" w:themeTint="99"/>
        </w:tcBorders>
      </w:tcPr>
    </w:tblStylePr>
    <w:tblStylePr w:type="seCell">
      <w:tblPr/>
      <w:tcPr>
        <w:tcBorders>
          <w:top w:val="single" w:sz="4" w:space="0" w:color="D9F4FA" w:themeColor="accent3" w:themeTint="99"/>
        </w:tcBorders>
      </w:tcPr>
    </w:tblStylePr>
    <w:tblStylePr w:type="swCell">
      <w:tblPr/>
      <w:tcPr>
        <w:tcBorders>
          <w:top w:val="single" w:sz="4" w:space="0" w:color="D9F4F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EF8"/>
    <w:rPr>
      <w:color w:val="159273" w:themeColor="accent4" w:themeShade="BF"/>
    </w:rPr>
    <w:tblPr>
      <w:tblStyleRowBandSize w:val="1"/>
      <w:tblStyleColBandSize w:val="1"/>
      <w:tblBorders>
        <w:top w:val="single" w:sz="4" w:space="0" w:color="68E9C9" w:themeColor="accent4" w:themeTint="99"/>
        <w:left w:val="single" w:sz="4" w:space="0" w:color="68E9C9" w:themeColor="accent4" w:themeTint="99"/>
        <w:bottom w:val="single" w:sz="4" w:space="0" w:color="68E9C9" w:themeColor="accent4" w:themeTint="99"/>
        <w:right w:val="single" w:sz="4" w:space="0" w:color="68E9C9" w:themeColor="accent4" w:themeTint="99"/>
        <w:insideH w:val="single" w:sz="4" w:space="0" w:color="68E9C9" w:themeColor="accent4" w:themeTint="99"/>
        <w:insideV w:val="single" w:sz="4" w:space="0" w:color="68E9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7ED" w:themeFill="accent4" w:themeFillTint="33"/>
      </w:tcPr>
    </w:tblStylePr>
    <w:tblStylePr w:type="band1Horz">
      <w:tblPr/>
      <w:tcPr>
        <w:shd w:val="clear" w:color="auto" w:fill="CCF7ED" w:themeFill="accent4" w:themeFillTint="33"/>
      </w:tcPr>
    </w:tblStylePr>
    <w:tblStylePr w:type="neCell">
      <w:tblPr/>
      <w:tcPr>
        <w:tcBorders>
          <w:bottom w:val="single" w:sz="4" w:space="0" w:color="68E9C9" w:themeColor="accent4" w:themeTint="99"/>
        </w:tcBorders>
      </w:tcPr>
    </w:tblStylePr>
    <w:tblStylePr w:type="nwCell">
      <w:tblPr/>
      <w:tcPr>
        <w:tcBorders>
          <w:bottom w:val="single" w:sz="4" w:space="0" w:color="68E9C9" w:themeColor="accent4" w:themeTint="99"/>
        </w:tcBorders>
      </w:tcPr>
    </w:tblStylePr>
    <w:tblStylePr w:type="seCell">
      <w:tblPr/>
      <w:tcPr>
        <w:tcBorders>
          <w:top w:val="single" w:sz="4" w:space="0" w:color="68E9C9" w:themeColor="accent4" w:themeTint="99"/>
        </w:tcBorders>
      </w:tcPr>
    </w:tblStylePr>
    <w:tblStylePr w:type="swCell">
      <w:tblPr/>
      <w:tcPr>
        <w:tcBorders>
          <w:top w:val="single" w:sz="4" w:space="0" w:color="68E9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EF8"/>
    <w:rPr>
      <w:color w:val="334953" w:themeColor="accent5" w:themeShade="BF"/>
    </w:rPr>
    <w:tblPr>
      <w:tblStyleRowBandSize w:val="1"/>
      <w:tblStyleColBandSize w:val="1"/>
      <w:tblBorders>
        <w:top w:val="single" w:sz="4" w:space="0" w:color="83A4B3" w:themeColor="accent5" w:themeTint="99"/>
        <w:left w:val="single" w:sz="4" w:space="0" w:color="83A4B3" w:themeColor="accent5" w:themeTint="99"/>
        <w:bottom w:val="single" w:sz="4" w:space="0" w:color="83A4B3" w:themeColor="accent5" w:themeTint="99"/>
        <w:right w:val="single" w:sz="4" w:space="0" w:color="83A4B3" w:themeColor="accent5" w:themeTint="99"/>
        <w:insideH w:val="single" w:sz="4" w:space="0" w:color="83A4B3" w:themeColor="accent5" w:themeTint="99"/>
        <w:insideV w:val="single" w:sz="4" w:space="0" w:color="83A4B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0E5" w:themeFill="accent5" w:themeFillTint="33"/>
      </w:tcPr>
    </w:tblStylePr>
    <w:tblStylePr w:type="band1Horz">
      <w:tblPr/>
      <w:tcPr>
        <w:shd w:val="clear" w:color="auto" w:fill="D5E0E5" w:themeFill="accent5" w:themeFillTint="33"/>
      </w:tcPr>
    </w:tblStylePr>
    <w:tblStylePr w:type="neCell">
      <w:tblPr/>
      <w:tcPr>
        <w:tcBorders>
          <w:bottom w:val="single" w:sz="4" w:space="0" w:color="83A4B3" w:themeColor="accent5" w:themeTint="99"/>
        </w:tcBorders>
      </w:tcPr>
    </w:tblStylePr>
    <w:tblStylePr w:type="nwCell">
      <w:tblPr/>
      <w:tcPr>
        <w:tcBorders>
          <w:bottom w:val="single" w:sz="4" w:space="0" w:color="83A4B3" w:themeColor="accent5" w:themeTint="99"/>
        </w:tcBorders>
      </w:tcPr>
    </w:tblStylePr>
    <w:tblStylePr w:type="seCell">
      <w:tblPr/>
      <w:tcPr>
        <w:tcBorders>
          <w:top w:val="single" w:sz="4" w:space="0" w:color="83A4B3" w:themeColor="accent5" w:themeTint="99"/>
        </w:tcBorders>
      </w:tcPr>
    </w:tblStylePr>
    <w:tblStylePr w:type="swCell">
      <w:tblPr/>
      <w:tcPr>
        <w:tcBorders>
          <w:top w:val="single" w:sz="4" w:space="0" w:color="83A4B3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4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EF8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A4EF8"/>
    <w:rPr>
      <w:rFonts w:ascii="Arial" w:eastAsiaTheme="majorEastAsia" w:hAnsi="Arial" w:cs="Arial"/>
      <w:i/>
      <w:iCs/>
      <w:color w:val="1F688D"/>
      <w:sz w:val="20"/>
    </w:rPr>
  </w:style>
  <w:style w:type="character" w:styleId="Hyperlink">
    <w:name w:val="Hyperlink"/>
    <w:basedOn w:val="DefaultParagraphFont"/>
    <w:uiPriority w:val="99"/>
    <w:unhideWhenUsed/>
    <w:rsid w:val="002A4EF8"/>
    <w:rPr>
      <w:color w:val="4B7CCA" w:themeColor="hyperlink"/>
      <w:u w:val="single"/>
    </w:rPr>
  </w:style>
  <w:style w:type="table" w:styleId="ListTable4-Accent1">
    <w:name w:val="List Table 4 Accent 1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58AEDA" w:themeColor="accent1" w:themeTint="99"/>
        <w:left w:val="single" w:sz="4" w:space="0" w:color="58AEDA" w:themeColor="accent1" w:themeTint="99"/>
        <w:bottom w:val="single" w:sz="4" w:space="0" w:color="58AEDA" w:themeColor="accent1" w:themeTint="99"/>
        <w:right w:val="single" w:sz="4" w:space="0" w:color="58AEDA" w:themeColor="accent1" w:themeTint="99"/>
        <w:insideH w:val="single" w:sz="4" w:space="0" w:color="58AE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688D" w:themeColor="accent1"/>
          <w:left w:val="single" w:sz="4" w:space="0" w:color="1F688D" w:themeColor="accent1"/>
          <w:bottom w:val="single" w:sz="4" w:space="0" w:color="1F688D" w:themeColor="accent1"/>
          <w:right w:val="single" w:sz="4" w:space="0" w:color="1F688D" w:themeColor="accent1"/>
          <w:insideH w:val="nil"/>
        </w:tcBorders>
        <w:shd w:val="clear" w:color="auto" w:fill="1F688D" w:themeFill="accent1"/>
      </w:tcPr>
    </w:tblStylePr>
    <w:tblStylePr w:type="lastRow">
      <w:rPr>
        <w:b/>
        <w:bCs/>
      </w:rPr>
      <w:tblPr/>
      <w:tcPr>
        <w:tcBorders>
          <w:top w:val="double" w:sz="4" w:space="0" w:color="58AE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4F2" w:themeFill="accent1" w:themeFillTint="33"/>
      </w:tcPr>
    </w:tblStylePr>
    <w:tblStylePr w:type="band1Horz">
      <w:tblPr/>
      <w:tcPr>
        <w:shd w:val="clear" w:color="auto" w:fill="C7E4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9BD9F0" w:themeColor="accent2" w:themeTint="99"/>
        <w:left w:val="single" w:sz="4" w:space="0" w:color="9BD9F0" w:themeColor="accent2" w:themeTint="99"/>
        <w:bottom w:val="single" w:sz="4" w:space="0" w:color="9BD9F0" w:themeColor="accent2" w:themeTint="99"/>
        <w:right w:val="single" w:sz="4" w:space="0" w:color="9BD9F0" w:themeColor="accent2" w:themeTint="99"/>
        <w:insideH w:val="single" w:sz="4" w:space="0" w:color="9BD9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0E7" w:themeColor="accent2"/>
          <w:left w:val="single" w:sz="4" w:space="0" w:color="5AC0E7" w:themeColor="accent2"/>
          <w:bottom w:val="single" w:sz="4" w:space="0" w:color="5AC0E7" w:themeColor="accent2"/>
          <w:right w:val="single" w:sz="4" w:space="0" w:color="5AC0E7" w:themeColor="accent2"/>
          <w:insideH w:val="nil"/>
        </w:tcBorders>
        <w:shd w:val="clear" w:color="auto" w:fill="5AC0E7" w:themeFill="accent2"/>
      </w:tcPr>
    </w:tblStylePr>
    <w:tblStylePr w:type="lastRow">
      <w:rPr>
        <w:b/>
        <w:bCs/>
      </w:rPr>
      <w:tblPr/>
      <w:tcPr>
        <w:tcBorders>
          <w:top w:val="double" w:sz="4" w:space="0" w:color="9BD9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FA" w:themeFill="accent2" w:themeFillTint="33"/>
      </w:tcPr>
    </w:tblStylePr>
    <w:tblStylePr w:type="band1Horz">
      <w:tblPr/>
      <w:tcPr>
        <w:shd w:val="clear" w:color="auto" w:fill="DDF2FA" w:themeFill="accent2" w:themeFillTint="33"/>
      </w:tcPr>
    </w:tblStylePr>
  </w:style>
  <w:style w:type="table" w:styleId="ListTable4-Accent5">
    <w:name w:val="List Table 4 Accent 5"/>
    <w:basedOn w:val="TableNormal"/>
    <w:uiPriority w:val="49"/>
    <w:rsid w:val="002A4EF8"/>
    <w:tblPr>
      <w:tblStyleRowBandSize w:val="1"/>
      <w:tblStyleColBandSize w:val="1"/>
      <w:tblBorders>
        <w:top w:val="single" w:sz="4" w:space="0" w:color="83A4B3" w:themeColor="accent5" w:themeTint="99"/>
        <w:left w:val="single" w:sz="4" w:space="0" w:color="83A4B3" w:themeColor="accent5" w:themeTint="99"/>
        <w:bottom w:val="single" w:sz="4" w:space="0" w:color="83A4B3" w:themeColor="accent5" w:themeTint="99"/>
        <w:right w:val="single" w:sz="4" w:space="0" w:color="83A4B3" w:themeColor="accent5" w:themeTint="99"/>
        <w:insideH w:val="single" w:sz="4" w:space="0" w:color="83A4B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626F" w:themeColor="accent5"/>
          <w:left w:val="single" w:sz="4" w:space="0" w:color="44626F" w:themeColor="accent5"/>
          <w:bottom w:val="single" w:sz="4" w:space="0" w:color="44626F" w:themeColor="accent5"/>
          <w:right w:val="single" w:sz="4" w:space="0" w:color="44626F" w:themeColor="accent5"/>
          <w:insideH w:val="nil"/>
        </w:tcBorders>
        <w:shd w:val="clear" w:color="auto" w:fill="44626F" w:themeFill="accent5"/>
      </w:tcPr>
    </w:tblStylePr>
    <w:tblStylePr w:type="lastRow">
      <w:rPr>
        <w:b/>
        <w:bCs/>
      </w:rPr>
      <w:tblPr/>
      <w:tcPr>
        <w:tcBorders>
          <w:top w:val="double" w:sz="4" w:space="0" w:color="83A4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0E5" w:themeFill="accent5" w:themeFillTint="33"/>
      </w:tcPr>
    </w:tblStylePr>
    <w:tblStylePr w:type="band1Horz">
      <w:tblPr/>
      <w:tcPr>
        <w:shd w:val="clear" w:color="auto" w:fill="D5E0E5" w:themeFill="accent5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2A4EF8"/>
    <w:rPr>
      <w:color w:val="5CD0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ED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ED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ED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ED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3" w:themeFillTint="33"/>
      </w:tcPr>
    </w:tblStylePr>
    <w:tblStylePr w:type="band1Horz">
      <w:tblPr/>
      <w:tcPr>
        <w:shd w:val="clear" w:color="auto" w:fill="F2FB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EF8"/>
    <w:rPr>
      <w:color w:val="1592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4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4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4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4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7ED" w:themeFill="accent4" w:themeFillTint="33"/>
      </w:tcPr>
    </w:tblStylePr>
    <w:tblStylePr w:type="band1Horz">
      <w:tblPr/>
      <w:tcPr>
        <w:shd w:val="clear" w:color="auto" w:fill="CCF7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EF8"/>
    <w:rPr>
      <w:color w:val="3349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626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626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626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626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0E5" w:themeFill="accent5" w:themeFillTint="33"/>
      </w:tcPr>
    </w:tblStylePr>
    <w:tblStylePr w:type="band1Horz">
      <w:tblPr/>
      <w:tcPr>
        <w:shd w:val="clear" w:color="auto" w:fill="D5E0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EF8"/>
    <w:rPr>
      <w:color w:val="1528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36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36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36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36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3D3ED" w:themeFill="accent6" w:themeFillTint="33"/>
      </w:tcPr>
    </w:tblStylePr>
    <w:tblStylePr w:type="band1Horz">
      <w:tblPr/>
      <w:tcPr>
        <w:shd w:val="clear" w:color="auto" w:fill="C3D3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jorHeadingChar">
    <w:name w:val="Major Heading Char"/>
    <w:basedOn w:val="Heading1Char"/>
    <w:link w:val="MajorHeading"/>
    <w:rsid w:val="002A4EF8"/>
    <w:rPr>
      <w:rFonts w:ascii="Arial" w:eastAsiaTheme="majorEastAsia" w:hAnsi="Arial" w:cstheme="majorBidi"/>
      <w:b/>
      <w:bCs/>
      <w:color w:val="1F688D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2A4EF8"/>
    <w:rPr>
      <w:color w:val="808080"/>
    </w:rPr>
  </w:style>
  <w:style w:type="paragraph" w:customStyle="1" w:styleId="TableFormat">
    <w:name w:val="Table Format"/>
    <w:basedOn w:val="Body"/>
    <w:next w:val="Body"/>
    <w:qFormat/>
    <w:rsid w:val="002A4EF8"/>
    <w:pPr>
      <w:spacing w:before="60" w:after="60" w:line="240" w:lineRule="auto"/>
    </w:pPr>
  </w:style>
  <w:style w:type="table" w:styleId="TableGrid">
    <w:name w:val="Table Grid"/>
    <w:basedOn w:val="TableNormal"/>
    <w:uiPriority w:val="39"/>
    <w:rsid w:val="002A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4E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2A4EF8"/>
    <w:pPr>
      <w:spacing w:before="60" w:after="60"/>
      <w:ind w:left="1418" w:right="567" w:hanging="1418"/>
    </w:pPr>
  </w:style>
  <w:style w:type="character" w:styleId="CommentReference">
    <w:name w:val="annotation reference"/>
    <w:basedOn w:val="DefaultParagraphFont"/>
    <w:uiPriority w:val="99"/>
    <w:semiHidden/>
    <w:unhideWhenUsed/>
    <w:rsid w:val="0070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E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E6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E6A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90B3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574F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74F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4F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A71C8E"/>
  </w:style>
  <w:style w:type="paragraph" w:styleId="Revision">
    <w:name w:val="Revision"/>
    <w:hidden/>
    <w:uiPriority w:val="99"/>
    <w:semiHidden/>
    <w:rsid w:val="00515027"/>
    <w:pPr>
      <w:spacing w:before="0" w:after="0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DB7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90361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174D69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vic.vic.gov.au/privacy/for-agencies/information-privacy-principl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enderequalitycommission.vic.gov.au/workplace-gender-equality-indicato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quiries@genderequalitycommission.vic.gov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aic.gov.au/privacy/australian-privacy-principles-guideli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65BC9F0-AD1C-4D7E-A168-4D9CA98970BE}">
    <t:Anchor>
      <t:Comment id="1181981063"/>
    </t:Anchor>
    <t:History>
      <t:Event id="{6582A258-7D73-4F20-A6AC-127C3BC7C2B3}" time="2021-03-18T23:44:41Z">
        <t:Attribution userId="S::stefani.cooper@genderequalitycommission.vic.gov.au::d62cbcd1-df91-430a-bde8-dc2f81b6bd37" userProvider="AD" userName="Stefani Cooper (CGEPS)"/>
        <t:Anchor>
          <t:Comment id="1181981063"/>
        </t:Anchor>
        <t:Create/>
      </t:Event>
      <t:Event id="{232365C8-4755-45C4-B21F-0E50F7B31579}" time="2021-03-18T23:44:41Z">
        <t:Attribution userId="S::stefani.cooper@genderequalitycommission.vic.gov.au::d62cbcd1-df91-430a-bde8-dc2f81b6bd37" userProvider="AD" userName="Stefani Cooper (CGEPS)"/>
        <t:Anchor>
          <t:Comment id="1181981063"/>
        </t:Anchor>
        <t:Assign userId="S::Margot.Paxman@genderequalitycommission.vic.gov.au::d551fb4c-1c8c-471a-95c6-f223115bdaf1" userProvider="AD" userName="Margot Paxman (CGEPS)"/>
      </t:Event>
      <t:Event id="{6B64EBFC-5D00-4BC5-A738-3A3D690AF561}" time="2021-03-18T23:44:41Z">
        <t:Attribution userId="S::stefani.cooper@genderequalitycommission.vic.gov.au::d62cbcd1-df91-430a-bde8-dc2f81b6bd37" userProvider="AD" userName="Stefani Cooper (CGEPS)"/>
        <t:Anchor>
          <t:Comment id="1181981063"/>
        </t:Anchor>
        <t:SetTitle title="@Margot Paxman (CGEPS) Hey, was just about to send this to Deakin and noticed this text box, I think it should be up in the intro section. What do you think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RC Report 3">
      <a:dk1>
        <a:sysClr val="windowText" lastClr="000000"/>
      </a:dk1>
      <a:lt1>
        <a:sysClr val="window" lastClr="FFFFFF"/>
      </a:lt1>
      <a:dk2>
        <a:srgbClr val="1C365F"/>
      </a:dk2>
      <a:lt2>
        <a:srgbClr val="E6ECEE"/>
      </a:lt2>
      <a:accent1>
        <a:srgbClr val="1F688D"/>
      </a:accent1>
      <a:accent2>
        <a:srgbClr val="5AC0E7"/>
      </a:accent2>
      <a:accent3>
        <a:srgbClr val="C0EDF8"/>
      </a:accent3>
      <a:accent4>
        <a:srgbClr val="1CC49B"/>
      </a:accent4>
      <a:accent5>
        <a:srgbClr val="44626F"/>
      </a:accent5>
      <a:accent6>
        <a:srgbClr val="1C365F"/>
      </a:accent6>
      <a:hlink>
        <a:srgbClr val="4B7CCA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2" ma:contentTypeDescription="Create a new document." ma:contentTypeScope="" ma:versionID="9be8f34154159b4335760a46b5483835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44b64c9e9d6435650cd38e7901d94c9b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5276-8E87-405B-A495-847ADA8FA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9595B-88E5-439B-BF40-1C726D7AC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7F434-E63E-4B81-B7D2-A6B860252EE7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EA4900A-D35F-4CC7-974F-D13AE7147259}">
  <ds:schemaRefs>
    <ds:schemaRef ds:uri="http://purl.org/dc/elements/1.1/"/>
    <ds:schemaRef ds:uri="http://schemas.openxmlformats.org/package/2006/metadata/core-properties"/>
    <ds:schemaRef ds:uri="50f00e27-c35f-46eb-9301-c9e2bd24673f"/>
    <ds:schemaRef ds:uri="http://purl.org/dc/dcmitype/"/>
    <ds:schemaRef ds:uri="5ce0f2b5-5be5-4508-bce9-d7011ece0659"/>
    <ds:schemaRef ds:uri="27cb37dd-16a1-4d7b-8276-5c0e4168f63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5953503-71A7-45A2-80E3-4937E3DD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3076</Words>
  <Characters>17534</Characters>
  <Application>Microsoft Office Word</Application>
  <DocSecurity>0</DocSecurity>
  <Lines>307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Links>
    <vt:vector size="84" baseType="variant">
      <vt:variant>
        <vt:i4>4653158</vt:i4>
      </vt:variant>
      <vt:variant>
        <vt:i4>75</vt:i4>
      </vt:variant>
      <vt:variant>
        <vt:i4>0</vt:i4>
      </vt:variant>
      <vt:variant>
        <vt:i4>5</vt:i4>
      </vt:variant>
      <vt:variant>
        <vt:lpwstr>mailto:enquiries@genderequalitycommission.vic.gov.au</vt:lpwstr>
      </vt:variant>
      <vt:variant>
        <vt:lpwstr/>
      </vt:variant>
      <vt:variant>
        <vt:i4>1966081</vt:i4>
      </vt:variant>
      <vt:variant>
        <vt:i4>69</vt:i4>
      </vt:variant>
      <vt:variant>
        <vt:i4>0</vt:i4>
      </vt:variant>
      <vt:variant>
        <vt:i4>5</vt:i4>
      </vt:variant>
      <vt:variant>
        <vt:lpwstr>http://www.oaic.gov.au/privacy/australian-privacy-principles-guidelines/</vt:lpwstr>
      </vt:variant>
      <vt:variant>
        <vt:lpwstr/>
      </vt:variant>
      <vt:variant>
        <vt:i4>852057</vt:i4>
      </vt:variant>
      <vt:variant>
        <vt:i4>66</vt:i4>
      </vt:variant>
      <vt:variant>
        <vt:i4>0</vt:i4>
      </vt:variant>
      <vt:variant>
        <vt:i4>5</vt:i4>
      </vt:variant>
      <vt:variant>
        <vt:lpwstr>https://ovic.vic.gov.au/privacy/for-agencies/information-privacy-principles/</vt:lpwstr>
      </vt:variant>
      <vt:variant>
        <vt:lpwstr/>
      </vt:variant>
      <vt:variant>
        <vt:i4>852058</vt:i4>
      </vt:variant>
      <vt:variant>
        <vt:i4>63</vt:i4>
      </vt:variant>
      <vt:variant>
        <vt:i4>0</vt:i4>
      </vt:variant>
      <vt:variant>
        <vt:i4>5</vt:i4>
      </vt:variant>
      <vt:variant>
        <vt:lpwstr>https://www.genderequalitycommission.vic.gov.au/workplace-gender-equality-indicators</vt:lpwstr>
      </vt:variant>
      <vt:variant>
        <vt:lpwstr/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_Toc131443325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_Toc131443324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_Toc131443323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_Toc131443322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_Toc131443321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_Toc131443319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_Toc131443318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_Toc131443317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_Toc131443314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_Toc131443302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Phillips</dc:creator>
  <cp:keywords/>
  <dc:description/>
  <cp:lastModifiedBy>Bryony Green</cp:lastModifiedBy>
  <cp:revision>2</cp:revision>
  <dcterms:created xsi:type="dcterms:W3CDTF">2023-04-04T02:14:00Z</dcterms:created>
  <dcterms:modified xsi:type="dcterms:W3CDTF">2023-04-04T02:14:00Z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GrammarlyDocumentId">
    <vt:lpwstr>5f88f79717793c13e9fd11f359177eaff644afb099fd7143dde5031a4fb6afe6</vt:lpwstr>
  </property>
  <property fmtid="{D5CDD505-2E9C-101B-9397-08002B2CF9AE}" pid="4" name="MediaServiceImageTags">
    <vt:lpwstr/>
  </property>
</Properties>
</file>