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EE5D3" w14:textId="339CE09F" w:rsidR="004B1295" w:rsidRPr="00C95105" w:rsidRDefault="00824C1F" w:rsidP="00EA372A">
      <w:pPr>
        <w:pStyle w:val="Title"/>
        <w:spacing w:before="0"/>
        <w:ind w:right="1655"/>
        <w:jc w:val="left"/>
        <w:rPr>
          <w:rFonts w:asciiTheme="minorHAnsi" w:eastAsia="Times New Roman" w:hAnsiTheme="minorHAnsi" w:cstheme="minorHAnsi"/>
          <w:b/>
          <w:bCs/>
          <w:color w:val="FFFFFF" w:themeColor="background1"/>
          <w:sz w:val="70"/>
          <w:szCs w:val="70"/>
          <w:lang w:eastAsia="en-GB"/>
        </w:rPr>
      </w:pPr>
      <w:r w:rsidRPr="00C95105">
        <w:rPr>
          <w:rFonts w:asciiTheme="minorHAnsi" w:hAnsiTheme="minorHAnsi" w:cstheme="minorHAnsi"/>
          <w:b/>
          <w:bCs/>
          <w:color w:val="FFFFFF" w:themeColor="background1"/>
          <w:sz w:val="70"/>
          <w:szCs w:val="70"/>
        </w:rPr>
        <w:t xml:space="preserve">What </w:t>
      </w:r>
      <w:r w:rsidR="00E115A4" w:rsidRPr="00C95105">
        <w:rPr>
          <w:rFonts w:asciiTheme="minorHAnsi" w:hAnsiTheme="minorHAnsi" w:cstheme="minorHAnsi"/>
          <w:b/>
          <w:bCs/>
          <w:color w:val="FFFFFF" w:themeColor="background1"/>
          <w:sz w:val="70"/>
          <w:szCs w:val="70"/>
        </w:rPr>
        <w:t>w</w:t>
      </w:r>
      <w:r w:rsidRPr="00C95105">
        <w:rPr>
          <w:rFonts w:asciiTheme="minorHAnsi" w:hAnsiTheme="minorHAnsi" w:cstheme="minorHAnsi"/>
          <w:b/>
          <w:bCs/>
          <w:color w:val="FFFFFF" w:themeColor="background1"/>
          <w:sz w:val="70"/>
          <w:szCs w:val="70"/>
        </w:rPr>
        <w:t>orks, what</w:t>
      </w:r>
      <w:r w:rsidR="00A60B14" w:rsidRPr="00C95105">
        <w:rPr>
          <w:rFonts w:asciiTheme="minorHAnsi" w:hAnsiTheme="minorHAnsi" w:cstheme="minorHAnsi"/>
          <w:b/>
          <w:bCs/>
          <w:color w:val="FFFFFF" w:themeColor="background1"/>
          <w:sz w:val="70"/>
          <w:szCs w:val="70"/>
        </w:rPr>
        <w:t>’</w:t>
      </w:r>
      <w:r w:rsidRPr="00C95105">
        <w:rPr>
          <w:rFonts w:asciiTheme="minorHAnsi" w:hAnsiTheme="minorHAnsi" w:cstheme="minorHAnsi"/>
          <w:b/>
          <w:bCs/>
          <w:color w:val="FFFFFF" w:themeColor="background1"/>
          <w:sz w:val="70"/>
          <w:szCs w:val="70"/>
        </w:rPr>
        <w:t>s fair?</w:t>
      </w:r>
    </w:p>
    <w:p w14:paraId="0C91EB6B" w14:textId="0B6C6BAB" w:rsidR="00356679" w:rsidRPr="00C95105" w:rsidRDefault="00824C1F" w:rsidP="00EA372A">
      <w:pPr>
        <w:pStyle w:val="Title"/>
        <w:spacing w:before="0"/>
        <w:ind w:right="1655"/>
        <w:jc w:val="left"/>
        <w:rPr>
          <w:rFonts w:asciiTheme="minorHAnsi" w:eastAsia="Times New Roman" w:hAnsiTheme="minorHAnsi" w:cstheme="minorHAnsi"/>
          <w:b/>
          <w:color w:val="FFFFFF" w:themeColor="background1"/>
          <w:sz w:val="24"/>
          <w:szCs w:val="24"/>
          <w:lang w:eastAsia="en-GB"/>
        </w:rPr>
      </w:pPr>
      <w:r w:rsidRPr="00C95105">
        <w:rPr>
          <w:rFonts w:asciiTheme="minorHAnsi" w:hAnsiTheme="minorHAnsi" w:cstheme="minorHAnsi"/>
          <w:color w:val="FFFFFF" w:themeColor="background1"/>
        </w:rPr>
        <w:t>Using systematic reviews to build the evidence base on strategies to increase gender equality in the public sector</w:t>
      </w:r>
    </w:p>
    <w:p w14:paraId="5C32C484" w14:textId="77777777" w:rsidR="00893CD9" w:rsidRPr="00C95105" w:rsidRDefault="00893CD9">
      <w:pPr>
        <w:rPr>
          <w:rFonts w:asciiTheme="minorHAnsi" w:hAnsiTheme="minorHAnsi" w:cstheme="minorHAnsi"/>
          <w:b/>
          <w:color w:val="FFFFFF" w:themeColor="background1"/>
        </w:rPr>
      </w:pPr>
    </w:p>
    <w:p w14:paraId="4B5D053D" w14:textId="6B1CC99A" w:rsidR="00250AD0" w:rsidRPr="00C95105" w:rsidRDefault="00250AD0" w:rsidP="00893CD9">
      <w:pPr>
        <w:spacing w:line="360" w:lineRule="auto"/>
        <w:rPr>
          <w:rFonts w:asciiTheme="minorHAnsi" w:hAnsiTheme="minorHAnsi" w:cstheme="minorHAnsi"/>
          <w:b/>
          <w:bCs/>
          <w:color w:val="FFFFFF" w:themeColor="background1"/>
          <w:sz w:val="28"/>
          <w:szCs w:val="28"/>
        </w:rPr>
      </w:pPr>
    </w:p>
    <w:p w14:paraId="668122E2" w14:textId="77777777" w:rsidR="00482EEB" w:rsidRPr="00C95105" w:rsidRDefault="00482EEB" w:rsidP="00893CD9">
      <w:pPr>
        <w:spacing w:line="360" w:lineRule="auto"/>
        <w:rPr>
          <w:rFonts w:asciiTheme="minorHAnsi" w:hAnsiTheme="minorHAnsi" w:cstheme="minorHAnsi"/>
          <w:b/>
          <w:bCs/>
          <w:color w:val="000000" w:themeColor="text1"/>
          <w:sz w:val="28"/>
          <w:szCs w:val="28"/>
        </w:rPr>
      </w:pPr>
    </w:p>
    <w:p w14:paraId="69F039DA" w14:textId="77777777" w:rsidR="00482EEB" w:rsidRPr="00C95105" w:rsidRDefault="00482EEB" w:rsidP="00893CD9">
      <w:pPr>
        <w:spacing w:line="360" w:lineRule="auto"/>
        <w:rPr>
          <w:rFonts w:asciiTheme="minorHAnsi" w:hAnsiTheme="minorHAnsi" w:cstheme="minorHAnsi"/>
          <w:b/>
          <w:bCs/>
          <w:color w:val="000000" w:themeColor="text1"/>
          <w:sz w:val="28"/>
          <w:szCs w:val="28"/>
        </w:rPr>
      </w:pPr>
    </w:p>
    <w:p w14:paraId="22A9DE69" w14:textId="3BCEE36C" w:rsidR="00893CD9" w:rsidRPr="005214F3" w:rsidRDefault="00893CD9" w:rsidP="00893CD9">
      <w:pPr>
        <w:spacing w:line="360" w:lineRule="auto"/>
        <w:rPr>
          <w:rFonts w:asciiTheme="minorHAnsi" w:hAnsiTheme="minorHAnsi" w:cstheme="minorHAnsi"/>
          <w:color w:val="000000" w:themeColor="text1"/>
          <w:sz w:val="28"/>
          <w:szCs w:val="28"/>
        </w:rPr>
      </w:pPr>
      <w:r w:rsidRPr="005214F3">
        <w:rPr>
          <w:rFonts w:asciiTheme="minorHAnsi" w:hAnsiTheme="minorHAnsi" w:cstheme="minorHAnsi"/>
          <w:b/>
          <w:bCs/>
          <w:color w:val="2F5496" w:themeColor="accent1" w:themeShade="BF"/>
          <w:sz w:val="28"/>
          <w:szCs w:val="28"/>
        </w:rPr>
        <w:t xml:space="preserve">Authors: </w:t>
      </w:r>
      <w:r w:rsidR="005178C0" w:rsidRPr="005214F3">
        <w:rPr>
          <w:rFonts w:asciiTheme="minorHAnsi" w:hAnsiTheme="minorHAnsi" w:cstheme="minorHAnsi"/>
          <w:noProof/>
          <w:color w:val="000000" w:themeColor="text1"/>
          <w:sz w:val="28"/>
          <w:szCs w:val="28"/>
        </w:rPr>
        <mc:AlternateContent>
          <mc:Choice Requires="wps">
            <w:drawing>
              <wp:anchor distT="0" distB="0" distL="114300" distR="114300" simplePos="0" relativeHeight="251657217" behindDoc="1" locked="1" layoutInCell="1" allowOverlap="1" wp14:anchorId="1E8DCBA5" wp14:editId="0EFC13D9">
                <wp:simplePos x="0" y="0"/>
                <wp:positionH relativeFrom="page">
                  <wp:posOffset>-755015</wp:posOffset>
                </wp:positionH>
                <wp:positionV relativeFrom="page">
                  <wp:posOffset>-560070</wp:posOffset>
                </wp:positionV>
                <wp:extent cx="8854440" cy="4507865"/>
                <wp:effectExtent l="0" t="0" r="0" b="635"/>
                <wp:wrapNone/>
                <wp:docPr id="74"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854440" cy="4507865"/>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4E36B" id="Divider A BG" o:spid="_x0000_s1026" alt="&quot;&quot;" style="position:absolute;margin-left:-59.45pt;margin-top:-44.1pt;width:697.2pt;height:354.9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" fillcolor="#1c407f" stroked="f" strokeweight="1pt">
                <o:lock v:ext="edit" aspectratio="t"/>
                <w10:wrap anchorx="page" anchory="page"/>
                <w10:anchorlock/>
              </v:rect>
            </w:pict>
          </mc:Fallback>
        </mc:AlternateContent>
      </w:r>
    </w:p>
    <w:p w14:paraId="69C62F8B" w14:textId="4E9F12BD" w:rsidR="00893CD9" w:rsidRPr="00C95105" w:rsidRDefault="00893CD9" w:rsidP="00893CD9">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Dr Victor Sojo, The University of Melbourne</w:t>
      </w:r>
    </w:p>
    <w:p w14:paraId="1604CC13" w14:textId="06FF60AB" w:rsidR="00893CD9" w:rsidRPr="00C95105" w:rsidRDefault="00893CD9" w:rsidP="00893CD9">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Prof Michelle Ryan</w:t>
      </w:r>
      <w:r w:rsidR="007A2D5B" w:rsidRPr="00C95105">
        <w:rPr>
          <w:rFonts w:asciiTheme="minorHAnsi" w:hAnsiTheme="minorHAnsi" w:cstheme="minorHAnsi"/>
          <w:color w:val="000000" w:themeColor="text1"/>
          <w:sz w:val="28"/>
          <w:szCs w:val="28"/>
        </w:rPr>
        <w:t>,</w:t>
      </w:r>
      <w:r w:rsidRPr="00C95105">
        <w:rPr>
          <w:rFonts w:asciiTheme="minorHAnsi" w:hAnsiTheme="minorHAnsi" w:cstheme="minorHAnsi"/>
          <w:color w:val="000000" w:themeColor="text1"/>
          <w:sz w:val="28"/>
          <w:szCs w:val="28"/>
        </w:rPr>
        <w:t xml:space="preserve"> The Australian National University</w:t>
      </w:r>
    </w:p>
    <w:p w14:paraId="731AD9AF" w14:textId="4267E3F1" w:rsidR="00893CD9" w:rsidRPr="00C95105" w:rsidRDefault="00893CD9" w:rsidP="00893CD9">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Prof Cordelia Fine, The University of Melbourne</w:t>
      </w:r>
    </w:p>
    <w:p w14:paraId="6E943567" w14:textId="03BD77E3" w:rsidR="00893CD9" w:rsidRPr="00C95105" w:rsidRDefault="000D04C6" w:rsidP="00893CD9">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Dr Melissa Wheeler, Swinburne University of Technology</w:t>
      </w:r>
    </w:p>
    <w:p w14:paraId="0DF5966C" w14:textId="0ED923EC" w:rsidR="000D04C6" w:rsidRPr="00C95105" w:rsidRDefault="000D04C6" w:rsidP="00893CD9">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 xml:space="preserve">Dr Melanie McGrath, The University of </w:t>
      </w:r>
      <w:r w:rsidR="005B52E4" w:rsidRPr="00C95105">
        <w:rPr>
          <w:rFonts w:asciiTheme="minorHAnsi" w:hAnsiTheme="minorHAnsi" w:cstheme="minorHAnsi"/>
          <w:color w:val="000000" w:themeColor="text1"/>
          <w:sz w:val="28"/>
          <w:szCs w:val="28"/>
        </w:rPr>
        <w:t>Melbourne</w:t>
      </w:r>
    </w:p>
    <w:p w14:paraId="0C2E961B" w14:textId="550669BB" w:rsidR="004324FD" w:rsidRPr="00C95105" w:rsidRDefault="004324FD" w:rsidP="004324FD">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Dr Miriam Glennie, The Australian National University</w:t>
      </w:r>
    </w:p>
    <w:p w14:paraId="74EB133D" w14:textId="4C7DC366" w:rsidR="005B52E4" w:rsidRPr="00C95105" w:rsidRDefault="004324FD" w:rsidP="00893CD9">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Dr Victoria Roberts, The University of Melbourne</w:t>
      </w:r>
    </w:p>
    <w:p w14:paraId="3700FC0E" w14:textId="53DA889E" w:rsidR="009E6EAC" w:rsidRPr="00C95105" w:rsidRDefault="009E6EAC" w:rsidP="009E6EAC">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PhD Candidate Lindsie Arthur, The University of Melbourne</w:t>
      </w:r>
    </w:p>
    <w:p w14:paraId="4CEBB0EB" w14:textId="11D62F22" w:rsidR="009E6EAC" w:rsidRPr="00C95105" w:rsidRDefault="009E6EAC" w:rsidP="009E6EAC">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PhD Candidate Rachael Hadoux, The University of Melbourne</w:t>
      </w:r>
    </w:p>
    <w:p w14:paraId="79380D5B" w14:textId="1E6FBB0F" w:rsidR="009E6EAC" w:rsidRPr="00C95105" w:rsidRDefault="009E6EAC" w:rsidP="009E6EAC">
      <w:pPr>
        <w:spacing w:line="360" w:lineRule="auto"/>
        <w:rPr>
          <w:rFonts w:asciiTheme="minorHAnsi" w:hAnsiTheme="minorHAnsi" w:cstheme="minorHAnsi"/>
          <w:color w:val="000000" w:themeColor="text1"/>
          <w:sz w:val="28"/>
          <w:szCs w:val="28"/>
        </w:rPr>
      </w:pPr>
      <w:r w:rsidRPr="00C95105">
        <w:rPr>
          <w:rFonts w:asciiTheme="minorHAnsi" w:hAnsiTheme="minorHAnsi" w:cstheme="minorHAnsi"/>
          <w:color w:val="000000" w:themeColor="text1"/>
          <w:sz w:val="28"/>
          <w:szCs w:val="28"/>
        </w:rPr>
        <w:t>PhD Candidate Kate Western, The Australian National University</w:t>
      </w:r>
    </w:p>
    <w:p w14:paraId="4DCD2D10" w14:textId="7E71ADC9" w:rsidR="007154DA" w:rsidRPr="00C95105" w:rsidRDefault="007154DA" w:rsidP="009E6EAC">
      <w:pPr>
        <w:spacing w:line="360" w:lineRule="auto"/>
        <w:rPr>
          <w:rFonts w:asciiTheme="minorHAnsi" w:hAnsiTheme="minorHAnsi" w:cstheme="minorHAnsi"/>
          <w:color w:val="000000" w:themeColor="text1"/>
          <w:sz w:val="28"/>
          <w:szCs w:val="28"/>
        </w:rPr>
      </w:pPr>
    </w:p>
    <w:p w14:paraId="511BEEEB" w14:textId="77777777" w:rsidR="007154DA" w:rsidRPr="00C95105" w:rsidRDefault="007154DA" w:rsidP="009E6EAC">
      <w:pPr>
        <w:spacing w:line="360" w:lineRule="auto"/>
        <w:rPr>
          <w:rFonts w:asciiTheme="minorHAnsi" w:hAnsiTheme="minorHAnsi" w:cstheme="minorHAnsi"/>
          <w:color w:val="000000" w:themeColor="text1"/>
          <w:sz w:val="28"/>
          <w:szCs w:val="28"/>
        </w:rPr>
      </w:pPr>
    </w:p>
    <w:p w14:paraId="24040100" w14:textId="5D951A47" w:rsidR="004324FD" w:rsidRPr="00C95105" w:rsidRDefault="00DE3320" w:rsidP="00893CD9">
      <w:pPr>
        <w:spacing w:line="360" w:lineRule="auto"/>
        <w:rPr>
          <w:rFonts w:asciiTheme="minorHAnsi" w:hAnsiTheme="minorHAnsi" w:cstheme="minorHAnsi"/>
          <w:sz w:val="28"/>
          <w:szCs w:val="28"/>
        </w:rPr>
      </w:pPr>
      <w:r w:rsidRPr="00C95105">
        <w:rPr>
          <w:rFonts w:asciiTheme="minorHAnsi" w:hAnsiTheme="minorHAnsi" w:cstheme="minorHAnsi"/>
          <w:noProof/>
          <w:sz w:val="28"/>
          <w:szCs w:val="28"/>
        </w:rPr>
        <w:drawing>
          <wp:inline distT="0" distB="0" distL="0" distR="0" wp14:anchorId="7888717A" wp14:editId="779233D6">
            <wp:extent cx="1073888" cy="1073888"/>
            <wp:effectExtent l="0" t="0" r="5715" b="5715"/>
            <wp:docPr id="135" name="Picture 135" descr="The University of Melbourn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The University of Melbourne logo&#10;&#10;"/>
                    <pic:cNvPicPr/>
                  </pic:nvPicPr>
                  <pic:blipFill>
                    <a:blip r:embed="rId11"/>
                    <a:stretch>
                      <a:fillRect/>
                    </a:stretch>
                  </pic:blipFill>
                  <pic:spPr>
                    <a:xfrm>
                      <a:off x="0" y="0"/>
                      <a:ext cx="1093043" cy="1093043"/>
                    </a:xfrm>
                    <a:prstGeom prst="rect">
                      <a:avLst/>
                    </a:prstGeom>
                  </pic:spPr>
                </pic:pic>
              </a:graphicData>
            </a:graphic>
          </wp:inline>
        </w:drawing>
      </w:r>
      <w:r w:rsidR="00AA12CE" w:rsidRPr="00C95105">
        <w:rPr>
          <w:rFonts w:asciiTheme="minorHAnsi" w:hAnsiTheme="minorHAnsi" w:cstheme="minorHAnsi"/>
        </w:rPr>
        <w:t xml:space="preserve"> </w:t>
      </w:r>
      <w:r w:rsidR="00AA12CE" w:rsidRPr="00C95105">
        <w:rPr>
          <w:rFonts w:asciiTheme="minorHAnsi" w:hAnsiTheme="minorHAnsi" w:cstheme="minorHAnsi"/>
          <w:noProof/>
          <w:sz w:val="28"/>
          <w:szCs w:val="28"/>
        </w:rPr>
        <w:drawing>
          <wp:inline distT="0" distB="0" distL="0" distR="0" wp14:anchorId="6D2E95B4" wp14:editId="3EDB87F0">
            <wp:extent cx="1945758" cy="1066867"/>
            <wp:effectExtent l="0" t="0" r="0" b="0"/>
            <wp:docPr id="136" name="Picture 136" descr="The Australian Nationa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he Australian National University logo"/>
                    <pic:cNvPicPr/>
                  </pic:nvPicPr>
                  <pic:blipFill>
                    <a:blip r:embed="rId12"/>
                    <a:stretch>
                      <a:fillRect/>
                    </a:stretch>
                  </pic:blipFill>
                  <pic:spPr>
                    <a:xfrm>
                      <a:off x="0" y="0"/>
                      <a:ext cx="2008041" cy="1101017"/>
                    </a:xfrm>
                    <a:prstGeom prst="rect">
                      <a:avLst/>
                    </a:prstGeom>
                  </pic:spPr>
                </pic:pic>
              </a:graphicData>
            </a:graphic>
          </wp:inline>
        </w:drawing>
      </w:r>
      <w:r w:rsidR="007154DA" w:rsidRPr="00C95105">
        <w:rPr>
          <w:rFonts w:asciiTheme="minorHAnsi" w:hAnsiTheme="minorHAnsi" w:cstheme="minorHAnsi"/>
        </w:rPr>
        <w:t xml:space="preserve"> </w:t>
      </w:r>
      <w:r w:rsidR="007154DA" w:rsidRPr="00C95105">
        <w:rPr>
          <w:rFonts w:asciiTheme="minorHAnsi" w:hAnsiTheme="minorHAnsi" w:cstheme="minorHAnsi"/>
          <w:noProof/>
        </w:rPr>
        <w:drawing>
          <wp:inline distT="0" distB="0" distL="0" distR="0" wp14:anchorId="2DD32572" wp14:editId="06FACAF2">
            <wp:extent cx="1977573" cy="1001055"/>
            <wp:effectExtent l="0" t="0" r="3810" b="2540"/>
            <wp:docPr id="137" name="Picture 137" descr="Swinburne University of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Swinburne University of Technology logo"/>
                    <pic:cNvPicPr/>
                  </pic:nvPicPr>
                  <pic:blipFill>
                    <a:blip r:embed="rId13"/>
                    <a:stretch>
                      <a:fillRect/>
                    </a:stretch>
                  </pic:blipFill>
                  <pic:spPr>
                    <a:xfrm>
                      <a:off x="0" y="0"/>
                      <a:ext cx="2035233" cy="1030243"/>
                    </a:xfrm>
                    <a:prstGeom prst="rect">
                      <a:avLst/>
                    </a:prstGeom>
                  </pic:spPr>
                </pic:pic>
              </a:graphicData>
            </a:graphic>
          </wp:inline>
        </w:drawing>
      </w:r>
    </w:p>
    <w:p w14:paraId="051DD8A2" w14:textId="195F5135" w:rsidR="003D0B42" w:rsidRPr="000519EC" w:rsidRDefault="003D0B42" w:rsidP="003D0B42">
      <w:pPr>
        <w:spacing w:line="360" w:lineRule="auto"/>
        <w:rPr>
          <w:rFonts w:asciiTheme="minorHAnsi" w:hAnsiTheme="minorHAnsi" w:cstheme="minorHAnsi"/>
          <w:b/>
          <w:bCs/>
          <w:color w:val="FFFFFF" w:themeColor="background1"/>
          <w:sz w:val="28"/>
          <w:szCs w:val="28"/>
        </w:rPr>
      </w:pPr>
      <w:r w:rsidRPr="000519EC">
        <w:rPr>
          <w:rFonts w:asciiTheme="minorHAnsi" w:hAnsiTheme="minorHAnsi" w:cstheme="minorHAnsi"/>
          <w:b/>
          <w:bCs/>
          <w:color w:val="FFFFFF" w:themeColor="background1"/>
          <w:sz w:val="28"/>
          <w:szCs w:val="28"/>
        </w:rPr>
        <w:lastRenderedPageBreak/>
        <w:t>How to cite this document:</w:t>
      </w:r>
    </w:p>
    <w:p w14:paraId="650C607E" w14:textId="77777777" w:rsidR="003D0B42" w:rsidRPr="000519EC" w:rsidRDefault="003D0B42" w:rsidP="003D0B42">
      <w:pPr>
        <w:autoSpaceDE w:val="0"/>
        <w:autoSpaceDN w:val="0"/>
        <w:adjustRightInd w:val="0"/>
        <w:rPr>
          <w:rFonts w:asciiTheme="minorHAnsi" w:eastAsiaTheme="minorHAnsi" w:hAnsiTheme="minorHAnsi" w:cstheme="minorHAnsi"/>
          <w:b/>
          <w:bCs/>
          <w:color w:val="FFFFFF" w:themeColor="background1"/>
          <w:lang w:eastAsia="en-US"/>
        </w:rPr>
      </w:pPr>
    </w:p>
    <w:p w14:paraId="26DEB0F8" w14:textId="21ECF541" w:rsidR="003D0B42" w:rsidRPr="000519EC" w:rsidRDefault="003D0B42" w:rsidP="009B126D">
      <w:pPr>
        <w:autoSpaceDE w:val="0"/>
        <w:autoSpaceDN w:val="0"/>
        <w:adjustRightInd w:val="0"/>
        <w:ind w:right="-46"/>
        <w:rPr>
          <w:rFonts w:asciiTheme="minorHAnsi" w:eastAsiaTheme="minorHAnsi" w:hAnsiTheme="minorHAnsi" w:cstheme="minorHAnsi"/>
          <w:i/>
          <w:iCs/>
          <w:color w:val="FFFFFF" w:themeColor="background1"/>
          <w:lang w:eastAsia="en-US"/>
        </w:rPr>
      </w:pPr>
      <w:r w:rsidRPr="000519EC">
        <w:rPr>
          <w:rFonts w:asciiTheme="minorHAnsi" w:eastAsiaTheme="minorHAnsi" w:hAnsiTheme="minorHAnsi" w:cstheme="minorHAnsi"/>
          <w:color w:val="FFFFFF" w:themeColor="background1"/>
          <w:lang w:eastAsia="en-US"/>
        </w:rPr>
        <w:t xml:space="preserve">Sojo, V., Ryan, M., Fine, C., Wheeler, M., McGrath, M., </w:t>
      </w:r>
      <w:r w:rsidR="00DA4C06" w:rsidRPr="00DA4C06">
        <w:rPr>
          <w:rFonts w:asciiTheme="minorHAnsi" w:eastAsiaTheme="minorHAnsi" w:hAnsiTheme="minorHAnsi" w:cstheme="minorHAnsi"/>
          <w:color w:val="FFFFFF" w:themeColor="background1"/>
          <w:lang w:eastAsia="en-US"/>
        </w:rPr>
        <w:t>Glennie</w:t>
      </w:r>
      <w:r w:rsidR="00DA4C06">
        <w:rPr>
          <w:rFonts w:asciiTheme="minorHAnsi" w:eastAsiaTheme="minorHAnsi" w:hAnsiTheme="minorHAnsi" w:cstheme="minorHAnsi"/>
          <w:color w:val="FFFFFF" w:themeColor="background1"/>
          <w:lang w:eastAsia="en-US"/>
        </w:rPr>
        <w:t xml:space="preserve">, M., </w:t>
      </w:r>
      <w:r w:rsidRPr="000519EC">
        <w:rPr>
          <w:rFonts w:asciiTheme="minorHAnsi" w:eastAsiaTheme="minorHAnsi" w:hAnsiTheme="minorHAnsi" w:cstheme="minorHAnsi"/>
          <w:color w:val="FFFFFF" w:themeColor="background1"/>
          <w:lang w:eastAsia="en-US"/>
        </w:rPr>
        <w:t>Roberts, V., Arthur, L., Hadoux, R., &amp; Western, K. (202</w:t>
      </w:r>
      <w:r w:rsidR="004375CB">
        <w:rPr>
          <w:rFonts w:asciiTheme="minorHAnsi" w:eastAsiaTheme="minorHAnsi" w:hAnsiTheme="minorHAnsi" w:cstheme="minorHAnsi"/>
          <w:color w:val="FFFFFF" w:themeColor="background1"/>
          <w:lang w:eastAsia="en-US"/>
        </w:rPr>
        <w:t>2</w:t>
      </w:r>
      <w:r w:rsidRPr="000519EC">
        <w:rPr>
          <w:rFonts w:asciiTheme="minorHAnsi" w:eastAsiaTheme="minorHAnsi" w:hAnsiTheme="minorHAnsi" w:cstheme="minorHAnsi"/>
          <w:color w:val="FFFFFF" w:themeColor="background1"/>
          <w:lang w:eastAsia="en-US"/>
        </w:rPr>
        <w:t xml:space="preserve">). </w:t>
      </w:r>
      <w:r w:rsidRPr="000519EC">
        <w:rPr>
          <w:rFonts w:asciiTheme="minorHAnsi" w:eastAsiaTheme="minorHAnsi" w:hAnsiTheme="minorHAnsi" w:cstheme="minorHAnsi"/>
          <w:i/>
          <w:iCs/>
          <w:color w:val="FFFFFF" w:themeColor="background1"/>
          <w:lang w:eastAsia="en-US"/>
        </w:rPr>
        <w:t xml:space="preserve">What works, what’s fair? Using systematic reviews to build the evidence base on strategies to increase gender equality in the public sector. </w:t>
      </w:r>
      <w:r w:rsidRPr="000519EC">
        <w:rPr>
          <w:rFonts w:asciiTheme="minorHAnsi" w:eastAsiaTheme="minorHAnsi" w:hAnsiTheme="minorHAnsi" w:cstheme="minorHAnsi"/>
          <w:color w:val="FFFFFF" w:themeColor="background1"/>
          <w:lang w:eastAsia="en-US"/>
        </w:rPr>
        <w:t>Melbourne, Australia: The University of Melbourne, The Australian National University, and Swinburne University of Technology. DOI: 10.6084/m9.figshare.19243536</w:t>
      </w:r>
    </w:p>
    <w:p w14:paraId="4837E2D9" w14:textId="4103131E" w:rsidR="003D0B42" w:rsidRPr="000519EC" w:rsidRDefault="003D0B42" w:rsidP="003D0B42">
      <w:pPr>
        <w:autoSpaceDE w:val="0"/>
        <w:autoSpaceDN w:val="0"/>
        <w:adjustRightInd w:val="0"/>
        <w:rPr>
          <w:rFonts w:asciiTheme="minorHAnsi" w:eastAsiaTheme="minorHAnsi" w:hAnsiTheme="minorHAnsi" w:cstheme="minorHAnsi"/>
          <w:color w:val="FFFFFF" w:themeColor="background1"/>
          <w:lang w:eastAsia="en-US"/>
        </w:rPr>
      </w:pPr>
    </w:p>
    <w:p w14:paraId="230686FC" w14:textId="77777777" w:rsidR="003D0B42" w:rsidRPr="000519EC" w:rsidRDefault="003D0B42" w:rsidP="003D0B42">
      <w:pPr>
        <w:autoSpaceDE w:val="0"/>
        <w:autoSpaceDN w:val="0"/>
        <w:adjustRightInd w:val="0"/>
        <w:rPr>
          <w:rFonts w:asciiTheme="minorHAnsi" w:eastAsiaTheme="minorHAnsi" w:hAnsiTheme="minorHAnsi" w:cstheme="minorHAnsi"/>
          <w:color w:val="FFFFFF" w:themeColor="background1"/>
          <w:lang w:eastAsia="en-US"/>
        </w:rPr>
      </w:pPr>
    </w:p>
    <w:p w14:paraId="4C753774" w14:textId="2D4CCD65" w:rsidR="003D0B42" w:rsidRPr="000519EC" w:rsidRDefault="003D0B42" w:rsidP="003D0B42">
      <w:pPr>
        <w:spacing w:line="360" w:lineRule="auto"/>
        <w:rPr>
          <w:rFonts w:asciiTheme="minorHAnsi" w:hAnsiTheme="minorHAnsi" w:cstheme="minorHAnsi"/>
          <w:b/>
          <w:bCs/>
          <w:color w:val="FFFFFF" w:themeColor="background1"/>
          <w:sz w:val="28"/>
          <w:szCs w:val="28"/>
        </w:rPr>
      </w:pPr>
      <w:r w:rsidRPr="000519EC">
        <w:rPr>
          <w:rFonts w:asciiTheme="minorHAnsi" w:hAnsiTheme="minorHAnsi" w:cstheme="minorHAnsi"/>
          <w:b/>
          <w:bCs/>
          <w:color w:val="FFFFFF" w:themeColor="background1"/>
          <w:sz w:val="28"/>
          <w:szCs w:val="28"/>
        </w:rPr>
        <w:t>Contact:</w:t>
      </w:r>
    </w:p>
    <w:p w14:paraId="47DD490A" w14:textId="77777777" w:rsidR="003D0B42" w:rsidRPr="000519EC" w:rsidRDefault="003D0B42" w:rsidP="003D0B42">
      <w:pPr>
        <w:autoSpaceDE w:val="0"/>
        <w:autoSpaceDN w:val="0"/>
        <w:adjustRightInd w:val="0"/>
        <w:rPr>
          <w:rFonts w:asciiTheme="minorHAnsi" w:eastAsiaTheme="minorHAnsi" w:hAnsiTheme="minorHAnsi" w:cstheme="minorHAnsi"/>
          <w:color w:val="FFFFFF" w:themeColor="background1"/>
          <w:lang w:eastAsia="en-US"/>
        </w:rPr>
      </w:pPr>
      <w:r w:rsidRPr="000519EC">
        <w:rPr>
          <w:rFonts w:asciiTheme="minorHAnsi" w:eastAsiaTheme="minorHAnsi" w:hAnsiTheme="minorHAnsi" w:cstheme="minorHAnsi"/>
          <w:color w:val="FFFFFF" w:themeColor="background1"/>
          <w:lang w:eastAsia="en-US"/>
        </w:rPr>
        <w:t>Dr Victor Sojo</w:t>
      </w:r>
    </w:p>
    <w:p w14:paraId="0F47CDB1" w14:textId="77777777" w:rsidR="003D0B42" w:rsidRPr="000519EC" w:rsidRDefault="003D0B42" w:rsidP="003D0B42">
      <w:pPr>
        <w:autoSpaceDE w:val="0"/>
        <w:autoSpaceDN w:val="0"/>
        <w:adjustRightInd w:val="0"/>
        <w:rPr>
          <w:rFonts w:asciiTheme="minorHAnsi" w:eastAsiaTheme="minorHAnsi" w:hAnsiTheme="minorHAnsi" w:cstheme="minorHAnsi"/>
          <w:color w:val="FFFFFF" w:themeColor="background1"/>
          <w:lang w:eastAsia="en-US"/>
        </w:rPr>
      </w:pPr>
      <w:r w:rsidRPr="000519EC">
        <w:rPr>
          <w:rFonts w:asciiTheme="minorHAnsi" w:eastAsiaTheme="minorHAnsi" w:hAnsiTheme="minorHAnsi" w:cstheme="minorHAnsi"/>
          <w:color w:val="FFFFFF" w:themeColor="background1"/>
          <w:lang w:eastAsia="en-US"/>
        </w:rPr>
        <w:t>The University of Melbourne</w:t>
      </w:r>
    </w:p>
    <w:p w14:paraId="50AAB699" w14:textId="77777777" w:rsidR="003D0B42" w:rsidRPr="000519EC" w:rsidRDefault="003D0B42" w:rsidP="003D0B42">
      <w:pPr>
        <w:autoSpaceDE w:val="0"/>
        <w:autoSpaceDN w:val="0"/>
        <w:adjustRightInd w:val="0"/>
        <w:rPr>
          <w:rFonts w:asciiTheme="minorHAnsi" w:eastAsiaTheme="minorHAnsi" w:hAnsiTheme="minorHAnsi" w:cstheme="minorHAnsi"/>
          <w:color w:val="FFFFFF" w:themeColor="background1"/>
          <w:lang w:eastAsia="en-US"/>
        </w:rPr>
      </w:pPr>
      <w:r w:rsidRPr="000519EC">
        <w:rPr>
          <w:rFonts w:asciiTheme="minorHAnsi" w:eastAsiaTheme="minorHAnsi" w:hAnsiTheme="minorHAnsi" w:cstheme="minorHAnsi"/>
          <w:color w:val="FFFFFF" w:themeColor="background1"/>
          <w:lang w:eastAsia="en-US"/>
        </w:rPr>
        <w:t>Parkville 3010, VIC</w:t>
      </w:r>
    </w:p>
    <w:p w14:paraId="402BE75F" w14:textId="77777777" w:rsidR="003D0B42" w:rsidRPr="000519EC" w:rsidRDefault="003D0B42" w:rsidP="003D0B42">
      <w:pPr>
        <w:autoSpaceDE w:val="0"/>
        <w:autoSpaceDN w:val="0"/>
        <w:adjustRightInd w:val="0"/>
        <w:rPr>
          <w:rFonts w:asciiTheme="minorHAnsi" w:eastAsiaTheme="minorHAnsi" w:hAnsiTheme="minorHAnsi" w:cstheme="minorHAnsi"/>
          <w:color w:val="FFFFFF" w:themeColor="background1"/>
          <w:lang w:eastAsia="en-US"/>
        </w:rPr>
      </w:pPr>
      <w:r w:rsidRPr="000519EC">
        <w:rPr>
          <w:rFonts w:asciiTheme="minorHAnsi" w:eastAsiaTheme="minorHAnsi" w:hAnsiTheme="minorHAnsi" w:cstheme="minorHAnsi"/>
          <w:color w:val="FFFFFF" w:themeColor="background1"/>
          <w:lang w:eastAsia="en-US"/>
        </w:rPr>
        <w:t>+61 3 9035 3553</w:t>
      </w:r>
    </w:p>
    <w:p w14:paraId="6F57EE8B" w14:textId="77777777" w:rsidR="003D0B42" w:rsidRPr="000519EC" w:rsidRDefault="003D0B42" w:rsidP="003D0B42">
      <w:pPr>
        <w:rPr>
          <w:rFonts w:asciiTheme="minorHAnsi" w:hAnsiTheme="minorHAnsi" w:cstheme="minorHAnsi"/>
          <w:color w:val="FFFFFF" w:themeColor="background1"/>
          <w:lang w:eastAsia="en-US"/>
        </w:rPr>
      </w:pPr>
      <w:r w:rsidRPr="000519EC">
        <w:rPr>
          <w:rFonts w:asciiTheme="minorHAnsi" w:eastAsiaTheme="minorHAnsi" w:hAnsiTheme="minorHAnsi" w:cstheme="minorHAnsi"/>
          <w:color w:val="FFFFFF" w:themeColor="background1"/>
          <w:lang w:eastAsia="en-US"/>
        </w:rPr>
        <w:t>vesojo@unimelb.edu.au</w:t>
      </w:r>
    </w:p>
    <w:p w14:paraId="639FD0E5" w14:textId="5100E128" w:rsidR="003D0B42" w:rsidRPr="00C95105" w:rsidRDefault="003D0B42">
      <w:pPr>
        <w:pStyle w:val="TOCHeading"/>
        <w:rPr>
          <w:rFonts w:asciiTheme="minorHAnsi" w:hAnsiTheme="minorHAnsi" w:cstheme="minorHAnsi"/>
          <w:lang w:val="en-AU"/>
        </w:rPr>
      </w:pPr>
    </w:p>
    <w:p w14:paraId="2535E147" w14:textId="29CAAB97" w:rsidR="003D0B42" w:rsidRPr="00C95105" w:rsidRDefault="000519EC" w:rsidP="003D0B42">
      <w:pPr>
        <w:rPr>
          <w:rFonts w:asciiTheme="minorHAnsi" w:hAnsiTheme="minorHAnsi" w:cstheme="minorHAnsi"/>
          <w:lang w:eastAsia="en-US"/>
        </w:rPr>
      </w:pPr>
      <w:r w:rsidRPr="005214F3">
        <w:rPr>
          <w:rFonts w:asciiTheme="minorHAnsi" w:hAnsiTheme="minorHAnsi" w:cstheme="minorHAnsi"/>
          <w:noProof/>
          <w:color w:val="000000" w:themeColor="text1"/>
          <w:sz w:val="28"/>
          <w:szCs w:val="28"/>
        </w:rPr>
        <mc:AlternateContent>
          <mc:Choice Requires="wps">
            <w:drawing>
              <wp:anchor distT="0" distB="0" distL="114300" distR="114300" simplePos="0" relativeHeight="251658270" behindDoc="1" locked="1" layoutInCell="1" allowOverlap="1" wp14:anchorId="5F2578CD" wp14:editId="5E4867B3">
                <wp:simplePos x="0" y="0"/>
                <wp:positionH relativeFrom="page">
                  <wp:posOffset>-200025</wp:posOffset>
                </wp:positionH>
                <wp:positionV relativeFrom="page">
                  <wp:posOffset>-88265</wp:posOffset>
                </wp:positionV>
                <wp:extent cx="7963535" cy="10821670"/>
                <wp:effectExtent l="0" t="0" r="0" b="0"/>
                <wp:wrapNone/>
                <wp:docPr id="261"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63535" cy="10821670"/>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FDEFA" id="Divider A BG" o:spid="_x0000_s1026" alt="&quot;&quot;" style="position:absolute;margin-left:-15.75pt;margin-top:-6.95pt;width:627.05pt;height:852.1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" fillcolor="#1c407f" stroked="f" strokeweight="1pt">
                <o:lock v:ext="edit" aspectratio="t"/>
                <w10:wrap anchorx="page" anchory="page"/>
                <w10:anchorlock/>
              </v:rect>
            </w:pict>
          </mc:Fallback>
        </mc:AlternateContent>
      </w:r>
    </w:p>
    <w:p w14:paraId="4A2AE71B" w14:textId="77777777" w:rsidR="003D0B42" w:rsidRPr="00C95105" w:rsidRDefault="003D0B42" w:rsidP="003D0B42">
      <w:pPr>
        <w:rPr>
          <w:rFonts w:asciiTheme="minorHAnsi" w:hAnsiTheme="minorHAnsi" w:cstheme="minorHAnsi"/>
          <w:lang w:eastAsia="en-US"/>
        </w:rPr>
      </w:pPr>
    </w:p>
    <w:p w14:paraId="31F1B3F4" w14:textId="5E544270" w:rsidR="003D0B42" w:rsidRPr="00C95105" w:rsidRDefault="003D0B42" w:rsidP="003D0B42">
      <w:pPr>
        <w:rPr>
          <w:rFonts w:asciiTheme="minorHAnsi" w:hAnsiTheme="minorHAnsi" w:cstheme="minorHAnsi"/>
          <w:lang w:eastAsia="en-US"/>
        </w:rPr>
      </w:pPr>
    </w:p>
    <w:p w14:paraId="06485288" w14:textId="22379F54" w:rsidR="003D0B42" w:rsidRPr="00C95105" w:rsidRDefault="003D0B42" w:rsidP="003D0B42">
      <w:pPr>
        <w:rPr>
          <w:rFonts w:asciiTheme="minorHAnsi" w:hAnsiTheme="minorHAnsi" w:cstheme="minorHAnsi"/>
          <w:lang w:eastAsia="en-US"/>
        </w:rPr>
      </w:pPr>
    </w:p>
    <w:p w14:paraId="622102E4" w14:textId="77777777" w:rsidR="003D0B42" w:rsidRPr="00C95105" w:rsidRDefault="003D0B42" w:rsidP="003D0B42">
      <w:pPr>
        <w:rPr>
          <w:rFonts w:asciiTheme="minorHAnsi" w:hAnsiTheme="minorHAnsi" w:cstheme="minorHAnsi"/>
          <w:lang w:eastAsia="en-US"/>
        </w:rPr>
      </w:pPr>
    </w:p>
    <w:p w14:paraId="5FF7E39E" w14:textId="77777777" w:rsidR="003D0B42" w:rsidRPr="00C95105" w:rsidRDefault="003D0B42" w:rsidP="00BD4629">
      <w:pPr>
        <w:jc w:val="center"/>
        <w:rPr>
          <w:rFonts w:asciiTheme="minorHAnsi" w:hAnsiTheme="minorHAnsi" w:cstheme="minorHAnsi"/>
          <w:lang w:eastAsia="en-US"/>
        </w:rPr>
      </w:pPr>
    </w:p>
    <w:p w14:paraId="1DF06C93" w14:textId="77777777" w:rsidR="003D0B42" w:rsidRPr="00C95105" w:rsidRDefault="003D0B42" w:rsidP="003D0B42">
      <w:pPr>
        <w:rPr>
          <w:rFonts w:asciiTheme="minorHAnsi" w:hAnsiTheme="minorHAnsi" w:cstheme="minorHAnsi"/>
          <w:lang w:eastAsia="en-US"/>
        </w:rPr>
      </w:pPr>
    </w:p>
    <w:p w14:paraId="35B4D2B8" w14:textId="77777777" w:rsidR="003D0B42" w:rsidRPr="00C95105" w:rsidRDefault="003D0B42" w:rsidP="003D0B42">
      <w:pPr>
        <w:rPr>
          <w:rFonts w:asciiTheme="minorHAnsi" w:hAnsiTheme="minorHAnsi" w:cstheme="minorHAnsi"/>
          <w:lang w:eastAsia="en-US"/>
        </w:rPr>
      </w:pPr>
    </w:p>
    <w:p w14:paraId="4FBBF670" w14:textId="77777777" w:rsidR="003D0B42" w:rsidRPr="00C95105" w:rsidRDefault="003D0B42" w:rsidP="003D0B42">
      <w:pPr>
        <w:rPr>
          <w:rFonts w:asciiTheme="minorHAnsi" w:hAnsiTheme="minorHAnsi" w:cstheme="minorHAnsi"/>
          <w:lang w:eastAsia="en-US"/>
        </w:rPr>
      </w:pPr>
    </w:p>
    <w:p w14:paraId="43D29056" w14:textId="77777777" w:rsidR="003D0B42" w:rsidRPr="00C95105" w:rsidRDefault="003D0B42" w:rsidP="003D0B42">
      <w:pPr>
        <w:rPr>
          <w:rFonts w:asciiTheme="minorHAnsi" w:hAnsiTheme="minorHAnsi" w:cstheme="minorHAnsi"/>
          <w:lang w:eastAsia="en-US"/>
        </w:rPr>
      </w:pPr>
    </w:p>
    <w:p w14:paraId="6A1AB04C" w14:textId="77777777" w:rsidR="003D0B42" w:rsidRPr="00C95105" w:rsidRDefault="003D0B42" w:rsidP="003D0B42">
      <w:pPr>
        <w:rPr>
          <w:rFonts w:asciiTheme="minorHAnsi" w:hAnsiTheme="minorHAnsi" w:cstheme="minorHAnsi"/>
          <w:lang w:eastAsia="en-US"/>
        </w:rPr>
      </w:pPr>
    </w:p>
    <w:p w14:paraId="6492A4C0" w14:textId="77777777" w:rsidR="003D0B42" w:rsidRPr="00C95105" w:rsidRDefault="003D0B42" w:rsidP="003D0B42">
      <w:pPr>
        <w:rPr>
          <w:rFonts w:asciiTheme="minorHAnsi" w:hAnsiTheme="minorHAnsi" w:cstheme="minorHAnsi"/>
          <w:lang w:eastAsia="en-US"/>
        </w:rPr>
      </w:pPr>
    </w:p>
    <w:p w14:paraId="3F7A1DDA" w14:textId="77777777" w:rsidR="003D0B42" w:rsidRPr="00C95105" w:rsidRDefault="003D0B42" w:rsidP="003D0B42">
      <w:pPr>
        <w:rPr>
          <w:rFonts w:asciiTheme="minorHAnsi" w:hAnsiTheme="minorHAnsi" w:cstheme="minorHAnsi"/>
          <w:lang w:eastAsia="en-US"/>
        </w:rPr>
      </w:pPr>
    </w:p>
    <w:p w14:paraId="5D9F40F1" w14:textId="77777777" w:rsidR="003D0B42" w:rsidRPr="00C95105" w:rsidRDefault="003D0B42" w:rsidP="003D0B42">
      <w:pPr>
        <w:rPr>
          <w:rFonts w:asciiTheme="minorHAnsi" w:hAnsiTheme="minorHAnsi" w:cstheme="minorHAnsi"/>
          <w:lang w:eastAsia="en-US"/>
        </w:rPr>
      </w:pPr>
    </w:p>
    <w:p w14:paraId="14C789C7" w14:textId="77777777" w:rsidR="003D0B42" w:rsidRPr="00C95105" w:rsidRDefault="003D0B42" w:rsidP="003D0B42">
      <w:pPr>
        <w:rPr>
          <w:rFonts w:asciiTheme="minorHAnsi" w:hAnsiTheme="minorHAnsi" w:cstheme="minorHAnsi"/>
          <w:lang w:eastAsia="en-US"/>
        </w:rPr>
      </w:pPr>
    </w:p>
    <w:p w14:paraId="24CD8F57" w14:textId="77777777" w:rsidR="003D0B42" w:rsidRPr="00C95105" w:rsidRDefault="003D0B42" w:rsidP="003D0B42">
      <w:pPr>
        <w:rPr>
          <w:rFonts w:asciiTheme="minorHAnsi" w:hAnsiTheme="minorHAnsi" w:cstheme="minorHAnsi"/>
          <w:lang w:eastAsia="en-US"/>
        </w:rPr>
      </w:pPr>
    </w:p>
    <w:p w14:paraId="1F7E1B25" w14:textId="77777777" w:rsidR="003D0B42" w:rsidRPr="00C95105" w:rsidRDefault="003D0B42" w:rsidP="003D0B42">
      <w:pPr>
        <w:rPr>
          <w:rFonts w:asciiTheme="minorHAnsi" w:hAnsiTheme="minorHAnsi" w:cstheme="minorHAnsi"/>
          <w:lang w:eastAsia="en-US"/>
        </w:rPr>
      </w:pPr>
    </w:p>
    <w:p w14:paraId="24158713" w14:textId="77777777" w:rsidR="003D0B42" w:rsidRPr="00C95105" w:rsidRDefault="003D0B42" w:rsidP="003D0B42">
      <w:pPr>
        <w:rPr>
          <w:rFonts w:asciiTheme="minorHAnsi" w:hAnsiTheme="minorHAnsi" w:cstheme="minorHAnsi"/>
          <w:lang w:eastAsia="en-US"/>
        </w:rPr>
      </w:pPr>
    </w:p>
    <w:p w14:paraId="3120F5A7" w14:textId="77777777" w:rsidR="003D0B42" w:rsidRPr="00C95105" w:rsidRDefault="003D0B42" w:rsidP="003D0B42">
      <w:pPr>
        <w:rPr>
          <w:rFonts w:asciiTheme="minorHAnsi" w:hAnsiTheme="minorHAnsi" w:cstheme="minorHAnsi"/>
          <w:lang w:eastAsia="en-US"/>
        </w:rPr>
      </w:pPr>
    </w:p>
    <w:p w14:paraId="489698E6" w14:textId="77777777" w:rsidR="003D0B42" w:rsidRPr="00C95105" w:rsidRDefault="003D0B42" w:rsidP="003D0B42">
      <w:pPr>
        <w:rPr>
          <w:rFonts w:asciiTheme="minorHAnsi" w:hAnsiTheme="minorHAnsi" w:cstheme="minorHAnsi"/>
          <w:lang w:eastAsia="en-US"/>
        </w:rPr>
      </w:pPr>
    </w:p>
    <w:p w14:paraId="185CDB9F" w14:textId="77777777" w:rsidR="003D0B42" w:rsidRPr="00C95105" w:rsidRDefault="003D0B42" w:rsidP="003D0B42">
      <w:pPr>
        <w:rPr>
          <w:rFonts w:asciiTheme="minorHAnsi" w:hAnsiTheme="minorHAnsi" w:cstheme="minorHAnsi"/>
          <w:lang w:eastAsia="en-US"/>
        </w:rPr>
      </w:pPr>
    </w:p>
    <w:p w14:paraId="7899E135" w14:textId="77777777" w:rsidR="003D0B42" w:rsidRPr="00C95105" w:rsidRDefault="003D0B42" w:rsidP="003D0B42">
      <w:pPr>
        <w:rPr>
          <w:rFonts w:asciiTheme="minorHAnsi" w:hAnsiTheme="minorHAnsi" w:cstheme="minorHAnsi"/>
          <w:lang w:eastAsia="en-US"/>
        </w:rPr>
      </w:pPr>
    </w:p>
    <w:p w14:paraId="35AB7011" w14:textId="77777777" w:rsidR="003D0B42" w:rsidRPr="00C95105" w:rsidRDefault="003D0B42" w:rsidP="003D0B42">
      <w:pPr>
        <w:rPr>
          <w:rFonts w:asciiTheme="minorHAnsi" w:hAnsiTheme="minorHAnsi" w:cstheme="minorHAnsi"/>
          <w:lang w:eastAsia="en-US"/>
        </w:rPr>
      </w:pPr>
    </w:p>
    <w:p w14:paraId="7BC163E4" w14:textId="77777777" w:rsidR="003D0B42" w:rsidRPr="00C95105" w:rsidRDefault="003D0B42" w:rsidP="003D0B42">
      <w:pPr>
        <w:rPr>
          <w:rFonts w:asciiTheme="minorHAnsi" w:hAnsiTheme="minorHAnsi" w:cstheme="minorHAnsi"/>
          <w:lang w:eastAsia="en-US"/>
        </w:rPr>
      </w:pPr>
    </w:p>
    <w:p w14:paraId="4ACAEFDB" w14:textId="77777777" w:rsidR="003D0B42" w:rsidRPr="00C95105" w:rsidRDefault="003D0B42" w:rsidP="003D0B42">
      <w:pPr>
        <w:rPr>
          <w:rFonts w:asciiTheme="minorHAnsi" w:hAnsiTheme="minorHAnsi" w:cstheme="minorHAnsi"/>
          <w:lang w:eastAsia="en-US"/>
        </w:rPr>
      </w:pPr>
    </w:p>
    <w:p w14:paraId="1EDB00DC" w14:textId="77777777" w:rsidR="003D0B42" w:rsidRPr="00C95105" w:rsidRDefault="003D0B42" w:rsidP="003D0B42">
      <w:pPr>
        <w:rPr>
          <w:rFonts w:asciiTheme="minorHAnsi" w:hAnsiTheme="minorHAnsi" w:cstheme="minorHAnsi"/>
          <w:lang w:eastAsia="en-US"/>
        </w:rPr>
      </w:pPr>
    </w:p>
    <w:p w14:paraId="2B951364" w14:textId="77777777" w:rsidR="003D0B42" w:rsidRPr="00C95105" w:rsidRDefault="003D0B42" w:rsidP="003D0B42">
      <w:pPr>
        <w:rPr>
          <w:rFonts w:asciiTheme="minorHAnsi" w:hAnsiTheme="minorHAnsi" w:cstheme="minorHAnsi"/>
          <w:lang w:eastAsia="en-US"/>
        </w:rPr>
      </w:pPr>
    </w:p>
    <w:p w14:paraId="33FB91FD" w14:textId="77777777" w:rsidR="005A17CB" w:rsidRPr="00C95105" w:rsidRDefault="005A17CB">
      <w:pPr>
        <w:pStyle w:val="TOCHeading"/>
        <w:rPr>
          <w:rFonts w:asciiTheme="minorHAnsi" w:hAnsiTheme="minorHAnsi" w:cstheme="minorHAnsi"/>
          <w:lang w:val="en-AU"/>
        </w:rPr>
      </w:pPr>
      <w:r w:rsidRPr="00C95105">
        <w:rPr>
          <w:rFonts w:asciiTheme="minorHAnsi" w:hAnsiTheme="minorHAnsi" w:cstheme="minorHAnsi"/>
          <w:lang w:val="en-AU"/>
        </w:rPr>
        <w:lastRenderedPageBreak/>
        <w:t>Table of Contents</w:t>
      </w:r>
    </w:p>
    <w:p w14:paraId="191A3610" w14:textId="17F36C6C" w:rsidR="009D6720" w:rsidRPr="005A6B1E" w:rsidRDefault="005A17CB" w:rsidP="005A6B1E">
      <w:pPr>
        <w:pStyle w:val="TOC1"/>
        <w:rPr>
          <w:rFonts w:eastAsiaTheme="minorEastAsia" w:cstheme="minorBidi"/>
        </w:rPr>
      </w:pPr>
      <w:r w:rsidRPr="00C95105">
        <w:fldChar w:fldCharType="begin"/>
      </w:r>
      <w:r w:rsidRPr="00C95105">
        <w:instrText xml:space="preserve"> TOC \o "1-3" \h \z \u </w:instrText>
      </w:r>
      <w:r w:rsidRPr="00C95105">
        <w:fldChar w:fldCharType="separate"/>
      </w:r>
      <w:hyperlink w:anchor="_Toc96957648" w:history="1">
        <w:r w:rsidR="009D6720" w:rsidRPr="005A6B1E">
          <w:rPr>
            <w:rStyle w:val="Hyperlink"/>
            <w:color w:val="2F5496" w:themeColor="accent1" w:themeShade="BF"/>
          </w:rPr>
          <w:t>Acknowledgements</w:t>
        </w:r>
        <w:r w:rsidR="009D6720" w:rsidRPr="005A6B1E">
          <w:rPr>
            <w:webHidden/>
          </w:rPr>
          <w:tab/>
        </w:r>
        <w:r w:rsidR="009D6720" w:rsidRPr="005A6B1E">
          <w:rPr>
            <w:webHidden/>
          </w:rPr>
          <w:fldChar w:fldCharType="begin"/>
        </w:r>
        <w:r w:rsidR="009D6720" w:rsidRPr="005A6B1E">
          <w:rPr>
            <w:webHidden/>
          </w:rPr>
          <w:instrText xml:space="preserve"> PAGEREF _Toc96957648 \h </w:instrText>
        </w:r>
        <w:r w:rsidR="009D6720" w:rsidRPr="005A6B1E">
          <w:rPr>
            <w:webHidden/>
          </w:rPr>
        </w:r>
        <w:r w:rsidR="009D6720" w:rsidRPr="005A6B1E">
          <w:rPr>
            <w:webHidden/>
          </w:rPr>
          <w:fldChar w:fldCharType="separate"/>
        </w:r>
        <w:r w:rsidR="005A6B1E" w:rsidRPr="005A6B1E">
          <w:rPr>
            <w:webHidden/>
          </w:rPr>
          <w:t>7</w:t>
        </w:r>
        <w:r w:rsidR="009D6720" w:rsidRPr="005A6B1E">
          <w:rPr>
            <w:webHidden/>
          </w:rPr>
          <w:fldChar w:fldCharType="end"/>
        </w:r>
      </w:hyperlink>
    </w:p>
    <w:p w14:paraId="1D98CD9F" w14:textId="594A040D" w:rsidR="009D6720" w:rsidRPr="005A6B1E" w:rsidRDefault="004E2360" w:rsidP="005A6B1E">
      <w:pPr>
        <w:pStyle w:val="TOC1"/>
        <w:rPr>
          <w:rFonts w:eastAsiaTheme="minorEastAsia" w:cstheme="minorBidi"/>
        </w:rPr>
      </w:pPr>
      <w:hyperlink w:anchor="_Toc96957649" w:history="1">
        <w:r w:rsidR="009D6720" w:rsidRPr="005A6B1E">
          <w:rPr>
            <w:rStyle w:val="Hyperlink"/>
            <w:color w:val="2F5496" w:themeColor="accent1" w:themeShade="BF"/>
          </w:rPr>
          <w:t>This study was funded by:</w:t>
        </w:r>
        <w:r w:rsidR="009D6720" w:rsidRPr="005A6B1E">
          <w:rPr>
            <w:webHidden/>
          </w:rPr>
          <w:tab/>
        </w:r>
        <w:r w:rsidR="009D6720" w:rsidRPr="005A6B1E">
          <w:rPr>
            <w:webHidden/>
          </w:rPr>
          <w:fldChar w:fldCharType="begin"/>
        </w:r>
        <w:r w:rsidR="009D6720" w:rsidRPr="005A6B1E">
          <w:rPr>
            <w:webHidden/>
          </w:rPr>
          <w:instrText xml:space="preserve"> PAGEREF _Toc96957649 \h </w:instrText>
        </w:r>
        <w:r w:rsidR="009D6720" w:rsidRPr="005A6B1E">
          <w:rPr>
            <w:webHidden/>
          </w:rPr>
        </w:r>
        <w:r w:rsidR="009D6720" w:rsidRPr="005A6B1E">
          <w:rPr>
            <w:webHidden/>
          </w:rPr>
          <w:fldChar w:fldCharType="separate"/>
        </w:r>
        <w:r w:rsidR="005A6B1E" w:rsidRPr="005A6B1E">
          <w:rPr>
            <w:webHidden/>
          </w:rPr>
          <w:t>7</w:t>
        </w:r>
        <w:r w:rsidR="009D6720" w:rsidRPr="005A6B1E">
          <w:rPr>
            <w:webHidden/>
          </w:rPr>
          <w:fldChar w:fldCharType="end"/>
        </w:r>
      </w:hyperlink>
    </w:p>
    <w:p w14:paraId="0A14FD05" w14:textId="61623D60" w:rsidR="009D6720" w:rsidRPr="005A6B1E" w:rsidRDefault="004E2360" w:rsidP="005A6B1E">
      <w:pPr>
        <w:pStyle w:val="TOC1"/>
        <w:rPr>
          <w:rFonts w:eastAsiaTheme="minorEastAsia" w:cstheme="minorBidi"/>
        </w:rPr>
      </w:pPr>
      <w:hyperlink w:anchor="_Toc96957650" w:history="1">
        <w:r w:rsidR="009D6720" w:rsidRPr="005A6B1E">
          <w:rPr>
            <w:rStyle w:val="Hyperlink"/>
            <w:color w:val="2F5496" w:themeColor="accent1" w:themeShade="BF"/>
          </w:rPr>
          <w:t>Executive Summary</w:t>
        </w:r>
        <w:r w:rsidR="009D6720" w:rsidRPr="005A6B1E">
          <w:rPr>
            <w:webHidden/>
          </w:rPr>
          <w:tab/>
        </w:r>
        <w:r w:rsidR="009D6720" w:rsidRPr="005A6B1E">
          <w:rPr>
            <w:webHidden/>
          </w:rPr>
          <w:fldChar w:fldCharType="begin"/>
        </w:r>
        <w:r w:rsidR="009D6720" w:rsidRPr="005A6B1E">
          <w:rPr>
            <w:webHidden/>
          </w:rPr>
          <w:instrText xml:space="preserve"> PAGEREF _Toc96957650 \h </w:instrText>
        </w:r>
        <w:r w:rsidR="009D6720" w:rsidRPr="005A6B1E">
          <w:rPr>
            <w:webHidden/>
          </w:rPr>
        </w:r>
        <w:r w:rsidR="009D6720" w:rsidRPr="005A6B1E">
          <w:rPr>
            <w:webHidden/>
          </w:rPr>
          <w:fldChar w:fldCharType="separate"/>
        </w:r>
        <w:r w:rsidR="005A6B1E" w:rsidRPr="005A6B1E">
          <w:rPr>
            <w:webHidden/>
          </w:rPr>
          <w:t>8</w:t>
        </w:r>
        <w:r w:rsidR="009D6720" w:rsidRPr="005A6B1E">
          <w:rPr>
            <w:webHidden/>
          </w:rPr>
          <w:fldChar w:fldCharType="end"/>
        </w:r>
      </w:hyperlink>
    </w:p>
    <w:p w14:paraId="5E0DC97B" w14:textId="009B5E16" w:rsidR="009D6720" w:rsidRPr="005A6B1E" w:rsidRDefault="004E2360" w:rsidP="005A6B1E">
      <w:pPr>
        <w:pStyle w:val="TOC1"/>
        <w:rPr>
          <w:rFonts w:eastAsiaTheme="minorEastAsia" w:cstheme="minorBidi"/>
        </w:rPr>
      </w:pPr>
      <w:hyperlink w:anchor="_Toc96957658" w:history="1">
        <w:r w:rsidR="009D6720" w:rsidRPr="005A6B1E">
          <w:rPr>
            <w:rStyle w:val="Hyperlink"/>
            <w:color w:val="2F5496" w:themeColor="accent1" w:themeShade="BF"/>
          </w:rPr>
          <w:t>Chapter 1 - Framing Gender Equality Positive Actions in the Public Sector</w:t>
        </w:r>
        <w:r w:rsidR="009D6720" w:rsidRPr="005A6B1E">
          <w:rPr>
            <w:webHidden/>
          </w:rPr>
          <w:tab/>
        </w:r>
        <w:r w:rsidR="009D6720" w:rsidRPr="005A6B1E">
          <w:rPr>
            <w:webHidden/>
          </w:rPr>
          <w:fldChar w:fldCharType="begin"/>
        </w:r>
        <w:r w:rsidR="009D6720" w:rsidRPr="005A6B1E">
          <w:rPr>
            <w:webHidden/>
          </w:rPr>
          <w:instrText xml:space="preserve"> PAGEREF _Toc96957658 \h </w:instrText>
        </w:r>
        <w:r w:rsidR="009D6720" w:rsidRPr="005A6B1E">
          <w:rPr>
            <w:webHidden/>
          </w:rPr>
        </w:r>
        <w:r w:rsidR="009D6720" w:rsidRPr="005A6B1E">
          <w:rPr>
            <w:webHidden/>
          </w:rPr>
          <w:fldChar w:fldCharType="separate"/>
        </w:r>
        <w:r w:rsidR="005A6B1E" w:rsidRPr="005A6B1E">
          <w:rPr>
            <w:webHidden/>
          </w:rPr>
          <w:t>12</w:t>
        </w:r>
        <w:r w:rsidR="009D6720" w:rsidRPr="005A6B1E">
          <w:rPr>
            <w:webHidden/>
          </w:rPr>
          <w:fldChar w:fldCharType="end"/>
        </w:r>
      </w:hyperlink>
    </w:p>
    <w:p w14:paraId="51F75204" w14:textId="1F118AF1" w:rsidR="009D6720" w:rsidRDefault="004E2360">
      <w:pPr>
        <w:pStyle w:val="TOC2"/>
        <w:tabs>
          <w:tab w:val="left" w:pos="960"/>
          <w:tab w:val="right" w:leader="dot" w:pos="9016"/>
        </w:tabs>
        <w:rPr>
          <w:rFonts w:eastAsiaTheme="minorEastAsia" w:cstheme="minorBidi"/>
          <w:b w:val="0"/>
          <w:bCs w:val="0"/>
          <w:noProof/>
          <w:sz w:val="24"/>
          <w:szCs w:val="24"/>
        </w:rPr>
      </w:pPr>
      <w:hyperlink w:anchor="_Toc96957659" w:history="1">
        <w:r w:rsidR="009D6720" w:rsidRPr="002532DD">
          <w:rPr>
            <w:rStyle w:val="Hyperlink"/>
            <w:noProof/>
          </w:rPr>
          <w:t>1.1.</w:t>
        </w:r>
        <w:r w:rsidR="009D6720">
          <w:rPr>
            <w:rFonts w:eastAsiaTheme="minorEastAsia" w:cstheme="minorBidi"/>
            <w:b w:val="0"/>
            <w:bCs w:val="0"/>
            <w:noProof/>
            <w:sz w:val="24"/>
            <w:szCs w:val="24"/>
          </w:rPr>
          <w:tab/>
        </w:r>
        <w:r w:rsidR="009D6720" w:rsidRPr="002532DD">
          <w:rPr>
            <w:rStyle w:val="Hyperlink"/>
            <w:noProof/>
          </w:rPr>
          <w:t>Introduction</w:t>
        </w:r>
        <w:r w:rsidR="009D6720">
          <w:rPr>
            <w:noProof/>
            <w:webHidden/>
          </w:rPr>
          <w:tab/>
        </w:r>
        <w:r w:rsidR="009D6720">
          <w:rPr>
            <w:noProof/>
            <w:webHidden/>
          </w:rPr>
          <w:fldChar w:fldCharType="begin"/>
        </w:r>
        <w:r w:rsidR="009D6720">
          <w:rPr>
            <w:noProof/>
            <w:webHidden/>
          </w:rPr>
          <w:instrText xml:space="preserve"> PAGEREF _Toc96957659 \h </w:instrText>
        </w:r>
        <w:r w:rsidR="009D6720">
          <w:rPr>
            <w:noProof/>
            <w:webHidden/>
          </w:rPr>
        </w:r>
        <w:r w:rsidR="009D6720">
          <w:rPr>
            <w:noProof/>
            <w:webHidden/>
          </w:rPr>
          <w:fldChar w:fldCharType="separate"/>
        </w:r>
        <w:r w:rsidR="005A6B1E">
          <w:rPr>
            <w:noProof/>
            <w:webHidden/>
          </w:rPr>
          <w:t>12</w:t>
        </w:r>
        <w:r w:rsidR="009D6720">
          <w:rPr>
            <w:noProof/>
            <w:webHidden/>
          </w:rPr>
          <w:fldChar w:fldCharType="end"/>
        </w:r>
      </w:hyperlink>
    </w:p>
    <w:p w14:paraId="18125798" w14:textId="0D25CF4A" w:rsidR="009D6720" w:rsidRDefault="004E2360">
      <w:pPr>
        <w:pStyle w:val="TOC2"/>
        <w:tabs>
          <w:tab w:val="left" w:pos="960"/>
          <w:tab w:val="right" w:leader="dot" w:pos="9016"/>
        </w:tabs>
        <w:rPr>
          <w:rFonts w:eastAsiaTheme="minorEastAsia" w:cstheme="minorBidi"/>
          <w:b w:val="0"/>
          <w:bCs w:val="0"/>
          <w:noProof/>
          <w:sz w:val="24"/>
          <w:szCs w:val="24"/>
        </w:rPr>
      </w:pPr>
      <w:hyperlink w:anchor="_Toc96957660" w:history="1">
        <w:r w:rsidR="009D6720" w:rsidRPr="002532DD">
          <w:rPr>
            <w:rStyle w:val="Hyperlink"/>
            <w:noProof/>
          </w:rPr>
          <w:t>1.2.</w:t>
        </w:r>
        <w:r w:rsidR="009D6720">
          <w:rPr>
            <w:rFonts w:eastAsiaTheme="minorEastAsia" w:cstheme="minorBidi"/>
            <w:b w:val="0"/>
            <w:bCs w:val="0"/>
            <w:noProof/>
            <w:sz w:val="24"/>
            <w:szCs w:val="24"/>
          </w:rPr>
          <w:tab/>
        </w:r>
        <w:r w:rsidR="009D6720" w:rsidRPr="002532DD">
          <w:rPr>
            <w:rStyle w:val="Hyperlink"/>
            <w:noProof/>
          </w:rPr>
          <w:t>The Gender Equality Indicators in Context</w:t>
        </w:r>
        <w:r w:rsidR="009D6720">
          <w:rPr>
            <w:noProof/>
            <w:webHidden/>
          </w:rPr>
          <w:tab/>
        </w:r>
        <w:r w:rsidR="009D6720">
          <w:rPr>
            <w:noProof/>
            <w:webHidden/>
          </w:rPr>
          <w:fldChar w:fldCharType="begin"/>
        </w:r>
        <w:r w:rsidR="009D6720">
          <w:rPr>
            <w:noProof/>
            <w:webHidden/>
          </w:rPr>
          <w:instrText xml:space="preserve"> PAGEREF _Toc96957660 \h </w:instrText>
        </w:r>
        <w:r w:rsidR="009D6720">
          <w:rPr>
            <w:noProof/>
            <w:webHidden/>
          </w:rPr>
        </w:r>
        <w:r w:rsidR="009D6720">
          <w:rPr>
            <w:noProof/>
            <w:webHidden/>
          </w:rPr>
          <w:fldChar w:fldCharType="separate"/>
        </w:r>
        <w:r w:rsidR="005A6B1E">
          <w:rPr>
            <w:noProof/>
            <w:webHidden/>
          </w:rPr>
          <w:t>12</w:t>
        </w:r>
        <w:r w:rsidR="009D6720">
          <w:rPr>
            <w:noProof/>
            <w:webHidden/>
          </w:rPr>
          <w:fldChar w:fldCharType="end"/>
        </w:r>
      </w:hyperlink>
    </w:p>
    <w:p w14:paraId="12B72A87" w14:textId="295CF72A" w:rsidR="009D6720" w:rsidRDefault="004E2360">
      <w:pPr>
        <w:pStyle w:val="TOC2"/>
        <w:tabs>
          <w:tab w:val="left" w:pos="960"/>
          <w:tab w:val="right" w:leader="dot" w:pos="9016"/>
        </w:tabs>
        <w:rPr>
          <w:rFonts w:eastAsiaTheme="minorEastAsia" w:cstheme="minorBidi"/>
          <w:b w:val="0"/>
          <w:bCs w:val="0"/>
          <w:noProof/>
          <w:sz w:val="24"/>
          <w:szCs w:val="24"/>
        </w:rPr>
      </w:pPr>
      <w:hyperlink w:anchor="_Toc96957661" w:history="1">
        <w:r w:rsidR="009D6720" w:rsidRPr="002532DD">
          <w:rPr>
            <w:rStyle w:val="Hyperlink"/>
            <w:noProof/>
          </w:rPr>
          <w:t>1.3.</w:t>
        </w:r>
        <w:r w:rsidR="009D6720">
          <w:rPr>
            <w:rFonts w:eastAsiaTheme="minorEastAsia" w:cstheme="minorBidi"/>
            <w:b w:val="0"/>
            <w:bCs w:val="0"/>
            <w:noProof/>
            <w:sz w:val="24"/>
            <w:szCs w:val="24"/>
          </w:rPr>
          <w:tab/>
        </w:r>
        <w:r w:rsidR="009D6720" w:rsidRPr="002532DD">
          <w:rPr>
            <w:rStyle w:val="Hyperlink"/>
            <w:noProof/>
          </w:rPr>
          <w:t>Strategy Dimensions</w:t>
        </w:r>
        <w:r w:rsidR="009D6720">
          <w:rPr>
            <w:noProof/>
            <w:webHidden/>
          </w:rPr>
          <w:tab/>
        </w:r>
        <w:r w:rsidR="009D6720">
          <w:rPr>
            <w:noProof/>
            <w:webHidden/>
          </w:rPr>
          <w:fldChar w:fldCharType="begin"/>
        </w:r>
        <w:r w:rsidR="009D6720">
          <w:rPr>
            <w:noProof/>
            <w:webHidden/>
          </w:rPr>
          <w:instrText xml:space="preserve"> PAGEREF _Toc96957661 \h </w:instrText>
        </w:r>
        <w:r w:rsidR="009D6720">
          <w:rPr>
            <w:noProof/>
            <w:webHidden/>
          </w:rPr>
        </w:r>
        <w:r w:rsidR="009D6720">
          <w:rPr>
            <w:noProof/>
            <w:webHidden/>
          </w:rPr>
          <w:fldChar w:fldCharType="separate"/>
        </w:r>
        <w:r w:rsidR="005A6B1E">
          <w:rPr>
            <w:noProof/>
            <w:webHidden/>
          </w:rPr>
          <w:t>14</w:t>
        </w:r>
        <w:r w:rsidR="009D6720">
          <w:rPr>
            <w:noProof/>
            <w:webHidden/>
          </w:rPr>
          <w:fldChar w:fldCharType="end"/>
        </w:r>
      </w:hyperlink>
    </w:p>
    <w:p w14:paraId="17E73B63" w14:textId="298C226B" w:rsidR="009D6720" w:rsidRDefault="004E2360">
      <w:pPr>
        <w:pStyle w:val="TOC3"/>
        <w:tabs>
          <w:tab w:val="left" w:pos="1200"/>
          <w:tab w:val="right" w:leader="dot" w:pos="9016"/>
        </w:tabs>
        <w:rPr>
          <w:rFonts w:eastAsiaTheme="minorEastAsia" w:cstheme="minorBidi"/>
          <w:noProof/>
          <w:sz w:val="24"/>
          <w:szCs w:val="24"/>
        </w:rPr>
      </w:pPr>
      <w:hyperlink w:anchor="_Toc96957662" w:history="1">
        <w:r w:rsidR="009D6720" w:rsidRPr="002532DD">
          <w:rPr>
            <w:rStyle w:val="Hyperlink"/>
            <w:b/>
            <w:bCs/>
            <w:i/>
            <w:iCs/>
            <w:noProof/>
          </w:rPr>
          <w:t>1.3.1.</w:t>
        </w:r>
        <w:r w:rsidR="009D6720">
          <w:rPr>
            <w:rFonts w:eastAsiaTheme="minorEastAsia" w:cstheme="minorBidi"/>
            <w:noProof/>
            <w:sz w:val="24"/>
            <w:szCs w:val="24"/>
          </w:rPr>
          <w:tab/>
        </w:r>
        <w:r w:rsidR="009D6720" w:rsidRPr="002532DD">
          <w:rPr>
            <w:rStyle w:val="Hyperlink"/>
            <w:b/>
            <w:bCs/>
            <w:i/>
            <w:iCs/>
            <w:noProof/>
          </w:rPr>
          <w:t>Facilitative versus Distribute Measures</w:t>
        </w:r>
        <w:r w:rsidR="009D6720">
          <w:rPr>
            <w:noProof/>
            <w:webHidden/>
          </w:rPr>
          <w:tab/>
        </w:r>
        <w:r w:rsidR="009D6720">
          <w:rPr>
            <w:noProof/>
            <w:webHidden/>
          </w:rPr>
          <w:fldChar w:fldCharType="begin"/>
        </w:r>
        <w:r w:rsidR="009D6720">
          <w:rPr>
            <w:noProof/>
            <w:webHidden/>
          </w:rPr>
          <w:instrText xml:space="preserve"> PAGEREF _Toc96957662 \h </w:instrText>
        </w:r>
        <w:r w:rsidR="009D6720">
          <w:rPr>
            <w:noProof/>
            <w:webHidden/>
          </w:rPr>
        </w:r>
        <w:r w:rsidR="009D6720">
          <w:rPr>
            <w:noProof/>
            <w:webHidden/>
          </w:rPr>
          <w:fldChar w:fldCharType="separate"/>
        </w:r>
        <w:r w:rsidR="005A6B1E">
          <w:rPr>
            <w:noProof/>
            <w:webHidden/>
          </w:rPr>
          <w:t>14</w:t>
        </w:r>
        <w:r w:rsidR="009D6720">
          <w:rPr>
            <w:noProof/>
            <w:webHidden/>
          </w:rPr>
          <w:fldChar w:fldCharType="end"/>
        </w:r>
      </w:hyperlink>
    </w:p>
    <w:p w14:paraId="1CDDFD3D" w14:textId="2BF795F8" w:rsidR="009D6720" w:rsidRDefault="004E2360">
      <w:pPr>
        <w:pStyle w:val="TOC3"/>
        <w:tabs>
          <w:tab w:val="left" w:pos="1200"/>
          <w:tab w:val="right" w:leader="dot" w:pos="9016"/>
        </w:tabs>
        <w:rPr>
          <w:rFonts w:eastAsiaTheme="minorEastAsia" w:cstheme="minorBidi"/>
          <w:noProof/>
          <w:sz w:val="24"/>
          <w:szCs w:val="24"/>
        </w:rPr>
      </w:pPr>
      <w:hyperlink w:anchor="_Toc96957663" w:history="1">
        <w:r w:rsidR="009D6720" w:rsidRPr="002532DD">
          <w:rPr>
            <w:rStyle w:val="Hyperlink"/>
            <w:b/>
            <w:bCs/>
            <w:i/>
            <w:iCs/>
            <w:noProof/>
          </w:rPr>
          <w:t>1.3.2.</w:t>
        </w:r>
        <w:r w:rsidR="009D6720">
          <w:rPr>
            <w:rFonts w:eastAsiaTheme="minorEastAsia" w:cstheme="minorBidi"/>
            <w:noProof/>
            <w:sz w:val="24"/>
            <w:szCs w:val="24"/>
          </w:rPr>
          <w:tab/>
        </w:r>
        <w:r w:rsidR="009D6720" w:rsidRPr="002532DD">
          <w:rPr>
            <w:rStyle w:val="Hyperlink"/>
            <w:b/>
            <w:bCs/>
            <w:i/>
            <w:iCs/>
            <w:noProof/>
          </w:rPr>
          <w:t>Direct versus Indirect Measures</w:t>
        </w:r>
        <w:r w:rsidR="009D6720">
          <w:rPr>
            <w:noProof/>
            <w:webHidden/>
          </w:rPr>
          <w:tab/>
        </w:r>
        <w:r w:rsidR="009D6720">
          <w:rPr>
            <w:noProof/>
            <w:webHidden/>
          </w:rPr>
          <w:fldChar w:fldCharType="begin"/>
        </w:r>
        <w:r w:rsidR="009D6720">
          <w:rPr>
            <w:noProof/>
            <w:webHidden/>
          </w:rPr>
          <w:instrText xml:space="preserve"> PAGEREF _Toc96957663 \h </w:instrText>
        </w:r>
        <w:r w:rsidR="009D6720">
          <w:rPr>
            <w:noProof/>
            <w:webHidden/>
          </w:rPr>
        </w:r>
        <w:r w:rsidR="009D6720">
          <w:rPr>
            <w:noProof/>
            <w:webHidden/>
          </w:rPr>
          <w:fldChar w:fldCharType="separate"/>
        </w:r>
        <w:r w:rsidR="005A6B1E">
          <w:rPr>
            <w:noProof/>
            <w:webHidden/>
          </w:rPr>
          <w:t>15</w:t>
        </w:r>
        <w:r w:rsidR="009D6720">
          <w:rPr>
            <w:noProof/>
            <w:webHidden/>
          </w:rPr>
          <w:fldChar w:fldCharType="end"/>
        </w:r>
      </w:hyperlink>
    </w:p>
    <w:p w14:paraId="0B48D073" w14:textId="604A1A1E" w:rsidR="009D6720" w:rsidRDefault="004E2360">
      <w:pPr>
        <w:pStyle w:val="TOC3"/>
        <w:tabs>
          <w:tab w:val="left" w:pos="1200"/>
          <w:tab w:val="right" w:leader="dot" w:pos="9016"/>
        </w:tabs>
        <w:rPr>
          <w:rFonts w:eastAsiaTheme="minorEastAsia" w:cstheme="minorBidi"/>
          <w:noProof/>
          <w:sz w:val="24"/>
          <w:szCs w:val="24"/>
        </w:rPr>
      </w:pPr>
      <w:hyperlink w:anchor="_Toc96957664" w:history="1">
        <w:r w:rsidR="009D6720" w:rsidRPr="002532DD">
          <w:rPr>
            <w:rStyle w:val="Hyperlink"/>
            <w:b/>
            <w:bCs/>
            <w:i/>
            <w:iCs/>
            <w:noProof/>
          </w:rPr>
          <w:t>1.3.3.</w:t>
        </w:r>
        <w:r w:rsidR="009D6720">
          <w:rPr>
            <w:rFonts w:eastAsiaTheme="minorEastAsia" w:cstheme="minorBidi"/>
            <w:noProof/>
            <w:sz w:val="24"/>
            <w:szCs w:val="24"/>
          </w:rPr>
          <w:tab/>
        </w:r>
        <w:r w:rsidR="009D6720" w:rsidRPr="002532DD">
          <w:rPr>
            <w:rStyle w:val="Hyperlink"/>
            <w:b/>
            <w:bCs/>
            <w:i/>
            <w:iCs/>
            <w:noProof/>
          </w:rPr>
          <w:t>Remedial versus Non-remedial Measures</w:t>
        </w:r>
        <w:r w:rsidR="009D6720">
          <w:rPr>
            <w:noProof/>
            <w:webHidden/>
          </w:rPr>
          <w:tab/>
        </w:r>
        <w:r w:rsidR="009D6720">
          <w:rPr>
            <w:noProof/>
            <w:webHidden/>
          </w:rPr>
          <w:fldChar w:fldCharType="begin"/>
        </w:r>
        <w:r w:rsidR="009D6720">
          <w:rPr>
            <w:noProof/>
            <w:webHidden/>
          </w:rPr>
          <w:instrText xml:space="preserve"> PAGEREF _Toc96957664 \h </w:instrText>
        </w:r>
        <w:r w:rsidR="009D6720">
          <w:rPr>
            <w:noProof/>
            <w:webHidden/>
          </w:rPr>
        </w:r>
        <w:r w:rsidR="009D6720">
          <w:rPr>
            <w:noProof/>
            <w:webHidden/>
          </w:rPr>
          <w:fldChar w:fldCharType="separate"/>
        </w:r>
        <w:r w:rsidR="005A6B1E">
          <w:rPr>
            <w:noProof/>
            <w:webHidden/>
          </w:rPr>
          <w:t>15</w:t>
        </w:r>
        <w:r w:rsidR="009D6720">
          <w:rPr>
            <w:noProof/>
            <w:webHidden/>
          </w:rPr>
          <w:fldChar w:fldCharType="end"/>
        </w:r>
      </w:hyperlink>
    </w:p>
    <w:p w14:paraId="0371839A" w14:textId="3AACB1E6" w:rsidR="009D6720" w:rsidRDefault="004E2360">
      <w:pPr>
        <w:pStyle w:val="TOC2"/>
        <w:tabs>
          <w:tab w:val="left" w:pos="960"/>
          <w:tab w:val="right" w:leader="dot" w:pos="9016"/>
        </w:tabs>
        <w:rPr>
          <w:rFonts w:eastAsiaTheme="minorEastAsia" w:cstheme="minorBidi"/>
          <w:b w:val="0"/>
          <w:bCs w:val="0"/>
          <w:noProof/>
          <w:sz w:val="24"/>
          <w:szCs w:val="24"/>
        </w:rPr>
      </w:pPr>
      <w:hyperlink w:anchor="_Toc96957665" w:history="1">
        <w:r w:rsidR="009D6720" w:rsidRPr="002532DD">
          <w:rPr>
            <w:rStyle w:val="Hyperlink"/>
            <w:noProof/>
          </w:rPr>
          <w:t>1.4.</w:t>
        </w:r>
        <w:r w:rsidR="009D6720">
          <w:rPr>
            <w:rFonts w:eastAsiaTheme="minorEastAsia" w:cstheme="minorBidi"/>
            <w:b w:val="0"/>
            <w:bCs w:val="0"/>
            <w:noProof/>
            <w:sz w:val="24"/>
            <w:szCs w:val="24"/>
          </w:rPr>
          <w:tab/>
        </w:r>
        <w:r w:rsidR="009D6720" w:rsidRPr="002532DD">
          <w:rPr>
            <w:rStyle w:val="Hyperlink"/>
            <w:noProof/>
          </w:rPr>
          <w:t>Further considerations</w:t>
        </w:r>
        <w:r w:rsidR="009D6720">
          <w:rPr>
            <w:noProof/>
            <w:webHidden/>
          </w:rPr>
          <w:tab/>
        </w:r>
        <w:r w:rsidR="009D6720">
          <w:rPr>
            <w:noProof/>
            <w:webHidden/>
          </w:rPr>
          <w:fldChar w:fldCharType="begin"/>
        </w:r>
        <w:r w:rsidR="009D6720">
          <w:rPr>
            <w:noProof/>
            <w:webHidden/>
          </w:rPr>
          <w:instrText xml:space="preserve"> PAGEREF _Toc96957665 \h </w:instrText>
        </w:r>
        <w:r w:rsidR="009D6720">
          <w:rPr>
            <w:noProof/>
            <w:webHidden/>
          </w:rPr>
        </w:r>
        <w:r w:rsidR="009D6720">
          <w:rPr>
            <w:noProof/>
            <w:webHidden/>
          </w:rPr>
          <w:fldChar w:fldCharType="separate"/>
        </w:r>
        <w:r w:rsidR="005A6B1E">
          <w:rPr>
            <w:noProof/>
            <w:webHidden/>
          </w:rPr>
          <w:t>16</w:t>
        </w:r>
        <w:r w:rsidR="009D6720">
          <w:rPr>
            <w:noProof/>
            <w:webHidden/>
          </w:rPr>
          <w:fldChar w:fldCharType="end"/>
        </w:r>
      </w:hyperlink>
    </w:p>
    <w:p w14:paraId="34D26AC9" w14:textId="20AD5955" w:rsidR="009D6720" w:rsidRDefault="004E2360">
      <w:pPr>
        <w:pStyle w:val="TOC2"/>
        <w:tabs>
          <w:tab w:val="left" w:pos="960"/>
          <w:tab w:val="right" w:leader="dot" w:pos="9016"/>
        </w:tabs>
        <w:rPr>
          <w:rFonts w:eastAsiaTheme="minorEastAsia" w:cstheme="minorBidi"/>
          <w:b w:val="0"/>
          <w:bCs w:val="0"/>
          <w:noProof/>
          <w:sz w:val="24"/>
          <w:szCs w:val="24"/>
        </w:rPr>
      </w:pPr>
      <w:hyperlink w:anchor="_Toc96957666" w:history="1">
        <w:r w:rsidR="009D6720" w:rsidRPr="002532DD">
          <w:rPr>
            <w:rStyle w:val="Hyperlink"/>
            <w:noProof/>
          </w:rPr>
          <w:t>1.5.</w:t>
        </w:r>
        <w:r w:rsidR="009D6720">
          <w:rPr>
            <w:rFonts w:eastAsiaTheme="minorEastAsia" w:cstheme="minorBidi"/>
            <w:b w:val="0"/>
            <w:bCs w:val="0"/>
            <w:noProof/>
            <w:sz w:val="24"/>
            <w:szCs w:val="24"/>
          </w:rPr>
          <w:tab/>
        </w:r>
        <w:r w:rsidR="009D6720" w:rsidRPr="002532DD">
          <w:rPr>
            <w:rStyle w:val="Hyperlink"/>
            <w:noProof/>
          </w:rPr>
          <w:t>References:</w:t>
        </w:r>
        <w:r w:rsidR="009D6720">
          <w:rPr>
            <w:noProof/>
            <w:webHidden/>
          </w:rPr>
          <w:tab/>
        </w:r>
        <w:r w:rsidR="009D6720">
          <w:rPr>
            <w:noProof/>
            <w:webHidden/>
          </w:rPr>
          <w:fldChar w:fldCharType="begin"/>
        </w:r>
        <w:r w:rsidR="009D6720">
          <w:rPr>
            <w:noProof/>
            <w:webHidden/>
          </w:rPr>
          <w:instrText xml:space="preserve"> PAGEREF _Toc96957666 \h </w:instrText>
        </w:r>
        <w:r w:rsidR="009D6720">
          <w:rPr>
            <w:noProof/>
            <w:webHidden/>
          </w:rPr>
        </w:r>
        <w:r w:rsidR="009D6720">
          <w:rPr>
            <w:noProof/>
            <w:webHidden/>
          </w:rPr>
          <w:fldChar w:fldCharType="separate"/>
        </w:r>
        <w:r w:rsidR="005A6B1E">
          <w:rPr>
            <w:noProof/>
            <w:webHidden/>
          </w:rPr>
          <w:t>16</w:t>
        </w:r>
        <w:r w:rsidR="009D6720">
          <w:rPr>
            <w:noProof/>
            <w:webHidden/>
          </w:rPr>
          <w:fldChar w:fldCharType="end"/>
        </w:r>
      </w:hyperlink>
    </w:p>
    <w:p w14:paraId="07577192" w14:textId="4485BD32" w:rsidR="009D6720" w:rsidRPr="005A6B1E" w:rsidRDefault="004E2360" w:rsidP="005A6B1E">
      <w:pPr>
        <w:pStyle w:val="TOC1"/>
        <w:rPr>
          <w:rFonts w:eastAsiaTheme="minorEastAsia" w:cstheme="minorBidi"/>
        </w:rPr>
      </w:pPr>
      <w:hyperlink w:anchor="_Toc96957667" w:history="1">
        <w:r w:rsidR="009D6720" w:rsidRPr="005A6B1E">
          <w:rPr>
            <w:rStyle w:val="Hyperlink"/>
            <w:color w:val="2F5496" w:themeColor="accent1" w:themeShade="BF"/>
          </w:rPr>
          <w:t>Chapter 2 - Using Anonymous Application Procedures to Address Discrimination in Recruitment and Selection</w:t>
        </w:r>
        <w:r w:rsidR="009D6720" w:rsidRPr="005A6B1E">
          <w:rPr>
            <w:webHidden/>
          </w:rPr>
          <w:tab/>
        </w:r>
        <w:r w:rsidR="009D6720" w:rsidRPr="005A6B1E">
          <w:rPr>
            <w:webHidden/>
          </w:rPr>
          <w:fldChar w:fldCharType="begin"/>
        </w:r>
        <w:r w:rsidR="009D6720" w:rsidRPr="005A6B1E">
          <w:rPr>
            <w:webHidden/>
          </w:rPr>
          <w:instrText xml:space="preserve"> PAGEREF _Toc96957667 \h </w:instrText>
        </w:r>
        <w:r w:rsidR="009D6720" w:rsidRPr="005A6B1E">
          <w:rPr>
            <w:webHidden/>
          </w:rPr>
        </w:r>
        <w:r w:rsidR="009D6720" w:rsidRPr="005A6B1E">
          <w:rPr>
            <w:webHidden/>
          </w:rPr>
          <w:fldChar w:fldCharType="separate"/>
        </w:r>
        <w:r w:rsidR="005A6B1E" w:rsidRPr="005A6B1E">
          <w:rPr>
            <w:webHidden/>
          </w:rPr>
          <w:t>17</w:t>
        </w:r>
        <w:r w:rsidR="009D6720" w:rsidRPr="005A6B1E">
          <w:rPr>
            <w:webHidden/>
          </w:rPr>
          <w:fldChar w:fldCharType="end"/>
        </w:r>
      </w:hyperlink>
    </w:p>
    <w:p w14:paraId="40ACABA1" w14:textId="0275DBC4" w:rsidR="009D6720" w:rsidRDefault="004E2360">
      <w:pPr>
        <w:pStyle w:val="TOC2"/>
        <w:tabs>
          <w:tab w:val="left" w:pos="960"/>
          <w:tab w:val="right" w:leader="dot" w:pos="9016"/>
        </w:tabs>
        <w:rPr>
          <w:rFonts w:eastAsiaTheme="minorEastAsia" w:cstheme="minorBidi"/>
          <w:b w:val="0"/>
          <w:bCs w:val="0"/>
          <w:noProof/>
          <w:sz w:val="24"/>
          <w:szCs w:val="24"/>
        </w:rPr>
      </w:pPr>
      <w:hyperlink w:anchor="_Toc96957668" w:history="1">
        <w:r w:rsidR="009D6720" w:rsidRPr="002532DD">
          <w:rPr>
            <w:rStyle w:val="Hyperlink"/>
            <w:noProof/>
          </w:rPr>
          <w:t>2.1.</w:t>
        </w:r>
        <w:r w:rsidR="009D6720">
          <w:rPr>
            <w:rFonts w:eastAsiaTheme="minorEastAsia" w:cstheme="minorBidi"/>
            <w:b w:val="0"/>
            <w:bCs w:val="0"/>
            <w:noProof/>
            <w:sz w:val="24"/>
            <w:szCs w:val="24"/>
          </w:rPr>
          <w:tab/>
        </w:r>
        <w:r w:rsidR="009D6720" w:rsidRPr="002532DD">
          <w:rPr>
            <w:rStyle w:val="Hyperlink"/>
            <w:noProof/>
          </w:rPr>
          <w:t>Executive Summary</w:t>
        </w:r>
        <w:r w:rsidR="009D6720">
          <w:rPr>
            <w:noProof/>
            <w:webHidden/>
          </w:rPr>
          <w:tab/>
        </w:r>
        <w:r w:rsidR="009D6720">
          <w:rPr>
            <w:noProof/>
            <w:webHidden/>
          </w:rPr>
          <w:fldChar w:fldCharType="begin"/>
        </w:r>
        <w:r w:rsidR="009D6720">
          <w:rPr>
            <w:noProof/>
            <w:webHidden/>
          </w:rPr>
          <w:instrText xml:space="preserve"> PAGEREF _Toc96957668 \h </w:instrText>
        </w:r>
        <w:r w:rsidR="009D6720">
          <w:rPr>
            <w:noProof/>
            <w:webHidden/>
          </w:rPr>
        </w:r>
        <w:r w:rsidR="009D6720">
          <w:rPr>
            <w:noProof/>
            <w:webHidden/>
          </w:rPr>
          <w:fldChar w:fldCharType="separate"/>
        </w:r>
        <w:r w:rsidR="005A6B1E">
          <w:rPr>
            <w:noProof/>
            <w:webHidden/>
          </w:rPr>
          <w:t>17</w:t>
        </w:r>
        <w:r w:rsidR="009D6720">
          <w:rPr>
            <w:noProof/>
            <w:webHidden/>
          </w:rPr>
          <w:fldChar w:fldCharType="end"/>
        </w:r>
      </w:hyperlink>
    </w:p>
    <w:p w14:paraId="3B41252B" w14:textId="0BE0BE15" w:rsidR="009D6720" w:rsidRDefault="004E2360">
      <w:pPr>
        <w:pStyle w:val="TOC2"/>
        <w:tabs>
          <w:tab w:val="left" w:pos="960"/>
          <w:tab w:val="right" w:leader="dot" w:pos="9016"/>
        </w:tabs>
        <w:rPr>
          <w:rFonts w:eastAsiaTheme="minorEastAsia" w:cstheme="minorBidi"/>
          <w:b w:val="0"/>
          <w:bCs w:val="0"/>
          <w:noProof/>
          <w:sz w:val="24"/>
          <w:szCs w:val="24"/>
        </w:rPr>
      </w:pPr>
      <w:hyperlink w:anchor="_Toc96957669" w:history="1">
        <w:r w:rsidR="009D6720" w:rsidRPr="002532DD">
          <w:rPr>
            <w:rStyle w:val="Hyperlink"/>
            <w:noProof/>
          </w:rPr>
          <w:t>2.2.</w:t>
        </w:r>
        <w:r w:rsidR="009D6720">
          <w:rPr>
            <w:rFonts w:eastAsiaTheme="minorEastAsia" w:cstheme="minorBidi"/>
            <w:b w:val="0"/>
            <w:bCs w:val="0"/>
            <w:noProof/>
            <w:sz w:val="24"/>
            <w:szCs w:val="24"/>
          </w:rPr>
          <w:tab/>
        </w:r>
        <w:r w:rsidR="009D6720" w:rsidRPr="002532DD">
          <w:rPr>
            <w:rStyle w:val="Hyperlink"/>
            <w:noProof/>
          </w:rPr>
          <w:t>Introduction</w:t>
        </w:r>
        <w:r w:rsidR="009D6720">
          <w:rPr>
            <w:noProof/>
            <w:webHidden/>
          </w:rPr>
          <w:tab/>
        </w:r>
        <w:r w:rsidR="009D6720">
          <w:rPr>
            <w:noProof/>
            <w:webHidden/>
          </w:rPr>
          <w:fldChar w:fldCharType="begin"/>
        </w:r>
        <w:r w:rsidR="009D6720">
          <w:rPr>
            <w:noProof/>
            <w:webHidden/>
          </w:rPr>
          <w:instrText xml:space="preserve"> PAGEREF _Toc96957669 \h </w:instrText>
        </w:r>
        <w:r w:rsidR="009D6720">
          <w:rPr>
            <w:noProof/>
            <w:webHidden/>
          </w:rPr>
        </w:r>
        <w:r w:rsidR="009D6720">
          <w:rPr>
            <w:noProof/>
            <w:webHidden/>
          </w:rPr>
          <w:fldChar w:fldCharType="separate"/>
        </w:r>
        <w:r w:rsidR="005A6B1E">
          <w:rPr>
            <w:noProof/>
            <w:webHidden/>
          </w:rPr>
          <w:t>17</w:t>
        </w:r>
        <w:r w:rsidR="009D6720">
          <w:rPr>
            <w:noProof/>
            <w:webHidden/>
          </w:rPr>
          <w:fldChar w:fldCharType="end"/>
        </w:r>
      </w:hyperlink>
    </w:p>
    <w:p w14:paraId="4D3BA8C1" w14:textId="4BCF5FF6" w:rsidR="009D6720" w:rsidRDefault="004E2360">
      <w:pPr>
        <w:pStyle w:val="TOC2"/>
        <w:tabs>
          <w:tab w:val="left" w:pos="960"/>
          <w:tab w:val="right" w:leader="dot" w:pos="9016"/>
        </w:tabs>
        <w:rPr>
          <w:rFonts w:eastAsiaTheme="minorEastAsia" w:cstheme="minorBidi"/>
          <w:b w:val="0"/>
          <w:bCs w:val="0"/>
          <w:noProof/>
          <w:sz w:val="24"/>
          <w:szCs w:val="24"/>
        </w:rPr>
      </w:pPr>
      <w:hyperlink w:anchor="_Toc96957670" w:history="1">
        <w:r w:rsidR="009D6720" w:rsidRPr="002532DD">
          <w:rPr>
            <w:rStyle w:val="Hyperlink"/>
            <w:noProof/>
          </w:rPr>
          <w:t>2.3.</w:t>
        </w:r>
        <w:r w:rsidR="009D6720">
          <w:rPr>
            <w:rFonts w:eastAsiaTheme="minorEastAsia" w:cstheme="minorBidi"/>
            <w:b w:val="0"/>
            <w:bCs w:val="0"/>
            <w:noProof/>
            <w:sz w:val="24"/>
            <w:szCs w:val="24"/>
          </w:rPr>
          <w:tab/>
        </w:r>
        <w:r w:rsidR="009D6720" w:rsidRPr="002532DD">
          <w:rPr>
            <w:rStyle w:val="Hyperlink"/>
            <w:noProof/>
          </w:rPr>
          <w:t>Methods</w:t>
        </w:r>
        <w:r w:rsidR="009D6720">
          <w:rPr>
            <w:noProof/>
            <w:webHidden/>
          </w:rPr>
          <w:tab/>
        </w:r>
        <w:r w:rsidR="009D6720">
          <w:rPr>
            <w:noProof/>
            <w:webHidden/>
          </w:rPr>
          <w:fldChar w:fldCharType="begin"/>
        </w:r>
        <w:r w:rsidR="009D6720">
          <w:rPr>
            <w:noProof/>
            <w:webHidden/>
          </w:rPr>
          <w:instrText xml:space="preserve"> PAGEREF _Toc96957670 \h </w:instrText>
        </w:r>
        <w:r w:rsidR="009D6720">
          <w:rPr>
            <w:noProof/>
            <w:webHidden/>
          </w:rPr>
        </w:r>
        <w:r w:rsidR="009D6720">
          <w:rPr>
            <w:noProof/>
            <w:webHidden/>
          </w:rPr>
          <w:fldChar w:fldCharType="separate"/>
        </w:r>
        <w:r w:rsidR="005A6B1E">
          <w:rPr>
            <w:noProof/>
            <w:webHidden/>
          </w:rPr>
          <w:t>19</w:t>
        </w:r>
        <w:r w:rsidR="009D6720">
          <w:rPr>
            <w:noProof/>
            <w:webHidden/>
          </w:rPr>
          <w:fldChar w:fldCharType="end"/>
        </w:r>
      </w:hyperlink>
    </w:p>
    <w:p w14:paraId="04C5CE8E" w14:textId="6078EFF0" w:rsidR="009D6720" w:rsidRDefault="004E2360">
      <w:pPr>
        <w:pStyle w:val="TOC3"/>
        <w:tabs>
          <w:tab w:val="left" w:pos="1200"/>
          <w:tab w:val="right" w:leader="dot" w:pos="9016"/>
        </w:tabs>
        <w:rPr>
          <w:rFonts w:eastAsiaTheme="minorEastAsia" w:cstheme="minorBidi"/>
          <w:noProof/>
          <w:sz w:val="24"/>
          <w:szCs w:val="24"/>
        </w:rPr>
      </w:pPr>
      <w:hyperlink w:anchor="_Toc96957671" w:history="1">
        <w:r w:rsidR="009D6720" w:rsidRPr="002532DD">
          <w:rPr>
            <w:rStyle w:val="Hyperlink"/>
            <w:b/>
            <w:bCs/>
            <w:i/>
            <w:iCs/>
            <w:noProof/>
          </w:rPr>
          <w:t>2.3.1.</w:t>
        </w:r>
        <w:r w:rsidR="009D6720">
          <w:rPr>
            <w:rFonts w:eastAsiaTheme="minorEastAsia" w:cstheme="minorBidi"/>
            <w:noProof/>
            <w:sz w:val="24"/>
            <w:szCs w:val="24"/>
          </w:rPr>
          <w:tab/>
        </w:r>
        <w:r w:rsidR="009D6720" w:rsidRPr="002532DD">
          <w:rPr>
            <w:rStyle w:val="Hyperlink"/>
            <w:b/>
            <w:bCs/>
            <w:i/>
            <w:iCs/>
            <w:noProof/>
          </w:rPr>
          <w:t>Eligibility</w:t>
        </w:r>
        <w:r w:rsidR="009D6720">
          <w:rPr>
            <w:noProof/>
            <w:webHidden/>
          </w:rPr>
          <w:tab/>
        </w:r>
        <w:r w:rsidR="009D6720">
          <w:rPr>
            <w:noProof/>
            <w:webHidden/>
          </w:rPr>
          <w:fldChar w:fldCharType="begin"/>
        </w:r>
        <w:r w:rsidR="009D6720">
          <w:rPr>
            <w:noProof/>
            <w:webHidden/>
          </w:rPr>
          <w:instrText xml:space="preserve"> PAGEREF _Toc96957671 \h </w:instrText>
        </w:r>
        <w:r w:rsidR="009D6720">
          <w:rPr>
            <w:noProof/>
            <w:webHidden/>
          </w:rPr>
        </w:r>
        <w:r w:rsidR="009D6720">
          <w:rPr>
            <w:noProof/>
            <w:webHidden/>
          </w:rPr>
          <w:fldChar w:fldCharType="separate"/>
        </w:r>
        <w:r w:rsidR="005A6B1E">
          <w:rPr>
            <w:noProof/>
            <w:webHidden/>
          </w:rPr>
          <w:t>19</w:t>
        </w:r>
        <w:r w:rsidR="009D6720">
          <w:rPr>
            <w:noProof/>
            <w:webHidden/>
          </w:rPr>
          <w:fldChar w:fldCharType="end"/>
        </w:r>
      </w:hyperlink>
    </w:p>
    <w:p w14:paraId="3391DA47" w14:textId="14BD60A1" w:rsidR="009D6720" w:rsidRDefault="004E2360">
      <w:pPr>
        <w:pStyle w:val="TOC3"/>
        <w:tabs>
          <w:tab w:val="left" w:pos="1200"/>
          <w:tab w:val="right" w:leader="dot" w:pos="9016"/>
        </w:tabs>
        <w:rPr>
          <w:rFonts w:eastAsiaTheme="minorEastAsia" w:cstheme="minorBidi"/>
          <w:noProof/>
          <w:sz w:val="24"/>
          <w:szCs w:val="24"/>
        </w:rPr>
      </w:pPr>
      <w:hyperlink w:anchor="_Toc96957672" w:history="1">
        <w:r w:rsidR="009D6720" w:rsidRPr="002532DD">
          <w:rPr>
            <w:rStyle w:val="Hyperlink"/>
            <w:b/>
            <w:bCs/>
            <w:i/>
            <w:iCs/>
            <w:noProof/>
          </w:rPr>
          <w:t>2.3.2.</w:t>
        </w:r>
        <w:r w:rsidR="009D6720">
          <w:rPr>
            <w:rFonts w:eastAsiaTheme="minorEastAsia" w:cstheme="minorBidi"/>
            <w:noProof/>
            <w:sz w:val="24"/>
            <w:szCs w:val="24"/>
          </w:rPr>
          <w:tab/>
        </w:r>
        <w:r w:rsidR="009D6720" w:rsidRPr="002532DD">
          <w:rPr>
            <w:rStyle w:val="Hyperlink"/>
            <w:b/>
            <w:bCs/>
            <w:i/>
            <w:iCs/>
            <w:noProof/>
          </w:rPr>
          <w:t>Literature search</w:t>
        </w:r>
        <w:r w:rsidR="009D6720">
          <w:rPr>
            <w:noProof/>
            <w:webHidden/>
          </w:rPr>
          <w:tab/>
        </w:r>
        <w:r w:rsidR="009D6720">
          <w:rPr>
            <w:noProof/>
            <w:webHidden/>
          </w:rPr>
          <w:fldChar w:fldCharType="begin"/>
        </w:r>
        <w:r w:rsidR="009D6720">
          <w:rPr>
            <w:noProof/>
            <w:webHidden/>
          </w:rPr>
          <w:instrText xml:space="preserve"> PAGEREF _Toc96957672 \h </w:instrText>
        </w:r>
        <w:r w:rsidR="009D6720">
          <w:rPr>
            <w:noProof/>
            <w:webHidden/>
          </w:rPr>
        </w:r>
        <w:r w:rsidR="009D6720">
          <w:rPr>
            <w:noProof/>
            <w:webHidden/>
          </w:rPr>
          <w:fldChar w:fldCharType="separate"/>
        </w:r>
        <w:r w:rsidR="005A6B1E">
          <w:rPr>
            <w:noProof/>
            <w:webHidden/>
          </w:rPr>
          <w:t>19</w:t>
        </w:r>
        <w:r w:rsidR="009D6720">
          <w:rPr>
            <w:noProof/>
            <w:webHidden/>
          </w:rPr>
          <w:fldChar w:fldCharType="end"/>
        </w:r>
      </w:hyperlink>
    </w:p>
    <w:p w14:paraId="7D6FB493" w14:textId="29A28351" w:rsidR="009D6720" w:rsidRDefault="004E2360">
      <w:pPr>
        <w:pStyle w:val="TOC3"/>
        <w:tabs>
          <w:tab w:val="left" w:pos="1200"/>
          <w:tab w:val="right" w:leader="dot" w:pos="9016"/>
        </w:tabs>
        <w:rPr>
          <w:rFonts w:eastAsiaTheme="minorEastAsia" w:cstheme="minorBidi"/>
          <w:noProof/>
          <w:sz w:val="24"/>
          <w:szCs w:val="24"/>
        </w:rPr>
      </w:pPr>
      <w:hyperlink w:anchor="_Toc96957673" w:history="1">
        <w:r w:rsidR="009D6720" w:rsidRPr="002532DD">
          <w:rPr>
            <w:rStyle w:val="Hyperlink"/>
            <w:b/>
            <w:bCs/>
            <w:i/>
            <w:iCs/>
            <w:noProof/>
          </w:rPr>
          <w:t>2.3.3.</w:t>
        </w:r>
        <w:r w:rsidR="009D6720">
          <w:rPr>
            <w:rFonts w:eastAsiaTheme="minorEastAsia" w:cstheme="minorBidi"/>
            <w:noProof/>
            <w:sz w:val="24"/>
            <w:szCs w:val="24"/>
          </w:rPr>
          <w:tab/>
        </w:r>
        <w:r w:rsidR="009D6720" w:rsidRPr="002532DD">
          <w:rPr>
            <w:rStyle w:val="Hyperlink"/>
            <w:b/>
            <w:bCs/>
            <w:i/>
            <w:iCs/>
            <w:noProof/>
          </w:rPr>
          <w:t>Data extraction</w:t>
        </w:r>
        <w:r w:rsidR="009D6720">
          <w:rPr>
            <w:noProof/>
            <w:webHidden/>
          </w:rPr>
          <w:tab/>
        </w:r>
        <w:r w:rsidR="009D6720">
          <w:rPr>
            <w:noProof/>
            <w:webHidden/>
          </w:rPr>
          <w:fldChar w:fldCharType="begin"/>
        </w:r>
        <w:r w:rsidR="009D6720">
          <w:rPr>
            <w:noProof/>
            <w:webHidden/>
          </w:rPr>
          <w:instrText xml:space="preserve"> PAGEREF _Toc96957673 \h </w:instrText>
        </w:r>
        <w:r w:rsidR="009D6720">
          <w:rPr>
            <w:noProof/>
            <w:webHidden/>
          </w:rPr>
        </w:r>
        <w:r w:rsidR="009D6720">
          <w:rPr>
            <w:noProof/>
            <w:webHidden/>
          </w:rPr>
          <w:fldChar w:fldCharType="separate"/>
        </w:r>
        <w:r w:rsidR="005A6B1E">
          <w:rPr>
            <w:noProof/>
            <w:webHidden/>
          </w:rPr>
          <w:t>22</w:t>
        </w:r>
        <w:r w:rsidR="009D6720">
          <w:rPr>
            <w:noProof/>
            <w:webHidden/>
          </w:rPr>
          <w:fldChar w:fldCharType="end"/>
        </w:r>
      </w:hyperlink>
    </w:p>
    <w:p w14:paraId="416F62FD" w14:textId="0C237EC4" w:rsidR="009D6720" w:rsidRDefault="004E2360">
      <w:pPr>
        <w:pStyle w:val="TOC2"/>
        <w:tabs>
          <w:tab w:val="left" w:pos="960"/>
          <w:tab w:val="right" w:leader="dot" w:pos="9016"/>
        </w:tabs>
        <w:rPr>
          <w:rFonts w:eastAsiaTheme="minorEastAsia" w:cstheme="minorBidi"/>
          <w:b w:val="0"/>
          <w:bCs w:val="0"/>
          <w:noProof/>
          <w:sz w:val="24"/>
          <w:szCs w:val="24"/>
        </w:rPr>
      </w:pPr>
      <w:hyperlink w:anchor="_Toc96957674" w:history="1">
        <w:r w:rsidR="009D6720" w:rsidRPr="002532DD">
          <w:rPr>
            <w:rStyle w:val="Hyperlink"/>
            <w:noProof/>
          </w:rPr>
          <w:t>2.4.</w:t>
        </w:r>
        <w:r w:rsidR="009D6720">
          <w:rPr>
            <w:rFonts w:eastAsiaTheme="minorEastAsia" w:cstheme="minorBidi"/>
            <w:b w:val="0"/>
            <w:bCs w:val="0"/>
            <w:noProof/>
            <w:sz w:val="24"/>
            <w:szCs w:val="24"/>
          </w:rPr>
          <w:tab/>
        </w:r>
        <w:r w:rsidR="009D6720" w:rsidRPr="002532DD">
          <w:rPr>
            <w:rStyle w:val="Hyperlink"/>
            <w:noProof/>
          </w:rPr>
          <w:t>Findings and Recommendations</w:t>
        </w:r>
        <w:r w:rsidR="009D6720">
          <w:rPr>
            <w:noProof/>
            <w:webHidden/>
          </w:rPr>
          <w:tab/>
        </w:r>
        <w:r w:rsidR="009D6720">
          <w:rPr>
            <w:noProof/>
            <w:webHidden/>
          </w:rPr>
          <w:fldChar w:fldCharType="begin"/>
        </w:r>
        <w:r w:rsidR="009D6720">
          <w:rPr>
            <w:noProof/>
            <w:webHidden/>
          </w:rPr>
          <w:instrText xml:space="preserve"> PAGEREF _Toc96957674 \h </w:instrText>
        </w:r>
        <w:r w:rsidR="009D6720">
          <w:rPr>
            <w:noProof/>
            <w:webHidden/>
          </w:rPr>
        </w:r>
        <w:r w:rsidR="009D6720">
          <w:rPr>
            <w:noProof/>
            <w:webHidden/>
          </w:rPr>
          <w:fldChar w:fldCharType="separate"/>
        </w:r>
        <w:r w:rsidR="005A6B1E">
          <w:rPr>
            <w:noProof/>
            <w:webHidden/>
          </w:rPr>
          <w:t>22</w:t>
        </w:r>
        <w:r w:rsidR="009D6720">
          <w:rPr>
            <w:noProof/>
            <w:webHidden/>
          </w:rPr>
          <w:fldChar w:fldCharType="end"/>
        </w:r>
      </w:hyperlink>
    </w:p>
    <w:p w14:paraId="693559DA" w14:textId="74FCA885" w:rsidR="009D6720" w:rsidRDefault="004E2360">
      <w:pPr>
        <w:pStyle w:val="TOC2"/>
        <w:tabs>
          <w:tab w:val="left" w:pos="960"/>
          <w:tab w:val="right" w:leader="dot" w:pos="9016"/>
        </w:tabs>
        <w:rPr>
          <w:rFonts w:eastAsiaTheme="minorEastAsia" w:cstheme="minorBidi"/>
          <w:b w:val="0"/>
          <w:bCs w:val="0"/>
          <w:noProof/>
          <w:sz w:val="24"/>
          <w:szCs w:val="24"/>
        </w:rPr>
      </w:pPr>
      <w:hyperlink w:anchor="_Toc96957675" w:history="1">
        <w:r w:rsidR="009D6720" w:rsidRPr="002532DD">
          <w:rPr>
            <w:rStyle w:val="Hyperlink"/>
            <w:noProof/>
          </w:rPr>
          <w:t>2.5.</w:t>
        </w:r>
        <w:r w:rsidR="009D6720">
          <w:rPr>
            <w:rFonts w:eastAsiaTheme="minorEastAsia" w:cstheme="minorBidi"/>
            <w:b w:val="0"/>
            <w:bCs w:val="0"/>
            <w:noProof/>
            <w:sz w:val="24"/>
            <w:szCs w:val="24"/>
          </w:rPr>
          <w:tab/>
        </w:r>
        <w:r w:rsidR="009D6720" w:rsidRPr="002532DD">
          <w:rPr>
            <w:rStyle w:val="Hyperlink"/>
            <w:noProof/>
          </w:rPr>
          <w:t>Key Considerations from the Research</w:t>
        </w:r>
        <w:r w:rsidR="009D6720">
          <w:rPr>
            <w:noProof/>
            <w:webHidden/>
          </w:rPr>
          <w:tab/>
        </w:r>
        <w:r w:rsidR="009D6720">
          <w:rPr>
            <w:noProof/>
            <w:webHidden/>
          </w:rPr>
          <w:fldChar w:fldCharType="begin"/>
        </w:r>
        <w:r w:rsidR="009D6720">
          <w:rPr>
            <w:noProof/>
            <w:webHidden/>
          </w:rPr>
          <w:instrText xml:space="preserve"> PAGEREF _Toc96957675 \h </w:instrText>
        </w:r>
        <w:r w:rsidR="009D6720">
          <w:rPr>
            <w:noProof/>
            <w:webHidden/>
          </w:rPr>
        </w:r>
        <w:r w:rsidR="009D6720">
          <w:rPr>
            <w:noProof/>
            <w:webHidden/>
          </w:rPr>
          <w:fldChar w:fldCharType="separate"/>
        </w:r>
        <w:r w:rsidR="005A6B1E">
          <w:rPr>
            <w:noProof/>
            <w:webHidden/>
          </w:rPr>
          <w:t>25</w:t>
        </w:r>
        <w:r w:rsidR="009D6720">
          <w:rPr>
            <w:noProof/>
            <w:webHidden/>
          </w:rPr>
          <w:fldChar w:fldCharType="end"/>
        </w:r>
      </w:hyperlink>
    </w:p>
    <w:p w14:paraId="3EC4E726" w14:textId="11D934D4" w:rsidR="009D6720" w:rsidRDefault="004E2360">
      <w:pPr>
        <w:pStyle w:val="TOC2"/>
        <w:tabs>
          <w:tab w:val="left" w:pos="960"/>
          <w:tab w:val="right" w:leader="dot" w:pos="9016"/>
        </w:tabs>
        <w:rPr>
          <w:rFonts w:eastAsiaTheme="minorEastAsia" w:cstheme="minorBidi"/>
          <w:b w:val="0"/>
          <w:bCs w:val="0"/>
          <w:noProof/>
          <w:sz w:val="24"/>
          <w:szCs w:val="24"/>
        </w:rPr>
      </w:pPr>
      <w:hyperlink w:anchor="_Toc96957676" w:history="1">
        <w:r w:rsidR="009D6720" w:rsidRPr="002532DD">
          <w:rPr>
            <w:rStyle w:val="Hyperlink"/>
            <w:noProof/>
          </w:rPr>
          <w:t>2.6.</w:t>
        </w:r>
        <w:r w:rsidR="009D6720">
          <w:rPr>
            <w:rFonts w:eastAsiaTheme="minorEastAsia" w:cstheme="minorBidi"/>
            <w:b w:val="0"/>
            <w:bCs w:val="0"/>
            <w:noProof/>
            <w:sz w:val="24"/>
            <w:szCs w:val="24"/>
          </w:rPr>
          <w:tab/>
        </w:r>
        <w:r w:rsidR="009D6720" w:rsidRPr="002532DD">
          <w:rPr>
            <w:rStyle w:val="Hyperlink"/>
            <w:noProof/>
          </w:rPr>
          <w:t>A Roadmap for Action</w:t>
        </w:r>
        <w:r w:rsidR="009D6720">
          <w:rPr>
            <w:noProof/>
            <w:webHidden/>
          </w:rPr>
          <w:tab/>
        </w:r>
        <w:r w:rsidR="009D6720">
          <w:rPr>
            <w:noProof/>
            <w:webHidden/>
          </w:rPr>
          <w:fldChar w:fldCharType="begin"/>
        </w:r>
        <w:r w:rsidR="009D6720">
          <w:rPr>
            <w:noProof/>
            <w:webHidden/>
          </w:rPr>
          <w:instrText xml:space="preserve"> PAGEREF _Toc96957676 \h </w:instrText>
        </w:r>
        <w:r w:rsidR="009D6720">
          <w:rPr>
            <w:noProof/>
            <w:webHidden/>
          </w:rPr>
        </w:r>
        <w:r w:rsidR="009D6720">
          <w:rPr>
            <w:noProof/>
            <w:webHidden/>
          </w:rPr>
          <w:fldChar w:fldCharType="separate"/>
        </w:r>
        <w:r w:rsidR="005A6B1E">
          <w:rPr>
            <w:noProof/>
            <w:webHidden/>
          </w:rPr>
          <w:t>26</w:t>
        </w:r>
        <w:r w:rsidR="009D6720">
          <w:rPr>
            <w:noProof/>
            <w:webHidden/>
          </w:rPr>
          <w:fldChar w:fldCharType="end"/>
        </w:r>
      </w:hyperlink>
    </w:p>
    <w:p w14:paraId="22E46650" w14:textId="3F753A67" w:rsidR="009D6720" w:rsidRDefault="004E2360">
      <w:pPr>
        <w:pStyle w:val="TOC3"/>
        <w:tabs>
          <w:tab w:val="left" w:pos="1200"/>
          <w:tab w:val="right" w:leader="dot" w:pos="9016"/>
        </w:tabs>
        <w:rPr>
          <w:rFonts w:eastAsiaTheme="minorEastAsia" w:cstheme="minorBidi"/>
          <w:noProof/>
          <w:sz w:val="24"/>
          <w:szCs w:val="24"/>
        </w:rPr>
      </w:pPr>
      <w:hyperlink w:anchor="_Toc96957677" w:history="1">
        <w:r w:rsidR="009D6720" w:rsidRPr="002532DD">
          <w:rPr>
            <w:rStyle w:val="Hyperlink"/>
            <w:b/>
            <w:bCs/>
            <w:i/>
            <w:iCs/>
            <w:noProof/>
          </w:rPr>
          <w:t>2.6.1.</w:t>
        </w:r>
        <w:r w:rsidR="009D6720">
          <w:rPr>
            <w:rFonts w:eastAsiaTheme="minorEastAsia" w:cstheme="minorBidi"/>
            <w:noProof/>
            <w:sz w:val="24"/>
            <w:szCs w:val="24"/>
          </w:rPr>
          <w:tab/>
        </w:r>
        <w:r w:rsidR="009D6720" w:rsidRPr="002532DD">
          <w:rPr>
            <w:rStyle w:val="Hyperlink"/>
            <w:b/>
            <w:bCs/>
            <w:i/>
            <w:iCs/>
            <w:noProof/>
          </w:rPr>
          <w:t>Prejudice reduction</w:t>
        </w:r>
        <w:r w:rsidR="009D6720">
          <w:rPr>
            <w:noProof/>
            <w:webHidden/>
          </w:rPr>
          <w:tab/>
        </w:r>
        <w:r w:rsidR="009D6720">
          <w:rPr>
            <w:noProof/>
            <w:webHidden/>
          </w:rPr>
          <w:fldChar w:fldCharType="begin"/>
        </w:r>
        <w:r w:rsidR="009D6720">
          <w:rPr>
            <w:noProof/>
            <w:webHidden/>
          </w:rPr>
          <w:instrText xml:space="preserve"> PAGEREF _Toc96957677 \h </w:instrText>
        </w:r>
        <w:r w:rsidR="009D6720">
          <w:rPr>
            <w:noProof/>
            <w:webHidden/>
          </w:rPr>
        </w:r>
        <w:r w:rsidR="009D6720">
          <w:rPr>
            <w:noProof/>
            <w:webHidden/>
          </w:rPr>
          <w:fldChar w:fldCharType="separate"/>
        </w:r>
        <w:r w:rsidR="005A6B1E">
          <w:rPr>
            <w:noProof/>
            <w:webHidden/>
          </w:rPr>
          <w:t>26</w:t>
        </w:r>
        <w:r w:rsidR="009D6720">
          <w:rPr>
            <w:noProof/>
            <w:webHidden/>
          </w:rPr>
          <w:fldChar w:fldCharType="end"/>
        </w:r>
      </w:hyperlink>
    </w:p>
    <w:p w14:paraId="2F35C5CF" w14:textId="4AE7B1F8" w:rsidR="009D6720" w:rsidRDefault="004E2360">
      <w:pPr>
        <w:pStyle w:val="TOC3"/>
        <w:tabs>
          <w:tab w:val="left" w:pos="1200"/>
          <w:tab w:val="right" w:leader="dot" w:pos="9016"/>
        </w:tabs>
        <w:rPr>
          <w:rFonts w:eastAsiaTheme="minorEastAsia" w:cstheme="minorBidi"/>
          <w:noProof/>
          <w:sz w:val="24"/>
          <w:szCs w:val="24"/>
        </w:rPr>
      </w:pPr>
      <w:hyperlink w:anchor="_Toc96957678" w:history="1">
        <w:r w:rsidR="009D6720" w:rsidRPr="002532DD">
          <w:rPr>
            <w:rStyle w:val="Hyperlink"/>
            <w:b/>
            <w:bCs/>
            <w:i/>
            <w:iCs/>
            <w:noProof/>
          </w:rPr>
          <w:t>2.6.2.</w:t>
        </w:r>
        <w:r w:rsidR="009D6720">
          <w:rPr>
            <w:rFonts w:eastAsiaTheme="minorEastAsia" w:cstheme="minorBidi"/>
            <w:noProof/>
            <w:sz w:val="24"/>
            <w:szCs w:val="24"/>
          </w:rPr>
          <w:tab/>
        </w:r>
        <w:r w:rsidR="009D6720" w:rsidRPr="002532DD">
          <w:rPr>
            <w:rStyle w:val="Hyperlink"/>
            <w:b/>
            <w:bCs/>
            <w:i/>
            <w:iCs/>
            <w:noProof/>
          </w:rPr>
          <w:t>Bias mitigation and nudging</w:t>
        </w:r>
        <w:r w:rsidR="009D6720">
          <w:rPr>
            <w:noProof/>
            <w:webHidden/>
          </w:rPr>
          <w:tab/>
        </w:r>
        <w:r w:rsidR="009D6720">
          <w:rPr>
            <w:noProof/>
            <w:webHidden/>
          </w:rPr>
          <w:fldChar w:fldCharType="begin"/>
        </w:r>
        <w:r w:rsidR="009D6720">
          <w:rPr>
            <w:noProof/>
            <w:webHidden/>
          </w:rPr>
          <w:instrText xml:space="preserve"> PAGEREF _Toc96957678 \h </w:instrText>
        </w:r>
        <w:r w:rsidR="009D6720">
          <w:rPr>
            <w:noProof/>
            <w:webHidden/>
          </w:rPr>
        </w:r>
        <w:r w:rsidR="009D6720">
          <w:rPr>
            <w:noProof/>
            <w:webHidden/>
          </w:rPr>
          <w:fldChar w:fldCharType="separate"/>
        </w:r>
        <w:r w:rsidR="005A6B1E">
          <w:rPr>
            <w:noProof/>
            <w:webHidden/>
          </w:rPr>
          <w:t>27</w:t>
        </w:r>
        <w:r w:rsidR="009D6720">
          <w:rPr>
            <w:noProof/>
            <w:webHidden/>
          </w:rPr>
          <w:fldChar w:fldCharType="end"/>
        </w:r>
      </w:hyperlink>
    </w:p>
    <w:p w14:paraId="3CF25943" w14:textId="55B24F01" w:rsidR="009D6720" w:rsidRDefault="004E2360">
      <w:pPr>
        <w:pStyle w:val="TOC3"/>
        <w:tabs>
          <w:tab w:val="left" w:pos="1200"/>
          <w:tab w:val="right" w:leader="dot" w:pos="9016"/>
        </w:tabs>
        <w:rPr>
          <w:rFonts w:eastAsiaTheme="minorEastAsia" w:cstheme="minorBidi"/>
          <w:noProof/>
          <w:sz w:val="24"/>
          <w:szCs w:val="24"/>
        </w:rPr>
      </w:pPr>
      <w:hyperlink w:anchor="_Toc96957679" w:history="1">
        <w:r w:rsidR="009D6720" w:rsidRPr="002532DD">
          <w:rPr>
            <w:rStyle w:val="Hyperlink"/>
            <w:b/>
            <w:bCs/>
            <w:i/>
            <w:iCs/>
            <w:noProof/>
          </w:rPr>
          <w:t>2.6.3.</w:t>
        </w:r>
        <w:r w:rsidR="009D6720">
          <w:rPr>
            <w:rFonts w:eastAsiaTheme="minorEastAsia" w:cstheme="minorBidi"/>
            <w:noProof/>
            <w:sz w:val="24"/>
            <w:szCs w:val="24"/>
          </w:rPr>
          <w:tab/>
        </w:r>
        <w:r w:rsidR="009D6720" w:rsidRPr="002532DD">
          <w:rPr>
            <w:rStyle w:val="Hyperlink"/>
            <w:b/>
            <w:bCs/>
            <w:i/>
            <w:iCs/>
            <w:noProof/>
          </w:rPr>
          <w:t>Direct action</w:t>
        </w:r>
        <w:r w:rsidR="009D6720">
          <w:rPr>
            <w:noProof/>
            <w:webHidden/>
          </w:rPr>
          <w:tab/>
        </w:r>
        <w:r w:rsidR="009D6720">
          <w:rPr>
            <w:noProof/>
            <w:webHidden/>
          </w:rPr>
          <w:fldChar w:fldCharType="begin"/>
        </w:r>
        <w:r w:rsidR="009D6720">
          <w:rPr>
            <w:noProof/>
            <w:webHidden/>
          </w:rPr>
          <w:instrText xml:space="preserve"> PAGEREF _Toc96957679 \h </w:instrText>
        </w:r>
        <w:r w:rsidR="009D6720">
          <w:rPr>
            <w:noProof/>
            <w:webHidden/>
          </w:rPr>
        </w:r>
        <w:r w:rsidR="009D6720">
          <w:rPr>
            <w:noProof/>
            <w:webHidden/>
          </w:rPr>
          <w:fldChar w:fldCharType="separate"/>
        </w:r>
        <w:r w:rsidR="005A6B1E">
          <w:rPr>
            <w:noProof/>
            <w:webHidden/>
          </w:rPr>
          <w:t>27</w:t>
        </w:r>
        <w:r w:rsidR="009D6720">
          <w:rPr>
            <w:noProof/>
            <w:webHidden/>
          </w:rPr>
          <w:fldChar w:fldCharType="end"/>
        </w:r>
      </w:hyperlink>
    </w:p>
    <w:p w14:paraId="3857289F" w14:textId="3BA1FDBE" w:rsidR="009D6720" w:rsidRDefault="004E2360">
      <w:pPr>
        <w:pStyle w:val="TOC2"/>
        <w:tabs>
          <w:tab w:val="left" w:pos="960"/>
          <w:tab w:val="right" w:leader="dot" w:pos="9016"/>
        </w:tabs>
        <w:rPr>
          <w:rFonts w:eastAsiaTheme="minorEastAsia" w:cstheme="minorBidi"/>
          <w:b w:val="0"/>
          <w:bCs w:val="0"/>
          <w:noProof/>
          <w:sz w:val="24"/>
          <w:szCs w:val="24"/>
        </w:rPr>
      </w:pPr>
      <w:hyperlink w:anchor="_Toc96957680" w:history="1">
        <w:r w:rsidR="009D6720" w:rsidRPr="002532DD">
          <w:rPr>
            <w:rStyle w:val="Hyperlink"/>
            <w:noProof/>
          </w:rPr>
          <w:t>2.7.</w:t>
        </w:r>
        <w:r w:rsidR="009D6720">
          <w:rPr>
            <w:rFonts w:eastAsiaTheme="minorEastAsia" w:cstheme="minorBidi"/>
            <w:b w:val="0"/>
            <w:bCs w:val="0"/>
            <w:noProof/>
            <w:sz w:val="24"/>
            <w:szCs w:val="24"/>
          </w:rPr>
          <w:tab/>
        </w:r>
        <w:r w:rsidR="009D6720" w:rsidRPr="002532DD">
          <w:rPr>
            <w:rStyle w:val="Hyperlink"/>
            <w:noProof/>
          </w:rPr>
          <w:t>Conclusions</w:t>
        </w:r>
        <w:r w:rsidR="009D6720">
          <w:rPr>
            <w:noProof/>
            <w:webHidden/>
          </w:rPr>
          <w:tab/>
        </w:r>
        <w:r w:rsidR="009D6720">
          <w:rPr>
            <w:noProof/>
            <w:webHidden/>
          </w:rPr>
          <w:fldChar w:fldCharType="begin"/>
        </w:r>
        <w:r w:rsidR="009D6720">
          <w:rPr>
            <w:noProof/>
            <w:webHidden/>
          </w:rPr>
          <w:instrText xml:space="preserve"> PAGEREF _Toc96957680 \h </w:instrText>
        </w:r>
        <w:r w:rsidR="009D6720">
          <w:rPr>
            <w:noProof/>
            <w:webHidden/>
          </w:rPr>
        </w:r>
        <w:r w:rsidR="009D6720">
          <w:rPr>
            <w:noProof/>
            <w:webHidden/>
          </w:rPr>
          <w:fldChar w:fldCharType="separate"/>
        </w:r>
        <w:r w:rsidR="005A6B1E">
          <w:rPr>
            <w:noProof/>
            <w:webHidden/>
          </w:rPr>
          <w:t>28</w:t>
        </w:r>
        <w:r w:rsidR="009D6720">
          <w:rPr>
            <w:noProof/>
            <w:webHidden/>
          </w:rPr>
          <w:fldChar w:fldCharType="end"/>
        </w:r>
      </w:hyperlink>
    </w:p>
    <w:p w14:paraId="02BE27F8" w14:textId="493874BD" w:rsidR="009D6720" w:rsidRDefault="004E2360">
      <w:pPr>
        <w:pStyle w:val="TOC2"/>
        <w:tabs>
          <w:tab w:val="left" w:pos="960"/>
          <w:tab w:val="right" w:leader="dot" w:pos="9016"/>
        </w:tabs>
        <w:rPr>
          <w:rFonts w:eastAsiaTheme="minorEastAsia" w:cstheme="minorBidi"/>
          <w:b w:val="0"/>
          <w:bCs w:val="0"/>
          <w:noProof/>
          <w:sz w:val="24"/>
          <w:szCs w:val="24"/>
        </w:rPr>
      </w:pPr>
      <w:hyperlink w:anchor="_Toc96957681" w:history="1">
        <w:r w:rsidR="009D6720" w:rsidRPr="002532DD">
          <w:rPr>
            <w:rStyle w:val="Hyperlink"/>
            <w:noProof/>
          </w:rPr>
          <w:t>2.8.</w:t>
        </w:r>
        <w:r w:rsidR="009D6720">
          <w:rPr>
            <w:rFonts w:eastAsiaTheme="minorEastAsia" w:cstheme="minorBidi"/>
            <w:b w:val="0"/>
            <w:bCs w:val="0"/>
            <w:noProof/>
            <w:sz w:val="24"/>
            <w:szCs w:val="24"/>
          </w:rPr>
          <w:tab/>
        </w:r>
        <w:r w:rsidR="009D6720" w:rsidRPr="002532DD">
          <w:rPr>
            <w:rStyle w:val="Hyperlink"/>
            <w:noProof/>
          </w:rPr>
          <w:t>Cited References</w:t>
        </w:r>
        <w:r w:rsidR="009D6720">
          <w:rPr>
            <w:noProof/>
            <w:webHidden/>
          </w:rPr>
          <w:tab/>
        </w:r>
        <w:r w:rsidR="009D6720">
          <w:rPr>
            <w:noProof/>
            <w:webHidden/>
          </w:rPr>
          <w:fldChar w:fldCharType="begin"/>
        </w:r>
        <w:r w:rsidR="009D6720">
          <w:rPr>
            <w:noProof/>
            <w:webHidden/>
          </w:rPr>
          <w:instrText xml:space="preserve"> PAGEREF _Toc96957681 \h </w:instrText>
        </w:r>
        <w:r w:rsidR="009D6720">
          <w:rPr>
            <w:noProof/>
            <w:webHidden/>
          </w:rPr>
        </w:r>
        <w:r w:rsidR="009D6720">
          <w:rPr>
            <w:noProof/>
            <w:webHidden/>
          </w:rPr>
          <w:fldChar w:fldCharType="separate"/>
        </w:r>
        <w:r w:rsidR="005A6B1E">
          <w:rPr>
            <w:noProof/>
            <w:webHidden/>
          </w:rPr>
          <w:t>28</w:t>
        </w:r>
        <w:r w:rsidR="009D6720">
          <w:rPr>
            <w:noProof/>
            <w:webHidden/>
          </w:rPr>
          <w:fldChar w:fldCharType="end"/>
        </w:r>
      </w:hyperlink>
    </w:p>
    <w:p w14:paraId="540FFE27" w14:textId="4F76CEEF" w:rsidR="009D6720" w:rsidRDefault="004E2360">
      <w:pPr>
        <w:pStyle w:val="TOC2"/>
        <w:tabs>
          <w:tab w:val="left" w:pos="960"/>
          <w:tab w:val="right" w:leader="dot" w:pos="9016"/>
        </w:tabs>
        <w:rPr>
          <w:rFonts w:eastAsiaTheme="minorEastAsia" w:cstheme="minorBidi"/>
          <w:b w:val="0"/>
          <w:bCs w:val="0"/>
          <w:noProof/>
          <w:sz w:val="24"/>
          <w:szCs w:val="24"/>
        </w:rPr>
      </w:pPr>
      <w:hyperlink w:anchor="_Toc96957682" w:history="1">
        <w:r w:rsidR="009D6720" w:rsidRPr="002532DD">
          <w:rPr>
            <w:rStyle w:val="Hyperlink"/>
            <w:noProof/>
          </w:rPr>
          <w:t>2.9.</w:t>
        </w:r>
        <w:r w:rsidR="009D6720">
          <w:rPr>
            <w:rFonts w:eastAsiaTheme="minorEastAsia" w:cstheme="minorBidi"/>
            <w:b w:val="0"/>
            <w:bCs w:val="0"/>
            <w:noProof/>
            <w:sz w:val="24"/>
            <w:szCs w:val="24"/>
          </w:rPr>
          <w:tab/>
        </w:r>
        <w:r w:rsidR="009D6720" w:rsidRPr="002532DD">
          <w:rPr>
            <w:rStyle w:val="Hyperlink"/>
            <w:noProof/>
          </w:rPr>
          <w:t>Reviewed References</w:t>
        </w:r>
        <w:r w:rsidR="009D6720">
          <w:rPr>
            <w:noProof/>
            <w:webHidden/>
          </w:rPr>
          <w:tab/>
        </w:r>
        <w:r w:rsidR="009D6720">
          <w:rPr>
            <w:noProof/>
            <w:webHidden/>
          </w:rPr>
          <w:fldChar w:fldCharType="begin"/>
        </w:r>
        <w:r w:rsidR="009D6720">
          <w:rPr>
            <w:noProof/>
            <w:webHidden/>
          </w:rPr>
          <w:instrText xml:space="preserve"> PAGEREF _Toc96957682 \h </w:instrText>
        </w:r>
        <w:r w:rsidR="009D6720">
          <w:rPr>
            <w:noProof/>
            <w:webHidden/>
          </w:rPr>
        </w:r>
        <w:r w:rsidR="009D6720">
          <w:rPr>
            <w:noProof/>
            <w:webHidden/>
          </w:rPr>
          <w:fldChar w:fldCharType="separate"/>
        </w:r>
        <w:r w:rsidR="005A6B1E">
          <w:rPr>
            <w:noProof/>
            <w:webHidden/>
          </w:rPr>
          <w:t>30</w:t>
        </w:r>
        <w:r w:rsidR="009D6720">
          <w:rPr>
            <w:noProof/>
            <w:webHidden/>
          </w:rPr>
          <w:fldChar w:fldCharType="end"/>
        </w:r>
      </w:hyperlink>
    </w:p>
    <w:p w14:paraId="04960CB2" w14:textId="039E5237" w:rsidR="009D6720" w:rsidRDefault="004E2360" w:rsidP="005A6B1E">
      <w:pPr>
        <w:pStyle w:val="TOC1"/>
        <w:rPr>
          <w:rFonts w:eastAsiaTheme="minorEastAsia" w:cstheme="minorBidi"/>
        </w:rPr>
      </w:pPr>
      <w:hyperlink w:anchor="_Toc96957683" w:history="1">
        <w:r w:rsidR="009D6720" w:rsidRPr="002532DD">
          <w:rPr>
            <w:rStyle w:val="Hyperlink"/>
          </w:rPr>
          <w:t>Chapter 3 - Men’s Engagement with Flexible Work: Barriers and Facilitators Shaping Fathers’ Uptake of Parental Leave</w:t>
        </w:r>
        <w:r w:rsidR="009D6720">
          <w:rPr>
            <w:webHidden/>
          </w:rPr>
          <w:tab/>
        </w:r>
        <w:r w:rsidR="009D6720">
          <w:rPr>
            <w:webHidden/>
          </w:rPr>
          <w:fldChar w:fldCharType="begin"/>
        </w:r>
        <w:r w:rsidR="009D6720">
          <w:rPr>
            <w:webHidden/>
          </w:rPr>
          <w:instrText xml:space="preserve"> PAGEREF _Toc96957683 \h </w:instrText>
        </w:r>
        <w:r w:rsidR="009D6720">
          <w:rPr>
            <w:webHidden/>
          </w:rPr>
        </w:r>
        <w:r w:rsidR="009D6720">
          <w:rPr>
            <w:webHidden/>
          </w:rPr>
          <w:fldChar w:fldCharType="separate"/>
        </w:r>
        <w:r w:rsidR="005A6B1E">
          <w:rPr>
            <w:webHidden/>
          </w:rPr>
          <w:t>31</w:t>
        </w:r>
        <w:r w:rsidR="009D6720">
          <w:rPr>
            <w:webHidden/>
          </w:rPr>
          <w:fldChar w:fldCharType="end"/>
        </w:r>
      </w:hyperlink>
    </w:p>
    <w:p w14:paraId="0B71A9B6" w14:textId="7594A675" w:rsidR="009D6720" w:rsidRDefault="004E2360">
      <w:pPr>
        <w:pStyle w:val="TOC2"/>
        <w:tabs>
          <w:tab w:val="left" w:pos="960"/>
          <w:tab w:val="right" w:leader="dot" w:pos="9016"/>
        </w:tabs>
        <w:rPr>
          <w:rFonts w:eastAsiaTheme="minorEastAsia" w:cstheme="minorBidi"/>
          <w:b w:val="0"/>
          <w:bCs w:val="0"/>
          <w:noProof/>
          <w:sz w:val="24"/>
          <w:szCs w:val="24"/>
        </w:rPr>
      </w:pPr>
      <w:hyperlink w:anchor="_Toc96957684" w:history="1">
        <w:r w:rsidR="009D6720" w:rsidRPr="002532DD">
          <w:rPr>
            <w:rStyle w:val="Hyperlink"/>
            <w:noProof/>
          </w:rPr>
          <w:t>3.1.</w:t>
        </w:r>
        <w:r w:rsidR="009D6720">
          <w:rPr>
            <w:rFonts w:eastAsiaTheme="minorEastAsia" w:cstheme="minorBidi"/>
            <w:b w:val="0"/>
            <w:bCs w:val="0"/>
            <w:noProof/>
            <w:sz w:val="24"/>
            <w:szCs w:val="24"/>
          </w:rPr>
          <w:tab/>
        </w:r>
        <w:r w:rsidR="009D6720" w:rsidRPr="002532DD">
          <w:rPr>
            <w:rStyle w:val="Hyperlink"/>
            <w:noProof/>
          </w:rPr>
          <w:t>Executive Summary</w:t>
        </w:r>
        <w:r w:rsidR="009D6720">
          <w:rPr>
            <w:noProof/>
            <w:webHidden/>
          </w:rPr>
          <w:tab/>
        </w:r>
        <w:r w:rsidR="009D6720">
          <w:rPr>
            <w:noProof/>
            <w:webHidden/>
          </w:rPr>
          <w:fldChar w:fldCharType="begin"/>
        </w:r>
        <w:r w:rsidR="009D6720">
          <w:rPr>
            <w:noProof/>
            <w:webHidden/>
          </w:rPr>
          <w:instrText xml:space="preserve"> PAGEREF _Toc96957684 \h </w:instrText>
        </w:r>
        <w:r w:rsidR="009D6720">
          <w:rPr>
            <w:noProof/>
            <w:webHidden/>
          </w:rPr>
        </w:r>
        <w:r w:rsidR="009D6720">
          <w:rPr>
            <w:noProof/>
            <w:webHidden/>
          </w:rPr>
          <w:fldChar w:fldCharType="separate"/>
        </w:r>
        <w:r w:rsidR="005A6B1E">
          <w:rPr>
            <w:noProof/>
            <w:webHidden/>
          </w:rPr>
          <w:t>31</w:t>
        </w:r>
        <w:r w:rsidR="009D6720">
          <w:rPr>
            <w:noProof/>
            <w:webHidden/>
          </w:rPr>
          <w:fldChar w:fldCharType="end"/>
        </w:r>
      </w:hyperlink>
    </w:p>
    <w:p w14:paraId="22886291" w14:textId="662CC116" w:rsidR="009D6720" w:rsidRDefault="004E2360">
      <w:pPr>
        <w:pStyle w:val="TOC2"/>
        <w:tabs>
          <w:tab w:val="left" w:pos="960"/>
          <w:tab w:val="right" w:leader="dot" w:pos="9016"/>
        </w:tabs>
        <w:rPr>
          <w:rFonts w:eastAsiaTheme="minorEastAsia" w:cstheme="minorBidi"/>
          <w:b w:val="0"/>
          <w:bCs w:val="0"/>
          <w:noProof/>
          <w:sz w:val="24"/>
          <w:szCs w:val="24"/>
        </w:rPr>
      </w:pPr>
      <w:hyperlink w:anchor="_Toc96957685" w:history="1">
        <w:r w:rsidR="009D6720" w:rsidRPr="002532DD">
          <w:rPr>
            <w:rStyle w:val="Hyperlink"/>
            <w:noProof/>
          </w:rPr>
          <w:t>3.2.</w:t>
        </w:r>
        <w:r w:rsidR="009D6720">
          <w:rPr>
            <w:rFonts w:eastAsiaTheme="minorEastAsia" w:cstheme="minorBidi"/>
            <w:b w:val="0"/>
            <w:bCs w:val="0"/>
            <w:noProof/>
            <w:sz w:val="24"/>
            <w:szCs w:val="24"/>
          </w:rPr>
          <w:tab/>
        </w:r>
        <w:r w:rsidR="009D6720" w:rsidRPr="002532DD">
          <w:rPr>
            <w:rStyle w:val="Hyperlink"/>
            <w:noProof/>
          </w:rPr>
          <w:t>Introduction</w:t>
        </w:r>
        <w:r w:rsidR="009D6720">
          <w:rPr>
            <w:noProof/>
            <w:webHidden/>
          </w:rPr>
          <w:tab/>
        </w:r>
        <w:r w:rsidR="009D6720">
          <w:rPr>
            <w:noProof/>
            <w:webHidden/>
          </w:rPr>
          <w:fldChar w:fldCharType="begin"/>
        </w:r>
        <w:r w:rsidR="009D6720">
          <w:rPr>
            <w:noProof/>
            <w:webHidden/>
          </w:rPr>
          <w:instrText xml:space="preserve"> PAGEREF _Toc96957685 \h </w:instrText>
        </w:r>
        <w:r w:rsidR="009D6720">
          <w:rPr>
            <w:noProof/>
            <w:webHidden/>
          </w:rPr>
        </w:r>
        <w:r w:rsidR="009D6720">
          <w:rPr>
            <w:noProof/>
            <w:webHidden/>
          </w:rPr>
          <w:fldChar w:fldCharType="separate"/>
        </w:r>
        <w:r w:rsidR="005A6B1E">
          <w:rPr>
            <w:noProof/>
            <w:webHidden/>
          </w:rPr>
          <w:t>32</w:t>
        </w:r>
        <w:r w:rsidR="009D6720">
          <w:rPr>
            <w:noProof/>
            <w:webHidden/>
          </w:rPr>
          <w:fldChar w:fldCharType="end"/>
        </w:r>
      </w:hyperlink>
    </w:p>
    <w:p w14:paraId="653A1809" w14:textId="1CA3A374" w:rsidR="009D6720" w:rsidRDefault="004E2360">
      <w:pPr>
        <w:pStyle w:val="TOC2"/>
        <w:tabs>
          <w:tab w:val="left" w:pos="960"/>
          <w:tab w:val="right" w:leader="dot" w:pos="9016"/>
        </w:tabs>
        <w:rPr>
          <w:rFonts w:eastAsiaTheme="minorEastAsia" w:cstheme="minorBidi"/>
          <w:b w:val="0"/>
          <w:bCs w:val="0"/>
          <w:noProof/>
          <w:sz w:val="24"/>
          <w:szCs w:val="24"/>
        </w:rPr>
      </w:pPr>
      <w:hyperlink w:anchor="_Toc96957686" w:history="1">
        <w:r w:rsidR="009D6720" w:rsidRPr="002532DD">
          <w:rPr>
            <w:rStyle w:val="Hyperlink"/>
            <w:noProof/>
          </w:rPr>
          <w:t>3.3.</w:t>
        </w:r>
        <w:r w:rsidR="009D6720">
          <w:rPr>
            <w:rFonts w:eastAsiaTheme="minorEastAsia" w:cstheme="minorBidi"/>
            <w:b w:val="0"/>
            <w:bCs w:val="0"/>
            <w:noProof/>
            <w:sz w:val="24"/>
            <w:szCs w:val="24"/>
          </w:rPr>
          <w:tab/>
        </w:r>
        <w:r w:rsidR="009D6720" w:rsidRPr="002532DD">
          <w:rPr>
            <w:rStyle w:val="Hyperlink"/>
            <w:noProof/>
          </w:rPr>
          <w:t>Methods</w:t>
        </w:r>
        <w:r w:rsidR="009D6720">
          <w:rPr>
            <w:noProof/>
            <w:webHidden/>
          </w:rPr>
          <w:tab/>
        </w:r>
        <w:r w:rsidR="009D6720">
          <w:rPr>
            <w:noProof/>
            <w:webHidden/>
          </w:rPr>
          <w:fldChar w:fldCharType="begin"/>
        </w:r>
        <w:r w:rsidR="009D6720">
          <w:rPr>
            <w:noProof/>
            <w:webHidden/>
          </w:rPr>
          <w:instrText xml:space="preserve"> PAGEREF _Toc96957686 \h </w:instrText>
        </w:r>
        <w:r w:rsidR="009D6720">
          <w:rPr>
            <w:noProof/>
            <w:webHidden/>
          </w:rPr>
        </w:r>
        <w:r w:rsidR="009D6720">
          <w:rPr>
            <w:noProof/>
            <w:webHidden/>
          </w:rPr>
          <w:fldChar w:fldCharType="separate"/>
        </w:r>
        <w:r w:rsidR="005A6B1E">
          <w:rPr>
            <w:noProof/>
            <w:webHidden/>
          </w:rPr>
          <w:t>33</w:t>
        </w:r>
        <w:r w:rsidR="009D6720">
          <w:rPr>
            <w:noProof/>
            <w:webHidden/>
          </w:rPr>
          <w:fldChar w:fldCharType="end"/>
        </w:r>
      </w:hyperlink>
    </w:p>
    <w:p w14:paraId="00B8F66D" w14:textId="55BCF2AA" w:rsidR="009D6720" w:rsidRDefault="004E2360">
      <w:pPr>
        <w:pStyle w:val="TOC3"/>
        <w:tabs>
          <w:tab w:val="left" w:pos="1200"/>
          <w:tab w:val="right" w:leader="dot" w:pos="9016"/>
        </w:tabs>
        <w:rPr>
          <w:rFonts w:eastAsiaTheme="minorEastAsia" w:cstheme="minorBidi"/>
          <w:noProof/>
          <w:sz w:val="24"/>
          <w:szCs w:val="24"/>
        </w:rPr>
      </w:pPr>
      <w:hyperlink w:anchor="_Toc96957687" w:history="1">
        <w:r w:rsidR="009D6720" w:rsidRPr="002532DD">
          <w:rPr>
            <w:rStyle w:val="Hyperlink"/>
            <w:b/>
            <w:bCs/>
            <w:i/>
            <w:iCs/>
            <w:noProof/>
          </w:rPr>
          <w:t>3.3.1.</w:t>
        </w:r>
        <w:r w:rsidR="009D6720">
          <w:rPr>
            <w:rFonts w:eastAsiaTheme="minorEastAsia" w:cstheme="minorBidi"/>
            <w:noProof/>
            <w:sz w:val="24"/>
            <w:szCs w:val="24"/>
          </w:rPr>
          <w:tab/>
        </w:r>
        <w:r w:rsidR="009D6720" w:rsidRPr="002532DD">
          <w:rPr>
            <w:rStyle w:val="Hyperlink"/>
            <w:b/>
            <w:bCs/>
            <w:i/>
            <w:iCs/>
            <w:noProof/>
          </w:rPr>
          <w:t>Literature search </w:t>
        </w:r>
        <w:r w:rsidR="009D6720">
          <w:rPr>
            <w:noProof/>
            <w:webHidden/>
          </w:rPr>
          <w:tab/>
        </w:r>
        <w:r w:rsidR="009D6720">
          <w:rPr>
            <w:noProof/>
            <w:webHidden/>
          </w:rPr>
          <w:fldChar w:fldCharType="begin"/>
        </w:r>
        <w:r w:rsidR="009D6720">
          <w:rPr>
            <w:noProof/>
            <w:webHidden/>
          </w:rPr>
          <w:instrText xml:space="preserve"> PAGEREF _Toc96957687 \h </w:instrText>
        </w:r>
        <w:r w:rsidR="009D6720">
          <w:rPr>
            <w:noProof/>
            <w:webHidden/>
          </w:rPr>
        </w:r>
        <w:r w:rsidR="009D6720">
          <w:rPr>
            <w:noProof/>
            <w:webHidden/>
          </w:rPr>
          <w:fldChar w:fldCharType="separate"/>
        </w:r>
        <w:r w:rsidR="005A6B1E">
          <w:rPr>
            <w:noProof/>
            <w:webHidden/>
          </w:rPr>
          <w:t>34</w:t>
        </w:r>
        <w:r w:rsidR="009D6720">
          <w:rPr>
            <w:noProof/>
            <w:webHidden/>
          </w:rPr>
          <w:fldChar w:fldCharType="end"/>
        </w:r>
      </w:hyperlink>
    </w:p>
    <w:p w14:paraId="52D26F51" w14:textId="066E87DF" w:rsidR="009D6720" w:rsidRDefault="004E2360">
      <w:pPr>
        <w:pStyle w:val="TOC3"/>
        <w:tabs>
          <w:tab w:val="left" w:pos="1200"/>
          <w:tab w:val="right" w:leader="dot" w:pos="9016"/>
        </w:tabs>
        <w:rPr>
          <w:rFonts w:eastAsiaTheme="minorEastAsia" w:cstheme="minorBidi"/>
          <w:noProof/>
          <w:sz w:val="24"/>
          <w:szCs w:val="24"/>
        </w:rPr>
      </w:pPr>
      <w:hyperlink w:anchor="_Toc96957688" w:history="1">
        <w:r w:rsidR="009D6720" w:rsidRPr="002532DD">
          <w:rPr>
            <w:rStyle w:val="Hyperlink"/>
            <w:b/>
            <w:bCs/>
            <w:i/>
            <w:iCs/>
            <w:noProof/>
          </w:rPr>
          <w:t>3.3.2.</w:t>
        </w:r>
        <w:r w:rsidR="009D6720">
          <w:rPr>
            <w:rFonts w:eastAsiaTheme="minorEastAsia" w:cstheme="minorBidi"/>
            <w:noProof/>
            <w:sz w:val="24"/>
            <w:szCs w:val="24"/>
          </w:rPr>
          <w:tab/>
        </w:r>
        <w:r w:rsidR="009D6720" w:rsidRPr="002532DD">
          <w:rPr>
            <w:rStyle w:val="Hyperlink"/>
            <w:b/>
            <w:bCs/>
            <w:i/>
            <w:iCs/>
            <w:noProof/>
          </w:rPr>
          <w:t>Data extraction </w:t>
        </w:r>
        <w:r w:rsidR="009D6720">
          <w:rPr>
            <w:noProof/>
            <w:webHidden/>
          </w:rPr>
          <w:tab/>
        </w:r>
        <w:r w:rsidR="009D6720">
          <w:rPr>
            <w:noProof/>
            <w:webHidden/>
          </w:rPr>
          <w:fldChar w:fldCharType="begin"/>
        </w:r>
        <w:r w:rsidR="009D6720">
          <w:rPr>
            <w:noProof/>
            <w:webHidden/>
          </w:rPr>
          <w:instrText xml:space="preserve"> PAGEREF _Toc96957688 \h </w:instrText>
        </w:r>
        <w:r w:rsidR="009D6720">
          <w:rPr>
            <w:noProof/>
            <w:webHidden/>
          </w:rPr>
        </w:r>
        <w:r w:rsidR="009D6720">
          <w:rPr>
            <w:noProof/>
            <w:webHidden/>
          </w:rPr>
          <w:fldChar w:fldCharType="separate"/>
        </w:r>
        <w:r w:rsidR="005A6B1E">
          <w:rPr>
            <w:noProof/>
            <w:webHidden/>
          </w:rPr>
          <w:t>36</w:t>
        </w:r>
        <w:r w:rsidR="009D6720">
          <w:rPr>
            <w:noProof/>
            <w:webHidden/>
          </w:rPr>
          <w:fldChar w:fldCharType="end"/>
        </w:r>
      </w:hyperlink>
    </w:p>
    <w:p w14:paraId="6E054759" w14:textId="30DBE833" w:rsidR="009D6720" w:rsidRDefault="004E2360">
      <w:pPr>
        <w:pStyle w:val="TOC2"/>
        <w:tabs>
          <w:tab w:val="left" w:pos="960"/>
          <w:tab w:val="right" w:leader="dot" w:pos="9016"/>
        </w:tabs>
        <w:rPr>
          <w:rFonts w:eastAsiaTheme="minorEastAsia" w:cstheme="minorBidi"/>
          <w:b w:val="0"/>
          <w:bCs w:val="0"/>
          <w:noProof/>
          <w:sz w:val="24"/>
          <w:szCs w:val="24"/>
        </w:rPr>
      </w:pPr>
      <w:hyperlink w:anchor="_Toc96957689" w:history="1">
        <w:r w:rsidR="009D6720" w:rsidRPr="002532DD">
          <w:rPr>
            <w:rStyle w:val="Hyperlink"/>
            <w:noProof/>
          </w:rPr>
          <w:t>3.4.</w:t>
        </w:r>
        <w:r w:rsidR="009D6720">
          <w:rPr>
            <w:rFonts w:eastAsiaTheme="minorEastAsia" w:cstheme="minorBidi"/>
            <w:b w:val="0"/>
            <w:bCs w:val="0"/>
            <w:noProof/>
            <w:sz w:val="24"/>
            <w:szCs w:val="24"/>
          </w:rPr>
          <w:tab/>
        </w:r>
        <w:r w:rsidR="009D6720" w:rsidRPr="002532DD">
          <w:rPr>
            <w:rStyle w:val="Hyperlink"/>
            <w:noProof/>
          </w:rPr>
          <w:t>Findings and Recommendations</w:t>
        </w:r>
        <w:r w:rsidR="009D6720">
          <w:rPr>
            <w:noProof/>
            <w:webHidden/>
          </w:rPr>
          <w:tab/>
        </w:r>
        <w:r w:rsidR="009D6720">
          <w:rPr>
            <w:noProof/>
            <w:webHidden/>
          </w:rPr>
          <w:fldChar w:fldCharType="begin"/>
        </w:r>
        <w:r w:rsidR="009D6720">
          <w:rPr>
            <w:noProof/>
            <w:webHidden/>
          </w:rPr>
          <w:instrText xml:space="preserve"> PAGEREF _Toc96957689 \h </w:instrText>
        </w:r>
        <w:r w:rsidR="009D6720">
          <w:rPr>
            <w:noProof/>
            <w:webHidden/>
          </w:rPr>
        </w:r>
        <w:r w:rsidR="009D6720">
          <w:rPr>
            <w:noProof/>
            <w:webHidden/>
          </w:rPr>
          <w:fldChar w:fldCharType="separate"/>
        </w:r>
        <w:r w:rsidR="005A6B1E">
          <w:rPr>
            <w:noProof/>
            <w:webHidden/>
          </w:rPr>
          <w:t>36</w:t>
        </w:r>
        <w:r w:rsidR="009D6720">
          <w:rPr>
            <w:noProof/>
            <w:webHidden/>
          </w:rPr>
          <w:fldChar w:fldCharType="end"/>
        </w:r>
      </w:hyperlink>
    </w:p>
    <w:p w14:paraId="5B8F0D3A" w14:textId="4780205E" w:rsidR="009D6720" w:rsidRDefault="004E2360">
      <w:pPr>
        <w:pStyle w:val="TOC3"/>
        <w:tabs>
          <w:tab w:val="left" w:pos="1200"/>
          <w:tab w:val="right" w:leader="dot" w:pos="9016"/>
        </w:tabs>
        <w:rPr>
          <w:rFonts w:eastAsiaTheme="minorEastAsia" w:cstheme="minorBidi"/>
          <w:noProof/>
          <w:sz w:val="24"/>
          <w:szCs w:val="24"/>
        </w:rPr>
      </w:pPr>
      <w:hyperlink w:anchor="_Toc96957690" w:history="1">
        <w:r w:rsidR="009D6720" w:rsidRPr="002532DD">
          <w:rPr>
            <w:rStyle w:val="Hyperlink"/>
            <w:b/>
            <w:bCs/>
            <w:i/>
            <w:iCs/>
            <w:noProof/>
          </w:rPr>
          <w:t>3.4.1.</w:t>
        </w:r>
        <w:r w:rsidR="009D6720">
          <w:rPr>
            <w:rFonts w:eastAsiaTheme="minorEastAsia" w:cstheme="minorBidi"/>
            <w:noProof/>
            <w:sz w:val="24"/>
            <w:szCs w:val="24"/>
          </w:rPr>
          <w:tab/>
        </w:r>
        <w:r w:rsidR="009D6720" w:rsidRPr="002532DD">
          <w:rPr>
            <w:rStyle w:val="Hyperlink"/>
            <w:b/>
            <w:bCs/>
            <w:i/>
            <w:iCs/>
            <w:noProof/>
          </w:rPr>
          <w:t>Individual-level factors</w:t>
        </w:r>
        <w:r w:rsidR="009D6720">
          <w:rPr>
            <w:noProof/>
            <w:webHidden/>
          </w:rPr>
          <w:tab/>
        </w:r>
        <w:r w:rsidR="009D6720">
          <w:rPr>
            <w:noProof/>
            <w:webHidden/>
          </w:rPr>
          <w:fldChar w:fldCharType="begin"/>
        </w:r>
        <w:r w:rsidR="009D6720">
          <w:rPr>
            <w:noProof/>
            <w:webHidden/>
          </w:rPr>
          <w:instrText xml:space="preserve"> PAGEREF _Toc96957690 \h </w:instrText>
        </w:r>
        <w:r w:rsidR="009D6720">
          <w:rPr>
            <w:noProof/>
            <w:webHidden/>
          </w:rPr>
        </w:r>
        <w:r w:rsidR="009D6720">
          <w:rPr>
            <w:noProof/>
            <w:webHidden/>
          </w:rPr>
          <w:fldChar w:fldCharType="separate"/>
        </w:r>
        <w:r w:rsidR="005A6B1E">
          <w:rPr>
            <w:noProof/>
            <w:webHidden/>
          </w:rPr>
          <w:t>36</w:t>
        </w:r>
        <w:r w:rsidR="009D6720">
          <w:rPr>
            <w:noProof/>
            <w:webHidden/>
          </w:rPr>
          <w:fldChar w:fldCharType="end"/>
        </w:r>
      </w:hyperlink>
    </w:p>
    <w:p w14:paraId="19FB597E" w14:textId="1097589A" w:rsidR="009D6720" w:rsidRDefault="004E2360">
      <w:pPr>
        <w:pStyle w:val="TOC3"/>
        <w:tabs>
          <w:tab w:val="left" w:pos="1200"/>
          <w:tab w:val="right" w:leader="dot" w:pos="9016"/>
        </w:tabs>
        <w:rPr>
          <w:rFonts w:eastAsiaTheme="minorEastAsia" w:cstheme="minorBidi"/>
          <w:noProof/>
          <w:sz w:val="24"/>
          <w:szCs w:val="24"/>
        </w:rPr>
      </w:pPr>
      <w:hyperlink w:anchor="_Toc96957691" w:history="1">
        <w:r w:rsidR="009D6720" w:rsidRPr="002532DD">
          <w:rPr>
            <w:rStyle w:val="Hyperlink"/>
            <w:b/>
            <w:bCs/>
            <w:i/>
            <w:iCs/>
            <w:noProof/>
          </w:rPr>
          <w:t>3.4.2.</w:t>
        </w:r>
        <w:r w:rsidR="009D6720">
          <w:rPr>
            <w:rFonts w:eastAsiaTheme="minorEastAsia" w:cstheme="minorBidi"/>
            <w:noProof/>
            <w:sz w:val="24"/>
            <w:szCs w:val="24"/>
          </w:rPr>
          <w:tab/>
        </w:r>
        <w:r w:rsidR="009D6720" w:rsidRPr="002532DD">
          <w:rPr>
            <w:rStyle w:val="Hyperlink"/>
            <w:b/>
            <w:bCs/>
            <w:i/>
            <w:iCs/>
            <w:noProof/>
          </w:rPr>
          <w:t>Organisational-level factors</w:t>
        </w:r>
        <w:r w:rsidR="009D6720">
          <w:rPr>
            <w:noProof/>
            <w:webHidden/>
          </w:rPr>
          <w:tab/>
        </w:r>
        <w:r w:rsidR="009D6720">
          <w:rPr>
            <w:noProof/>
            <w:webHidden/>
          </w:rPr>
          <w:fldChar w:fldCharType="begin"/>
        </w:r>
        <w:r w:rsidR="009D6720">
          <w:rPr>
            <w:noProof/>
            <w:webHidden/>
          </w:rPr>
          <w:instrText xml:space="preserve"> PAGEREF _Toc96957691 \h </w:instrText>
        </w:r>
        <w:r w:rsidR="009D6720">
          <w:rPr>
            <w:noProof/>
            <w:webHidden/>
          </w:rPr>
        </w:r>
        <w:r w:rsidR="009D6720">
          <w:rPr>
            <w:noProof/>
            <w:webHidden/>
          </w:rPr>
          <w:fldChar w:fldCharType="separate"/>
        </w:r>
        <w:r w:rsidR="005A6B1E">
          <w:rPr>
            <w:noProof/>
            <w:webHidden/>
          </w:rPr>
          <w:t>37</w:t>
        </w:r>
        <w:r w:rsidR="009D6720">
          <w:rPr>
            <w:noProof/>
            <w:webHidden/>
          </w:rPr>
          <w:fldChar w:fldCharType="end"/>
        </w:r>
      </w:hyperlink>
    </w:p>
    <w:p w14:paraId="5AA4EE12" w14:textId="2FDFF603" w:rsidR="009D6720" w:rsidRDefault="004E2360">
      <w:pPr>
        <w:pStyle w:val="TOC3"/>
        <w:tabs>
          <w:tab w:val="left" w:pos="1200"/>
          <w:tab w:val="right" w:leader="dot" w:pos="9016"/>
        </w:tabs>
        <w:rPr>
          <w:rFonts w:eastAsiaTheme="minorEastAsia" w:cstheme="minorBidi"/>
          <w:noProof/>
          <w:sz w:val="24"/>
          <w:szCs w:val="24"/>
        </w:rPr>
      </w:pPr>
      <w:hyperlink w:anchor="_Toc96957692" w:history="1">
        <w:r w:rsidR="009D6720" w:rsidRPr="002532DD">
          <w:rPr>
            <w:rStyle w:val="Hyperlink"/>
            <w:b/>
            <w:bCs/>
            <w:i/>
            <w:iCs/>
            <w:noProof/>
          </w:rPr>
          <w:t>3.4.3.</w:t>
        </w:r>
        <w:r w:rsidR="009D6720">
          <w:rPr>
            <w:rFonts w:eastAsiaTheme="minorEastAsia" w:cstheme="minorBidi"/>
            <w:noProof/>
            <w:sz w:val="24"/>
            <w:szCs w:val="24"/>
          </w:rPr>
          <w:tab/>
        </w:r>
        <w:r w:rsidR="009D6720" w:rsidRPr="002532DD">
          <w:rPr>
            <w:rStyle w:val="Hyperlink"/>
            <w:b/>
            <w:bCs/>
            <w:i/>
            <w:iCs/>
            <w:noProof/>
          </w:rPr>
          <w:t>Societal-level factors</w:t>
        </w:r>
        <w:r w:rsidR="009D6720">
          <w:rPr>
            <w:noProof/>
            <w:webHidden/>
          </w:rPr>
          <w:tab/>
        </w:r>
        <w:r w:rsidR="009D6720">
          <w:rPr>
            <w:noProof/>
            <w:webHidden/>
          </w:rPr>
          <w:fldChar w:fldCharType="begin"/>
        </w:r>
        <w:r w:rsidR="009D6720">
          <w:rPr>
            <w:noProof/>
            <w:webHidden/>
          </w:rPr>
          <w:instrText xml:space="preserve"> PAGEREF _Toc96957692 \h </w:instrText>
        </w:r>
        <w:r w:rsidR="009D6720">
          <w:rPr>
            <w:noProof/>
            <w:webHidden/>
          </w:rPr>
        </w:r>
        <w:r w:rsidR="009D6720">
          <w:rPr>
            <w:noProof/>
            <w:webHidden/>
          </w:rPr>
          <w:fldChar w:fldCharType="separate"/>
        </w:r>
        <w:r w:rsidR="005A6B1E">
          <w:rPr>
            <w:noProof/>
            <w:webHidden/>
          </w:rPr>
          <w:t>38</w:t>
        </w:r>
        <w:r w:rsidR="009D6720">
          <w:rPr>
            <w:noProof/>
            <w:webHidden/>
          </w:rPr>
          <w:fldChar w:fldCharType="end"/>
        </w:r>
      </w:hyperlink>
    </w:p>
    <w:p w14:paraId="044E0455" w14:textId="61EB7C52" w:rsidR="009D6720" w:rsidRDefault="004E2360">
      <w:pPr>
        <w:pStyle w:val="TOC2"/>
        <w:tabs>
          <w:tab w:val="left" w:pos="960"/>
          <w:tab w:val="right" w:leader="dot" w:pos="9016"/>
        </w:tabs>
        <w:rPr>
          <w:rFonts w:eastAsiaTheme="minorEastAsia" w:cstheme="minorBidi"/>
          <w:b w:val="0"/>
          <w:bCs w:val="0"/>
          <w:noProof/>
          <w:sz w:val="24"/>
          <w:szCs w:val="24"/>
        </w:rPr>
      </w:pPr>
      <w:hyperlink w:anchor="_Toc96957693" w:history="1">
        <w:r w:rsidR="009D6720" w:rsidRPr="002532DD">
          <w:rPr>
            <w:rStyle w:val="Hyperlink"/>
            <w:noProof/>
          </w:rPr>
          <w:t>3.5.</w:t>
        </w:r>
        <w:r w:rsidR="009D6720">
          <w:rPr>
            <w:rFonts w:eastAsiaTheme="minorEastAsia" w:cstheme="minorBidi"/>
            <w:b w:val="0"/>
            <w:bCs w:val="0"/>
            <w:noProof/>
            <w:sz w:val="24"/>
            <w:szCs w:val="24"/>
          </w:rPr>
          <w:tab/>
        </w:r>
        <w:r w:rsidR="009D6720" w:rsidRPr="002532DD">
          <w:rPr>
            <w:rStyle w:val="Hyperlink"/>
            <w:noProof/>
          </w:rPr>
          <w:t>A Roadmap for Action</w:t>
        </w:r>
        <w:r w:rsidR="009D6720">
          <w:rPr>
            <w:noProof/>
            <w:webHidden/>
          </w:rPr>
          <w:tab/>
        </w:r>
        <w:r w:rsidR="009D6720">
          <w:rPr>
            <w:noProof/>
            <w:webHidden/>
          </w:rPr>
          <w:fldChar w:fldCharType="begin"/>
        </w:r>
        <w:r w:rsidR="009D6720">
          <w:rPr>
            <w:noProof/>
            <w:webHidden/>
          </w:rPr>
          <w:instrText xml:space="preserve"> PAGEREF _Toc96957693 \h </w:instrText>
        </w:r>
        <w:r w:rsidR="009D6720">
          <w:rPr>
            <w:noProof/>
            <w:webHidden/>
          </w:rPr>
        </w:r>
        <w:r w:rsidR="009D6720">
          <w:rPr>
            <w:noProof/>
            <w:webHidden/>
          </w:rPr>
          <w:fldChar w:fldCharType="separate"/>
        </w:r>
        <w:r w:rsidR="005A6B1E">
          <w:rPr>
            <w:noProof/>
            <w:webHidden/>
          </w:rPr>
          <w:t>39</w:t>
        </w:r>
        <w:r w:rsidR="009D6720">
          <w:rPr>
            <w:noProof/>
            <w:webHidden/>
          </w:rPr>
          <w:fldChar w:fldCharType="end"/>
        </w:r>
      </w:hyperlink>
    </w:p>
    <w:p w14:paraId="4008D18C" w14:textId="71B1E516" w:rsidR="009D6720" w:rsidRDefault="004E2360">
      <w:pPr>
        <w:pStyle w:val="TOC3"/>
        <w:tabs>
          <w:tab w:val="left" w:pos="1200"/>
          <w:tab w:val="right" w:leader="dot" w:pos="9016"/>
        </w:tabs>
        <w:rPr>
          <w:rFonts w:eastAsiaTheme="minorEastAsia" w:cstheme="minorBidi"/>
          <w:noProof/>
          <w:sz w:val="24"/>
          <w:szCs w:val="24"/>
        </w:rPr>
      </w:pPr>
      <w:hyperlink w:anchor="_Toc96957694" w:history="1">
        <w:r w:rsidR="009D6720" w:rsidRPr="002532DD">
          <w:rPr>
            <w:rStyle w:val="Hyperlink"/>
            <w:b/>
            <w:bCs/>
            <w:i/>
            <w:iCs/>
            <w:noProof/>
          </w:rPr>
          <w:t>3.5.1.</w:t>
        </w:r>
        <w:r w:rsidR="009D6720">
          <w:rPr>
            <w:rFonts w:eastAsiaTheme="minorEastAsia" w:cstheme="minorBidi"/>
            <w:noProof/>
            <w:sz w:val="24"/>
            <w:szCs w:val="24"/>
          </w:rPr>
          <w:tab/>
        </w:r>
        <w:r w:rsidR="009D6720" w:rsidRPr="002532DD">
          <w:rPr>
            <w:rStyle w:val="Hyperlink"/>
            <w:b/>
            <w:bCs/>
            <w:i/>
            <w:iCs/>
            <w:noProof/>
          </w:rPr>
          <w:t>Use available data to identify concerns about flexibility stigma</w:t>
        </w:r>
        <w:r w:rsidR="009D6720">
          <w:rPr>
            <w:noProof/>
            <w:webHidden/>
          </w:rPr>
          <w:tab/>
        </w:r>
        <w:r w:rsidR="009D6720">
          <w:rPr>
            <w:noProof/>
            <w:webHidden/>
          </w:rPr>
          <w:fldChar w:fldCharType="begin"/>
        </w:r>
        <w:r w:rsidR="009D6720">
          <w:rPr>
            <w:noProof/>
            <w:webHidden/>
          </w:rPr>
          <w:instrText xml:space="preserve"> PAGEREF _Toc96957694 \h </w:instrText>
        </w:r>
        <w:r w:rsidR="009D6720">
          <w:rPr>
            <w:noProof/>
            <w:webHidden/>
          </w:rPr>
        </w:r>
        <w:r w:rsidR="009D6720">
          <w:rPr>
            <w:noProof/>
            <w:webHidden/>
          </w:rPr>
          <w:fldChar w:fldCharType="separate"/>
        </w:r>
        <w:r w:rsidR="005A6B1E">
          <w:rPr>
            <w:noProof/>
            <w:webHidden/>
          </w:rPr>
          <w:t>39</w:t>
        </w:r>
        <w:r w:rsidR="009D6720">
          <w:rPr>
            <w:noProof/>
            <w:webHidden/>
          </w:rPr>
          <w:fldChar w:fldCharType="end"/>
        </w:r>
      </w:hyperlink>
    </w:p>
    <w:p w14:paraId="2D5BC931" w14:textId="4D45A41B" w:rsidR="009D6720" w:rsidRDefault="004E2360">
      <w:pPr>
        <w:pStyle w:val="TOC3"/>
        <w:tabs>
          <w:tab w:val="left" w:pos="1200"/>
          <w:tab w:val="right" w:leader="dot" w:pos="9016"/>
        </w:tabs>
        <w:rPr>
          <w:rFonts w:eastAsiaTheme="minorEastAsia" w:cstheme="minorBidi"/>
          <w:noProof/>
          <w:sz w:val="24"/>
          <w:szCs w:val="24"/>
        </w:rPr>
      </w:pPr>
      <w:hyperlink w:anchor="_Toc96957695" w:history="1">
        <w:r w:rsidR="009D6720" w:rsidRPr="002532DD">
          <w:rPr>
            <w:rStyle w:val="Hyperlink"/>
            <w:b/>
            <w:bCs/>
            <w:i/>
            <w:iCs/>
            <w:noProof/>
          </w:rPr>
          <w:t>3.5.2.</w:t>
        </w:r>
        <w:r w:rsidR="009D6720">
          <w:rPr>
            <w:rFonts w:eastAsiaTheme="minorEastAsia" w:cstheme="minorBidi"/>
            <w:noProof/>
            <w:sz w:val="24"/>
            <w:szCs w:val="24"/>
          </w:rPr>
          <w:tab/>
        </w:r>
        <w:r w:rsidR="009D6720" w:rsidRPr="002532DD">
          <w:rPr>
            <w:rStyle w:val="Hyperlink"/>
            <w:b/>
            <w:bCs/>
            <w:i/>
            <w:iCs/>
            <w:noProof/>
          </w:rPr>
          <w:t>Align promotion of flexible work and carer leave with Victorian Public Service purpose</w:t>
        </w:r>
        <w:r w:rsidR="009D6720">
          <w:rPr>
            <w:noProof/>
            <w:webHidden/>
          </w:rPr>
          <w:tab/>
        </w:r>
        <w:r w:rsidR="009D6720">
          <w:rPr>
            <w:noProof/>
            <w:webHidden/>
          </w:rPr>
          <w:fldChar w:fldCharType="begin"/>
        </w:r>
        <w:r w:rsidR="009D6720">
          <w:rPr>
            <w:noProof/>
            <w:webHidden/>
          </w:rPr>
          <w:instrText xml:space="preserve"> PAGEREF _Toc96957695 \h </w:instrText>
        </w:r>
        <w:r w:rsidR="009D6720">
          <w:rPr>
            <w:noProof/>
            <w:webHidden/>
          </w:rPr>
        </w:r>
        <w:r w:rsidR="009D6720">
          <w:rPr>
            <w:noProof/>
            <w:webHidden/>
          </w:rPr>
          <w:fldChar w:fldCharType="separate"/>
        </w:r>
        <w:r w:rsidR="005A6B1E">
          <w:rPr>
            <w:noProof/>
            <w:webHidden/>
          </w:rPr>
          <w:t>39</w:t>
        </w:r>
        <w:r w:rsidR="009D6720">
          <w:rPr>
            <w:noProof/>
            <w:webHidden/>
          </w:rPr>
          <w:fldChar w:fldCharType="end"/>
        </w:r>
      </w:hyperlink>
    </w:p>
    <w:p w14:paraId="354234C4" w14:textId="645083BE" w:rsidR="009D6720" w:rsidRDefault="004E2360">
      <w:pPr>
        <w:pStyle w:val="TOC3"/>
        <w:tabs>
          <w:tab w:val="left" w:pos="1200"/>
          <w:tab w:val="right" w:leader="dot" w:pos="9016"/>
        </w:tabs>
        <w:rPr>
          <w:rFonts w:eastAsiaTheme="minorEastAsia" w:cstheme="minorBidi"/>
          <w:noProof/>
          <w:sz w:val="24"/>
          <w:szCs w:val="24"/>
        </w:rPr>
      </w:pPr>
      <w:hyperlink w:anchor="_Toc96957696" w:history="1">
        <w:r w:rsidR="009D6720" w:rsidRPr="002532DD">
          <w:rPr>
            <w:rStyle w:val="Hyperlink"/>
            <w:b/>
            <w:bCs/>
            <w:i/>
            <w:iCs/>
            <w:noProof/>
          </w:rPr>
          <w:t>3.5.3.</w:t>
        </w:r>
        <w:r w:rsidR="009D6720">
          <w:rPr>
            <w:rFonts w:eastAsiaTheme="minorEastAsia" w:cstheme="minorBidi"/>
            <w:noProof/>
            <w:sz w:val="24"/>
            <w:szCs w:val="24"/>
          </w:rPr>
          <w:tab/>
        </w:r>
        <w:r w:rsidR="009D6720" w:rsidRPr="002532DD">
          <w:rPr>
            <w:rStyle w:val="Hyperlink"/>
            <w:b/>
            <w:bCs/>
            <w:i/>
            <w:iCs/>
            <w:noProof/>
          </w:rPr>
          <w:t>Consider whether policies, norms and practices are “masculine defaults”</w:t>
        </w:r>
        <w:r w:rsidR="009D6720">
          <w:rPr>
            <w:noProof/>
            <w:webHidden/>
          </w:rPr>
          <w:tab/>
        </w:r>
        <w:r w:rsidR="009D6720">
          <w:rPr>
            <w:noProof/>
            <w:webHidden/>
          </w:rPr>
          <w:fldChar w:fldCharType="begin"/>
        </w:r>
        <w:r w:rsidR="009D6720">
          <w:rPr>
            <w:noProof/>
            <w:webHidden/>
          </w:rPr>
          <w:instrText xml:space="preserve"> PAGEREF _Toc96957696 \h </w:instrText>
        </w:r>
        <w:r w:rsidR="009D6720">
          <w:rPr>
            <w:noProof/>
            <w:webHidden/>
          </w:rPr>
        </w:r>
        <w:r w:rsidR="009D6720">
          <w:rPr>
            <w:noProof/>
            <w:webHidden/>
          </w:rPr>
          <w:fldChar w:fldCharType="separate"/>
        </w:r>
        <w:r w:rsidR="005A6B1E">
          <w:rPr>
            <w:noProof/>
            <w:webHidden/>
          </w:rPr>
          <w:t>40</w:t>
        </w:r>
        <w:r w:rsidR="009D6720">
          <w:rPr>
            <w:noProof/>
            <w:webHidden/>
          </w:rPr>
          <w:fldChar w:fldCharType="end"/>
        </w:r>
      </w:hyperlink>
    </w:p>
    <w:p w14:paraId="47EF267C" w14:textId="0E0820EA" w:rsidR="009D6720" w:rsidRDefault="004E2360">
      <w:pPr>
        <w:pStyle w:val="TOC3"/>
        <w:tabs>
          <w:tab w:val="left" w:pos="1200"/>
          <w:tab w:val="right" w:leader="dot" w:pos="9016"/>
        </w:tabs>
        <w:rPr>
          <w:rFonts w:eastAsiaTheme="minorEastAsia" w:cstheme="minorBidi"/>
          <w:noProof/>
          <w:sz w:val="24"/>
          <w:szCs w:val="24"/>
        </w:rPr>
      </w:pPr>
      <w:hyperlink w:anchor="_Toc96957697" w:history="1">
        <w:r w:rsidR="009D6720" w:rsidRPr="002532DD">
          <w:rPr>
            <w:rStyle w:val="Hyperlink"/>
            <w:b/>
            <w:bCs/>
            <w:i/>
            <w:iCs/>
            <w:noProof/>
          </w:rPr>
          <w:t>3.5.4.</w:t>
        </w:r>
        <w:r w:rsidR="009D6720">
          <w:rPr>
            <w:rFonts w:eastAsiaTheme="minorEastAsia" w:cstheme="minorBidi"/>
            <w:noProof/>
            <w:sz w:val="24"/>
            <w:szCs w:val="24"/>
          </w:rPr>
          <w:tab/>
        </w:r>
        <w:r w:rsidR="009D6720" w:rsidRPr="002532DD">
          <w:rPr>
            <w:rStyle w:val="Hyperlink"/>
            <w:b/>
            <w:bCs/>
            <w:i/>
            <w:iCs/>
            <w:noProof/>
          </w:rPr>
          <w:t>Create a sense of entitlement to carer leave in men</w:t>
        </w:r>
        <w:r w:rsidR="009D6720">
          <w:rPr>
            <w:noProof/>
            <w:webHidden/>
          </w:rPr>
          <w:tab/>
        </w:r>
        <w:r w:rsidR="009D6720">
          <w:rPr>
            <w:noProof/>
            <w:webHidden/>
          </w:rPr>
          <w:fldChar w:fldCharType="begin"/>
        </w:r>
        <w:r w:rsidR="009D6720">
          <w:rPr>
            <w:noProof/>
            <w:webHidden/>
          </w:rPr>
          <w:instrText xml:space="preserve"> PAGEREF _Toc96957697 \h </w:instrText>
        </w:r>
        <w:r w:rsidR="009D6720">
          <w:rPr>
            <w:noProof/>
            <w:webHidden/>
          </w:rPr>
        </w:r>
        <w:r w:rsidR="009D6720">
          <w:rPr>
            <w:noProof/>
            <w:webHidden/>
          </w:rPr>
          <w:fldChar w:fldCharType="separate"/>
        </w:r>
        <w:r w:rsidR="005A6B1E">
          <w:rPr>
            <w:noProof/>
            <w:webHidden/>
          </w:rPr>
          <w:t>40</w:t>
        </w:r>
        <w:r w:rsidR="009D6720">
          <w:rPr>
            <w:noProof/>
            <w:webHidden/>
          </w:rPr>
          <w:fldChar w:fldCharType="end"/>
        </w:r>
      </w:hyperlink>
    </w:p>
    <w:p w14:paraId="3CA43060" w14:textId="7886E436" w:rsidR="009D6720" w:rsidRDefault="004E2360">
      <w:pPr>
        <w:pStyle w:val="TOC2"/>
        <w:tabs>
          <w:tab w:val="left" w:pos="960"/>
          <w:tab w:val="right" w:leader="dot" w:pos="9016"/>
        </w:tabs>
        <w:rPr>
          <w:rFonts w:eastAsiaTheme="minorEastAsia" w:cstheme="minorBidi"/>
          <w:b w:val="0"/>
          <w:bCs w:val="0"/>
          <w:noProof/>
          <w:sz w:val="24"/>
          <w:szCs w:val="24"/>
        </w:rPr>
      </w:pPr>
      <w:hyperlink w:anchor="_Toc96957698" w:history="1">
        <w:r w:rsidR="009D6720" w:rsidRPr="002532DD">
          <w:rPr>
            <w:rStyle w:val="Hyperlink"/>
            <w:noProof/>
          </w:rPr>
          <w:t>3.6.</w:t>
        </w:r>
        <w:r w:rsidR="009D6720">
          <w:rPr>
            <w:rFonts w:eastAsiaTheme="minorEastAsia" w:cstheme="minorBidi"/>
            <w:b w:val="0"/>
            <w:bCs w:val="0"/>
            <w:noProof/>
            <w:sz w:val="24"/>
            <w:szCs w:val="24"/>
          </w:rPr>
          <w:tab/>
        </w:r>
        <w:r w:rsidR="009D6720" w:rsidRPr="002532DD">
          <w:rPr>
            <w:rStyle w:val="Hyperlink"/>
            <w:noProof/>
          </w:rPr>
          <w:t>Conclusions</w:t>
        </w:r>
        <w:r w:rsidR="009D6720">
          <w:rPr>
            <w:noProof/>
            <w:webHidden/>
          </w:rPr>
          <w:tab/>
        </w:r>
        <w:r w:rsidR="009D6720">
          <w:rPr>
            <w:noProof/>
            <w:webHidden/>
          </w:rPr>
          <w:fldChar w:fldCharType="begin"/>
        </w:r>
        <w:r w:rsidR="009D6720">
          <w:rPr>
            <w:noProof/>
            <w:webHidden/>
          </w:rPr>
          <w:instrText xml:space="preserve"> PAGEREF _Toc96957698 \h </w:instrText>
        </w:r>
        <w:r w:rsidR="009D6720">
          <w:rPr>
            <w:noProof/>
            <w:webHidden/>
          </w:rPr>
        </w:r>
        <w:r w:rsidR="009D6720">
          <w:rPr>
            <w:noProof/>
            <w:webHidden/>
          </w:rPr>
          <w:fldChar w:fldCharType="separate"/>
        </w:r>
        <w:r w:rsidR="005A6B1E">
          <w:rPr>
            <w:noProof/>
            <w:webHidden/>
          </w:rPr>
          <w:t>40</w:t>
        </w:r>
        <w:r w:rsidR="009D6720">
          <w:rPr>
            <w:noProof/>
            <w:webHidden/>
          </w:rPr>
          <w:fldChar w:fldCharType="end"/>
        </w:r>
      </w:hyperlink>
    </w:p>
    <w:p w14:paraId="01E097BD" w14:textId="69319560" w:rsidR="009D6720" w:rsidRDefault="004E2360">
      <w:pPr>
        <w:pStyle w:val="TOC2"/>
        <w:tabs>
          <w:tab w:val="left" w:pos="960"/>
          <w:tab w:val="right" w:leader="dot" w:pos="9016"/>
        </w:tabs>
        <w:rPr>
          <w:rFonts w:eastAsiaTheme="minorEastAsia" w:cstheme="minorBidi"/>
          <w:b w:val="0"/>
          <w:bCs w:val="0"/>
          <w:noProof/>
          <w:sz w:val="24"/>
          <w:szCs w:val="24"/>
        </w:rPr>
      </w:pPr>
      <w:hyperlink w:anchor="_Toc96957699" w:history="1">
        <w:r w:rsidR="009D6720" w:rsidRPr="002532DD">
          <w:rPr>
            <w:rStyle w:val="Hyperlink"/>
            <w:noProof/>
          </w:rPr>
          <w:t>3.7.</w:t>
        </w:r>
        <w:r w:rsidR="009D6720">
          <w:rPr>
            <w:rFonts w:eastAsiaTheme="minorEastAsia" w:cstheme="minorBidi"/>
            <w:b w:val="0"/>
            <w:bCs w:val="0"/>
            <w:noProof/>
            <w:sz w:val="24"/>
            <w:szCs w:val="24"/>
          </w:rPr>
          <w:tab/>
        </w:r>
        <w:r w:rsidR="009D6720" w:rsidRPr="002532DD">
          <w:rPr>
            <w:rStyle w:val="Hyperlink"/>
            <w:noProof/>
          </w:rPr>
          <w:t>Cited References</w:t>
        </w:r>
        <w:r w:rsidR="009D6720">
          <w:rPr>
            <w:noProof/>
            <w:webHidden/>
          </w:rPr>
          <w:tab/>
        </w:r>
        <w:r w:rsidR="009D6720">
          <w:rPr>
            <w:noProof/>
            <w:webHidden/>
          </w:rPr>
          <w:fldChar w:fldCharType="begin"/>
        </w:r>
        <w:r w:rsidR="009D6720">
          <w:rPr>
            <w:noProof/>
            <w:webHidden/>
          </w:rPr>
          <w:instrText xml:space="preserve"> PAGEREF _Toc96957699 \h </w:instrText>
        </w:r>
        <w:r w:rsidR="009D6720">
          <w:rPr>
            <w:noProof/>
            <w:webHidden/>
          </w:rPr>
        </w:r>
        <w:r w:rsidR="009D6720">
          <w:rPr>
            <w:noProof/>
            <w:webHidden/>
          </w:rPr>
          <w:fldChar w:fldCharType="separate"/>
        </w:r>
        <w:r w:rsidR="005A6B1E">
          <w:rPr>
            <w:noProof/>
            <w:webHidden/>
          </w:rPr>
          <w:t>41</w:t>
        </w:r>
        <w:r w:rsidR="009D6720">
          <w:rPr>
            <w:noProof/>
            <w:webHidden/>
          </w:rPr>
          <w:fldChar w:fldCharType="end"/>
        </w:r>
      </w:hyperlink>
    </w:p>
    <w:p w14:paraId="2029DE5E" w14:textId="61BAEF69" w:rsidR="009D6720" w:rsidRDefault="004E2360">
      <w:pPr>
        <w:pStyle w:val="TOC2"/>
        <w:tabs>
          <w:tab w:val="left" w:pos="960"/>
          <w:tab w:val="right" w:leader="dot" w:pos="9016"/>
        </w:tabs>
        <w:rPr>
          <w:rFonts w:eastAsiaTheme="minorEastAsia" w:cstheme="minorBidi"/>
          <w:b w:val="0"/>
          <w:bCs w:val="0"/>
          <w:noProof/>
          <w:sz w:val="24"/>
          <w:szCs w:val="24"/>
        </w:rPr>
      </w:pPr>
      <w:hyperlink w:anchor="_Toc96957700" w:history="1">
        <w:r w:rsidR="009D6720" w:rsidRPr="002532DD">
          <w:rPr>
            <w:rStyle w:val="Hyperlink"/>
            <w:noProof/>
          </w:rPr>
          <w:t>3.8.</w:t>
        </w:r>
        <w:r w:rsidR="009D6720">
          <w:rPr>
            <w:rFonts w:eastAsiaTheme="minorEastAsia" w:cstheme="minorBidi"/>
            <w:b w:val="0"/>
            <w:bCs w:val="0"/>
            <w:noProof/>
            <w:sz w:val="24"/>
            <w:szCs w:val="24"/>
          </w:rPr>
          <w:tab/>
        </w:r>
        <w:r w:rsidR="009D6720" w:rsidRPr="002532DD">
          <w:rPr>
            <w:rStyle w:val="Hyperlink"/>
            <w:noProof/>
          </w:rPr>
          <w:t>Reviewed References</w:t>
        </w:r>
        <w:r w:rsidR="009D6720">
          <w:rPr>
            <w:noProof/>
            <w:webHidden/>
          </w:rPr>
          <w:tab/>
        </w:r>
        <w:r w:rsidR="009D6720">
          <w:rPr>
            <w:noProof/>
            <w:webHidden/>
          </w:rPr>
          <w:fldChar w:fldCharType="begin"/>
        </w:r>
        <w:r w:rsidR="009D6720">
          <w:rPr>
            <w:noProof/>
            <w:webHidden/>
          </w:rPr>
          <w:instrText xml:space="preserve"> PAGEREF _Toc96957700 \h </w:instrText>
        </w:r>
        <w:r w:rsidR="009D6720">
          <w:rPr>
            <w:noProof/>
            <w:webHidden/>
          </w:rPr>
        </w:r>
        <w:r w:rsidR="009D6720">
          <w:rPr>
            <w:noProof/>
            <w:webHidden/>
          </w:rPr>
          <w:fldChar w:fldCharType="separate"/>
        </w:r>
        <w:r w:rsidR="005A6B1E">
          <w:rPr>
            <w:noProof/>
            <w:webHidden/>
          </w:rPr>
          <w:t>42</w:t>
        </w:r>
        <w:r w:rsidR="009D6720">
          <w:rPr>
            <w:noProof/>
            <w:webHidden/>
          </w:rPr>
          <w:fldChar w:fldCharType="end"/>
        </w:r>
      </w:hyperlink>
    </w:p>
    <w:p w14:paraId="0144722E" w14:textId="45E20F91" w:rsidR="009D6720" w:rsidRDefault="004E2360" w:rsidP="005A6B1E">
      <w:pPr>
        <w:pStyle w:val="TOC1"/>
        <w:rPr>
          <w:rFonts w:eastAsiaTheme="minorEastAsia" w:cstheme="minorBidi"/>
        </w:rPr>
      </w:pPr>
      <w:hyperlink w:anchor="_Toc96957701" w:history="1">
        <w:r w:rsidR="009D6720" w:rsidRPr="002532DD">
          <w:rPr>
            <w:rStyle w:val="Hyperlink"/>
          </w:rPr>
          <w:t>Chapter 4 - Addressing Public Sector Drivers of Sexual Harassment</w:t>
        </w:r>
        <w:r w:rsidR="009D6720">
          <w:rPr>
            <w:webHidden/>
          </w:rPr>
          <w:tab/>
        </w:r>
        <w:r w:rsidR="009D6720">
          <w:rPr>
            <w:webHidden/>
          </w:rPr>
          <w:fldChar w:fldCharType="begin"/>
        </w:r>
        <w:r w:rsidR="009D6720">
          <w:rPr>
            <w:webHidden/>
          </w:rPr>
          <w:instrText xml:space="preserve"> PAGEREF _Toc96957701 \h </w:instrText>
        </w:r>
        <w:r w:rsidR="009D6720">
          <w:rPr>
            <w:webHidden/>
          </w:rPr>
        </w:r>
        <w:r w:rsidR="009D6720">
          <w:rPr>
            <w:webHidden/>
          </w:rPr>
          <w:fldChar w:fldCharType="separate"/>
        </w:r>
        <w:r w:rsidR="005A6B1E">
          <w:rPr>
            <w:webHidden/>
          </w:rPr>
          <w:t>48</w:t>
        </w:r>
        <w:r w:rsidR="009D6720">
          <w:rPr>
            <w:webHidden/>
          </w:rPr>
          <w:fldChar w:fldCharType="end"/>
        </w:r>
      </w:hyperlink>
    </w:p>
    <w:p w14:paraId="39DCF167" w14:textId="0D9DC01A" w:rsidR="009D6720" w:rsidRDefault="004E2360">
      <w:pPr>
        <w:pStyle w:val="TOC2"/>
        <w:tabs>
          <w:tab w:val="left" w:pos="960"/>
          <w:tab w:val="right" w:leader="dot" w:pos="9016"/>
        </w:tabs>
        <w:rPr>
          <w:rFonts w:eastAsiaTheme="minorEastAsia" w:cstheme="minorBidi"/>
          <w:b w:val="0"/>
          <w:bCs w:val="0"/>
          <w:noProof/>
          <w:sz w:val="24"/>
          <w:szCs w:val="24"/>
        </w:rPr>
      </w:pPr>
      <w:hyperlink w:anchor="_Toc96957702" w:history="1">
        <w:r w:rsidR="009D6720" w:rsidRPr="002532DD">
          <w:rPr>
            <w:rStyle w:val="Hyperlink"/>
            <w:noProof/>
          </w:rPr>
          <w:t>4.1.</w:t>
        </w:r>
        <w:r w:rsidR="009D6720">
          <w:rPr>
            <w:rFonts w:eastAsiaTheme="minorEastAsia" w:cstheme="minorBidi"/>
            <w:b w:val="0"/>
            <w:bCs w:val="0"/>
            <w:noProof/>
            <w:sz w:val="24"/>
            <w:szCs w:val="24"/>
          </w:rPr>
          <w:tab/>
        </w:r>
        <w:r w:rsidR="009D6720" w:rsidRPr="002532DD">
          <w:rPr>
            <w:rStyle w:val="Hyperlink"/>
            <w:noProof/>
          </w:rPr>
          <w:t>Executive Summary</w:t>
        </w:r>
        <w:r w:rsidR="009D6720">
          <w:rPr>
            <w:noProof/>
            <w:webHidden/>
          </w:rPr>
          <w:tab/>
        </w:r>
        <w:r w:rsidR="009D6720">
          <w:rPr>
            <w:noProof/>
            <w:webHidden/>
          </w:rPr>
          <w:fldChar w:fldCharType="begin"/>
        </w:r>
        <w:r w:rsidR="009D6720">
          <w:rPr>
            <w:noProof/>
            <w:webHidden/>
          </w:rPr>
          <w:instrText xml:space="preserve"> PAGEREF _Toc96957702 \h </w:instrText>
        </w:r>
        <w:r w:rsidR="009D6720">
          <w:rPr>
            <w:noProof/>
            <w:webHidden/>
          </w:rPr>
        </w:r>
        <w:r w:rsidR="009D6720">
          <w:rPr>
            <w:noProof/>
            <w:webHidden/>
          </w:rPr>
          <w:fldChar w:fldCharType="separate"/>
        </w:r>
        <w:r w:rsidR="005A6B1E">
          <w:rPr>
            <w:noProof/>
            <w:webHidden/>
          </w:rPr>
          <w:t>48</w:t>
        </w:r>
        <w:r w:rsidR="009D6720">
          <w:rPr>
            <w:noProof/>
            <w:webHidden/>
          </w:rPr>
          <w:fldChar w:fldCharType="end"/>
        </w:r>
      </w:hyperlink>
    </w:p>
    <w:p w14:paraId="6C25DA14" w14:textId="4FB37846" w:rsidR="009D6720" w:rsidRDefault="004E2360">
      <w:pPr>
        <w:pStyle w:val="TOC2"/>
        <w:tabs>
          <w:tab w:val="left" w:pos="960"/>
          <w:tab w:val="right" w:leader="dot" w:pos="9016"/>
        </w:tabs>
        <w:rPr>
          <w:rFonts w:eastAsiaTheme="minorEastAsia" w:cstheme="minorBidi"/>
          <w:b w:val="0"/>
          <w:bCs w:val="0"/>
          <w:noProof/>
          <w:sz w:val="24"/>
          <w:szCs w:val="24"/>
        </w:rPr>
      </w:pPr>
      <w:hyperlink w:anchor="_Toc96957703" w:history="1">
        <w:r w:rsidR="009D6720" w:rsidRPr="002532DD">
          <w:rPr>
            <w:rStyle w:val="Hyperlink"/>
            <w:noProof/>
          </w:rPr>
          <w:t>4.2.</w:t>
        </w:r>
        <w:r w:rsidR="009D6720">
          <w:rPr>
            <w:rFonts w:eastAsiaTheme="minorEastAsia" w:cstheme="minorBidi"/>
            <w:b w:val="0"/>
            <w:bCs w:val="0"/>
            <w:noProof/>
            <w:sz w:val="24"/>
            <w:szCs w:val="24"/>
          </w:rPr>
          <w:tab/>
        </w:r>
        <w:r w:rsidR="009D6720" w:rsidRPr="002532DD">
          <w:rPr>
            <w:rStyle w:val="Hyperlink"/>
            <w:noProof/>
          </w:rPr>
          <w:t>Introduction</w:t>
        </w:r>
        <w:r w:rsidR="009D6720">
          <w:rPr>
            <w:noProof/>
            <w:webHidden/>
          </w:rPr>
          <w:tab/>
        </w:r>
        <w:r w:rsidR="009D6720">
          <w:rPr>
            <w:noProof/>
            <w:webHidden/>
          </w:rPr>
          <w:fldChar w:fldCharType="begin"/>
        </w:r>
        <w:r w:rsidR="009D6720">
          <w:rPr>
            <w:noProof/>
            <w:webHidden/>
          </w:rPr>
          <w:instrText xml:space="preserve"> PAGEREF _Toc96957703 \h </w:instrText>
        </w:r>
        <w:r w:rsidR="009D6720">
          <w:rPr>
            <w:noProof/>
            <w:webHidden/>
          </w:rPr>
        </w:r>
        <w:r w:rsidR="009D6720">
          <w:rPr>
            <w:noProof/>
            <w:webHidden/>
          </w:rPr>
          <w:fldChar w:fldCharType="separate"/>
        </w:r>
        <w:r w:rsidR="005A6B1E">
          <w:rPr>
            <w:noProof/>
            <w:webHidden/>
          </w:rPr>
          <w:t>48</w:t>
        </w:r>
        <w:r w:rsidR="009D6720">
          <w:rPr>
            <w:noProof/>
            <w:webHidden/>
          </w:rPr>
          <w:fldChar w:fldCharType="end"/>
        </w:r>
      </w:hyperlink>
    </w:p>
    <w:p w14:paraId="032C1885" w14:textId="0769DFCF" w:rsidR="009D6720" w:rsidRDefault="004E2360">
      <w:pPr>
        <w:pStyle w:val="TOC2"/>
        <w:tabs>
          <w:tab w:val="left" w:pos="960"/>
          <w:tab w:val="right" w:leader="dot" w:pos="9016"/>
        </w:tabs>
        <w:rPr>
          <w:rFonts w:eastAsiaTheme="minorEastAsia" w:cstheme="minorBidi"/>
          <w:b w:val="0"/>
          <w:bCs w:val="0"/>
          <w:noProof/>
          <w:sz w:val="24"/>
          <w:szCs w:val="24"/>
        </w:rPr>
      </w:pPr>
      <w:hyperlink w:anchor="_Toc96957704" w:history="1">
        <w:r w:rsidR="009D6720" w:rsidRPr="002532DD">
          <w:rPr>
            <w:rStyle w:val="Hyperlink"/>
            <w:noProof/>
          </w:rPr>
          <w:t>4.3.</w:t>
        </w:r>
        <w:r w:rsidR="009D6720">
          <w:rPr>
            <w:rFonts w:eastAsiaTheme="minorEastAsia" w:cstheme="minorBidi"/>
            <w:b w:val="0"/>
            <w:bCs w:val="0"/>
            <w:noProof/>
            <w:sz w:val="24"/>
            <w:szCs w:val="24"/>
          </w:rPr>
          <w:tab/>
        </w:r>
        <w:r w:rsidR="009D6720" w:rsidRPr="002532DD">
          <w:rPr>
            <w:rStyle w:val="Hyperlink"/>
            <w:noProof/>
          </w:rPr>
          <w:t>Methods</w:t>
        </w:r>
        <w:r w:rsidR="009D6720">
          <w:rPr>
            <w:noProof/>
            <w:webHidden/>
          </w:rPr>
          <w:tab/>
        </w:r>
        <w:r w:rsidR="009D6720">
          <w:rPr>
            <w:noProof/>
            <w:webHidden/>
          </w:rPr>
          <w:fldChar w:fldCharType="begin"/>
        </w:r>
        <w:r w:rsidR="009D6720">
          <w:rPr>
            <w:noProof/>
            <w:webHidden/>
          </w:rPr>
          <w:instrText xml:space="preserve"> PAGEREF _Toc96957704 \h </w:instrText>
        </w:r>
        <w:r w:rsidR="009D6720">
          <w:rPr>
            <w:noProof/>
            <w:webHidden/>
          </w:rPr>
        </w:r>
        <w:r w:rsidR="009D6720">
          <w:rPr>
            <w:noProof/>
            <w:webHidden/>
          </w:rPr>
          <w:fldChar w:fldCharType="separate"/>
        </w:r>
        <w:r w:rsidR="005A6B1E">
          <w:rPr>
            <w:noProof/>
            <w:webHidden/>
          </w:rPr>
          <w:t>50</w:t>
        </w:r>
        <w:r w:rsidR="009D6720">
          <w:rPr>
            <w:noProof/>
            <w:webHidden/>
          </w:rPr>
          <w:fldChar w:fldCharType="end"/>
        </w:r>
      </w:hyperlink>
    </w:p>
    <w:p w14:paraId="4DB5657B" w14:textId="52DF7BBF" w:rsidR="009D6720" w:rsidRDefault="004E2360">
      <w:pPr>
        <w:pStyle w:val="TOC3"/>
        <w:tabs>
          <w:tab w:val="left" w:pos="1200"/>
          <w:tab w:val="right" w:leader="dot" w:pos="9016"/>
        </w:tabs>
        <w:rPr>
          <w:rFonts w:eastAsiaTheme="minorEastAsia" w:cstheme="minorBidi"/>
          <w:noProof/>
          <w:sz w:val="24"/>
          <w:szCs w:val="24"/>
        </w:rPr>
      </w:pPr>
      <w:hyperlink w:anchor="_Toc96957705" w:history="1">
        <w:r w:rsidR="009D6720" w:rsidRPr="002532DD">
          <w:rPr>
            <w:rStyle w:val="Hyperlink"/>
            <w:b/>
            <w:bCs/>
            <w:i/>
            <w:iCs/>
            <w:noProof/>
          </w:rPr>
          <w:t>4.3.1.</w:t>
        </w:r>
        <w:r w:rsidR="009D6720">
          <w:rPr>
            <w:rFonts w:eastAsiaTheme="minorEastAsia" w:cstheme="minorBidi"/>
            <w:noProof/>
            <w:sz w:val="24"/>
            <w:szCs w:val="24"/>
          </w:rPr>
          <w:tab/>
        </w:r>
        <w:r w:rsidR="009D6720" w:rsidRPr="002532DD">
          <w:rPr>
            <w:rStyle w:val="Hyperlink"/>
            <w:b/>
            <w:bCs/>
            <w:i/>
            <w:iCs/>
            <w:noProof/>
          </w:rPr>
          <w:t>Eligibility</w:t>
        </w:r>
        <w:r w:rsidR="009D6720">
          <w:rPr>
            <w:noProof/>
            <w:webHidden/>
          </w:rPr>
          <w:tab/>
        </w:r>
        <w:r w:rsidR="009D6720">
          <w:rPr>
            <w:noProof/>
            <w:webHidden/>
          </w:rPr>
          <w:fldChar w:fldCharType="begin"/>
        </w:r>
        <w:r w:rsidR="009D6720">
          <w:rPr>
            <w:noProof/>
            <w:webHidden/>
          </w:rPr>
          <w:instrText xml:space="preserve"> PAGEREF _Toc96957705 \h </w:instrText>
        </w:r>
        <w:r w:rsidR="009D6720">
          <w:rPr>
            <w:noProof/>
            <w:webHidden/>
          </w:rPr>
        </w:r>
        <w:r w:rsidR="009D6720">
          <w:rPr>
            <w:noProof/>
            <w:webHidden/>
          </w:rPr>
          <w:fldChar w:fldCharType="separate"/>
        </w:r>
        <w:r w:rsidR="005A6B1E">
          <w:rPr>
            <w:noProof/>
            <w:webHidden/>
          </w:rPr>
          <w:t>50</w:t>
        </w:r>
        <w:r w:rsidR="009D6720">
          <w:rPr>
            <w:noProof/>
            <w:webHidden/>
          </w:rPr>
          <w:fldChar w:fldCharType="end"/>
        </w:r>
      </w:hyperlink>
    </w:p>
    <w:p w14:paraId="4302FE3F" w14:textId="744397AC" w:rsidR="009D6720" w:rsidRDefault="004E2360">
      <w:pPr>
        <w:pStyle w:val="TOC3"/>
        <w:tabs>
          <w:tab w:val="left" w:pos="1200"/>
          <w:tab w:val="right" w:leader="dot" w:pos="9016"/>
        </w:tabs>
        <w:rPr>
          <w:rFonts w:eastAsiaTheme="minorEastAsia" w:cstheme="minorBidi"/>
          <w:noProof/>
          <w:sz w:val="24"/>
          <w:szCs w:val="24"/>
        </w:rPr>
      </w:pPr>
      <w:hyperlink w:anchor="_Toc96957706" w:history="1">
        <w:r w:rsidR="009D6720" w:rsidRPr="002532DD">
          <w:rPr>
            <w:rStyle w:val="Hyperlink"/>
            <w:b/>
            <w:bCs/>
            <w:i/>
            <w:iCs/>
            <w:noProof/>
          </w:rPr>
          <w:t>4.3.2.</w:t>
        </w:r>
        <w:r w:rsidR="009D6720">
          <w:rPr>
            <w:rFonts w:eastAsiaTheme="minorEastAsia" w:cstheme="minorBidi"/>
            <w:noProof/>
            <w:sz w:val="24"/>
            <w:szCs w:val="24"/>
          </w:rPr>
          <w:tab/>
        </w:r>
        <w:r w:rsidR="009D6720" w:rsidRPr="002532DD">
          <w:rPr>
            <w:rStyle w:val="Hyperlink"/>
            <w:b/>
            <w:bCs/>
            <w:i/>
            <w:iCs/>
            <w:noProof/>
          </w:rPr>
          <w:t>Literature search</w:t>
        </w:r>
        <w:r w:rsidR="009D6720">
          <w:rPr>
            <w:noProof/>
            <w:webHidden/>
          </w:rPr>
          <w:tab/>
        </w:r>
        <w:r w:rsidR="009D6720">
          <w:rPr>
            <w:noProof/>
            <w:webHidden/>
          </w:rPr>
          <w:fldChar w:fldCharType="begin"/>
        </w:r>
        <w:r w:rsidR="009D6720">
          <w:rPr>
            <w:noProof/>
            <w:webHidden/>
          </w:rPr>
          <w:instrText xml:space="preserve"> PAGEREF _Toc96957706 \h </w:instrText>
        </w:r>
        <w:r w:rsidR="009D6720">
          <w:rPr>
            <w:noProof/>
            <w:webHidden/>
          </w:rPr>
        </w:r>
        <w:r w:rsidR="009D6720">
          <w:rPr>
            <w:noProof/>
            <w:webHidden/>
          </w:rPr>
          <w:fldChar w:fldCharType="separate"/>
        </w:r>
        <w:r w:rsidR="005A6B1E">
          <w:rPr>
            <w:noProof/>
            <w:webHidden/>
          </w:rPr>
          <w:t>50</w:t>
        </w:r>
        <w:r w:rsidR="009D6720">
          <w:rPr>
            <w:noProof/>
            <w:webHidden/>
          </w:rPr>
          <w:fldChar w:fldCharType="end"/>
        </w:r>
      </w:hyperlink>
    </w:p>
    <w:p w14:paraId="64E08A34" w14:textId="10A10089" w:rsidR="009D6720" w:rsidRDefault="004E2360">
      <w:pPr>
        <w:pStyle w:val="TOC3"/>
        <w:tabs>
          <w:tab w:val="left" w:pos="1200"/>
          <w:tab w:val="right" w:leader="dot" w:pos="9016"/>
        </w:tabs>
        <w:rPr>
          <w:rFonts w:eastAsiaTheme="minorEastAsia" w:cstheme="minorBidi"/>
          <w:noProof/>
          <w:sz w:val="24"/>
          <w:szCs w:val="24"/>
        </w:rPr>
      </w:pPr>
      <w:hyperlink w:anchor="_Toc96957707" w:history="1">
        <w:r w:rsidR="009D6720" w:rsidRPr="002532DD">
          <w:rPr>
            <w:rStyle w:val="Hyperlink"/>
            <w:b/>
            <w:bCs/>
            <w:i/>
            <w:iCs/>
            <w:noProof/>
          </w:rPr>
          <w:t>4.3.3.</w:t>
        </w:r>
        <w:r w:rsidR="009D6720">
          <w:rPr>
            <w:rFonts w:eastAsiaTheme="minorEastAsia" w:cstheme="minorBidi"/>
            <w:noProof/>
            <w:sz w:val="24"/>
            <w:szCs w:val="24"/>
          </w:rPr>
          <w:tab/>
        </w:r>
        <w:r w:rsidR="009D6720" w:rsidRPr="002532DD">
          <w:rPr>
            <w:rStyle w:val="Hyperlink"/>
            <w:b/>
            <w:bCs/>
            <w:i/>
            <w:iCs/>
            <w:noProof/>
          </w:rPr>
          <w:t>Data extraction</w:t>
        </w:r>
        <w:r w:rsidR="009D6720">
          <w:rPr>
            <w:noProof/>
            <w:webHidden/>
          </w:rPr>
          <w:tab/>
        </w:r>
        <w:r w:rsidR="009D6720">
          <w:rPr>
            <w:noProof/>
            <w:webHidden/>
          </w:rPr>
          <w:fldChar w:fldCharType="begin"/>
        </w:r>
        <w:r w:rsidR="009D6720">
          <w:rPr>
            <w:noProof/>
            <w:webHidden/>
          </w:rPr>
          <w:instrText xml:space="preserve"> PAGEREF _Toc96957707 \h </w:instrText>
        </w:r>
        <w:r w:rsidR="009D6720">
          <w:rPr>
            <w:noProof/>
            <w:webHidden/>
          </w:rPr>
        </w:r>
        <w:r w:rsidR="009D6720">
          <w:rPr>
            <w:noProof/>
            <w:webHidden/>
          </w:rPr>
          <w:fldChar w:fldCharType="separate"/>
        </w:r>
        <w:r w:rsidR="005A6B1E">
          <w:rPr>
            <w:noProof/>
            <w:webHidden/>
          </w:rPr>
          <w:t>51</w:t>
        </w:r>
        <w:r w:rsidR="009D6720">
          <w:rPr>
            <w:noProof/>
            <w:webHidden/>
          </w:rPr>
          <w:fldChar w:fldCharType="end"/>
        </w:r>
      </w:hyperlink>
    </w:p>
    <w:p w14:paraId="1522EC7F" w14:textId="504B11F2" w:rsidR="009D6720" w:rsidRDefault="004E2360">
      <w:pPr>
        <w:pStyle w:val="TOC2"/>
        <w:tabs>
          <w:tab w:val="left" w:pos="960"/>
          <w:tab w:val="right" w:leader="dot" w:pos="9016"/>
        </w:tabs>
        <w:rPr>
          <w:rFonts w:eastAsiaTheme="minorEastAsia" w:cstheme="minorBidi"/>
          <w:b w:val="0"/>
          <w:bCs w:val="0"/>
          <w:noProof/>
          <w:sz w:val="24"/>
          <w:szCs w:val="24"/>
        </w:rPr>
      </w:pPr>
      <w:hyperlink w:anchor="_Toc96957708" w:history="1">
        <w:r w:rsidR="009D6720" w:rsidRPr="002532DD">
          <w:rPr>
            <w:rStyle w:val="Hyperlink"/>
            <w:noProof/>
          </w:rPr>
          <w:t>4.4.</w:t>
        </w:r>
        <w:r w:rsidR="009D6720">
          <w:rPr>
            <w:rFonts w:eastAsiaTheme="minorEastAsia" w:cstheme="minorBidi"/>
            <w:b w:val="0"/>
            <w:bCs w:val="0"/>
            <w:noProof/>
            <w:sz w:val="24"/>
            <w:szCs w:val="24"/>
          </w:rPr>
          <w:tab/>
        </w:r>
        <w:r w:rsidR="009D6720" w:rsidRPr="002532DD">
          <w:rPr>
            <w:rStyle w:val="Hyperlink"/>
            <w:noProof/>
          </w:rPr>
          <w:t>Findings and Recommendations</w:t>
        </w:r>
        <w:r w:rsidR="009D6720">
          <w:rPr>
            <w:noProof/>
            <w:webHidden/>
          </w:rPr>
          <w:tab/>
        </w:r>
        <w:r w:rsidR="009D6720">
          <w:rPr>
            <w:noProof/>
            <w:webHidden/>
          </w:rPr>
          <w:fldChar w:fldCharType="begin"/>
        </w:r>
        <w:r w:rsidR="009D6720">
          <w:rPr>
            <w:noProof/>
            <w:webHidden/>
          </w:rPr>
          <w:instrText xml:space="preserve"> PAGEREF _Toc96957708 \h </w:instrText>
        </w:r>
        <w:r w:rsidR="009D6720">
          <w:rPr>
            <w:noProof/>
            <w:webHidden/>
          </w:rPr>
        </w:r>
        <w:r w:rsidR="009D6720">
          <w:rPr>
            <w:noProof/>
            <w:webHidden/>
          </w:rPr>
          <w:fldChar w:fldCharType="separate"/>
        </w:r>
        <w:r w:rsidR="005A6B1E">
          <w:rPr>
            <w:noProof/>
            <w:webHidden/>
          </w:rPr>
          <w:t>52</w:t>
        </w:r>
        <w:r w:rsidR="009D6720">
          <w:rPr>
            <w:noProof/>
            <w:webHidden/>
          </w:rPr>
          <w:fldChar w:fldCharType="end"/>
        </w:r>
      </w:hyperlink>
    </w:p>
    <w:p w14:paraId="77D7846C" w14:textId="6D95AB38" w:rsidR="009D6720" w:rsidRDefault="004E2360">
      <w:pPr>
        <w:pStyle w:val="TOC3"/>
        <w:tabs>
          <w:tab w:val="left" w:pos="1200"/>
          <w:tab w:val="right" w:leader="dot" w:pos="9016"/>
        </w:tabs>
        <w:rPr>
          <w:rFonts w:eastAsiaTheme="minorEastAsia" w:cstheme="minorBidi"/>
          <w:noProof/>
          <w:sz w:val="24"/>
          <w:szCs w:val="24"/>
        </w:rPr>
      </w:pPr>
      <w:hyperlink w:anchor="_Toc96957709" w:history="1">
        <w:r w:rsidR="009D6720" w:rsidRPr="002532DD">
          <w:rPr>
            <w:rStyle w:val="Hyperlink"/>
            <w:b/>
            <w:bCs/>
            <w:i/>
            <w:iCs/>
            <w:noProof/>
          </w:rPr>
          <w:t>4.4.1.</w:t>
        </w:r>
        <w:r w:rsidR="009D6720">
          <w:rPr>
            <w:rFonts w:eastAsiaTheme="minorEastAsia" w:cstheme="minorBidi"/>
            <w:noProof/>
            <w:sz w:val="24"/>
            <w:szCs w:val="24"/>
          </w:rPr>
          <w:tab/>
        </w:r>
        <w:r w:rsidR="009D6720" w:rsidRPr="002532DD">
          <w:rPr>
            <w:rStyle w:val="Hyperlink"/>
            <w:b/>
            <w:bCs/>
            <w:i/>
            <w:iCs/>
            <w:noProof/>
          </w:rPr>
          <w:t>Predictor Category 1: Structural Factors</w:t>
        </w:r>
        <w:r w:rsidR="009D6720">
          <w:rPr>
            <w:noProof/>
            <w:webHidden/>
          </w:rPr>
          <w:tab/>
        </w:r>
        <w:r w:rsidR="009D6720">
          <w:rPr>
            <w:noProof/>
            <w:webHidden/>
          </w:rPr>
          <w:fldChar w:fldCharType="begin"/>
        </w:r>
        <w:r w:rsidR="009D6720">
          <w:rPr>
            <w:noProof/>
            <w:webHidden/>
          </w:rPr>
          <w:instrText xml:space="preserve"> PAGEREF _Toc96957709 \h </w:instrText>
        </w:r>
        <w:r w:rsidR="009D6720">
          <w:rPr>
            <w:noProof/>
            <w:webHidden/>
          </w:rPr>
        </w:r>
        <w:r w:rsidR="009D6720">
          <w:rPr>
            <w:noProof/>
            <w:webHidden/>
          </w:rPr>
          <w:fldChar w:fldCharType="separate"/>
        </w:r>
        <w:r w:rsidR="005A6B1E">
          <w:rPr>
            <w:noProof/>
            <w:webHidden/>
          </w:rPr>
          <w:t>52</w:t>
        </w:r>
        <w:r w:rsidR="009D6720">
          <w:rPr>
            <w:noProof/>
            <w:webHidden/>
          </w:rPr>
          <w:fldChar w:fldCharType="end"/>
        </w:r>
      </w:hyperlink>
    </w:p>
    <w:p w14:paraId="22001D98" w14:textId="3CFD298E" w:rsidR="009D6720" w:rsidRDefault="004E2360">
      <w:pPr>
        <w:pStyle w:val="TOC3"/>
        <w:tabs>
          <w:tab w:val="left" w:pos="1200"/>
          <w:tab w:val="right" w:leader="dot" w:pos="9016"/>
        </w:tabs>
        <w:rPr>
          <w:rFonts w:eastAsiaTheme="minorEastAsia" w:cstheme="minorBidi"/>
          <w:noProof/>
          <w:sz w:val="24"/>
          <w:szCs w:val="24"/>
        </w:rPr>
      </w:pPr>
      <w:hyperlink w:anchor="_Toc96957710" w:history="1">
        <w:r w:rsidR="009D6720" w:rsidRPr="002532DD">
          <w:rPr>
            <w:rStyle w:val="Hyperlink"/>
            <w:b/>
            <w:bCs/>
            <w:i/>
            <w:iCs/>
            <w:noProof/>
          </w:rPr>
          <w:t>4.4.2.</w:t>
        </w:r>
        <w:r w:rsidR="009D6720">
          <w:rPr>
            <w:rFonts w:eastAsiaTheme="minorEastAsia" w:cstheme="minorBidi"/>
            <w:noProof/>
            <w:sz w:val="24"/>
            <w:szCs w:val="24"/>
          </w:rPr>
          <w:tab/>
        </w:r>
        <w:r w:rsidR="009D6720" w:rsidRPr="002532DD">
          <w:rPr>
            <w:rStyle w:val="Hyperlink"/>
            <w:b/>
            <w:bCs/>
            <w:i/>
            <w:iCs/>
            <w:noProof/>
          </w:rPr>
          <w:t>Predictor Category 2: Social Factors</w:t>
        </w:r>
        <w:r w:rsidR="009D6720">
          <w:rPr>
            <w:noProof/>
            <w:webHidden/>
          </w:rPr>
          <w:tab/>
        </w:r>
        <w:r w:rsidR="009D6720">
          <w:rPr>
            <w:noProof/>
            <w:webHidden/>
          </w:rPr>
          <w:fldChar w:fldCharType="begin"/>
        </w:r>
        <w:r w:rsidR="009D6720">
          <w:rPr>
            <w:noProof/>
            <w:webHidden/>
          </w:rPr>
          <w:instrText xml:space="preserve"> PAGEREF _Toc96957710 \h </w:instrText>
        </w:r>
        <w:r w:rsidR="009D6720">
          <w:rPr>
            <w:noProof/>
            <w:webHidden/>
          </w:rPr>
        </w:r>
        <w:r w:rsidR="009D6720">
          <w:rPr>
            <w:noProof/>
            <w:webHidden/>
          </w:rPr>
          <w:fldChar w:fldCharType="separate"/>
        </w:r>
        <w:r w:rsidR="005A6B1E">
          <w:rPr>
            <w:noProof/>
            <w:webHidden/>
          </w:rPr>
          <w:t>55</w:t>
        </w:r>
        <w:r w:rsidR="009D6720">
          <w:rPr>
            <w:noProof/>
            <w:webHidden/>
          </w:rPr>
          <w:fldChar w:fldCharType="end"/>
        </w:r>
      </w:hyperlink>
    </w:p>
    <w:p w14:paraId="797C1B85" w14:textId="69172DE5" w:rsidR="009D6720" w:rsidRDefault="004E2360">
      <w:pPr>
        <w:pStyle w:val="TOC2"/>
        <w:tabs>
          <w:tab w:val="left" w:pos="960"/>
          <w:tab w:val="right" w:leader="dot" w:pos="9016"/>
        </w:tabs>
        <w:rPr>
          <w:rFonts w:eastAsiaTheme="minorEastAsia" w:cstheme="minorBidi"/>
          <w:b w:val="0"/>
          <w:bCs w:val="0"/>
          <w:noProof/>
          <w:sz w:val="24"/>
          <w:szCs w:val="24"/>
        </w:rPr>
      </w:pPr>
      <w:hyperlink w:anchor="_Toc96957711" w:history="1">
        <w:r w:rsidR="009D6720" w:rsidRPr="002532DD">
          <w:rPr>
            <w:rStyle w:val="Hyperlink"/>
            <w:noProof/>
          </w:rPr>
          <w:t>4.5.</w:t>
        </w:r>
        <w:r w:rsidR="009D6720">
          <w:rPr>
            <w:rFonts w:eastAsiaTheme="minorEastAsia" w:cstheme="minorBidi"/>
            <w:b w:val="0"/>
            <w:bCs w:val="0"/>
            <w:noProof/>
            <w:sz w:val="24"/>
            <w:szCs w:val="24"/>
          </w:rPr>
          <w:tab/>
        </w:r>
        <w:r w:rsidR="009D6720" w:rsidRPr="002532DD">
          <w:rPr>
            <w:rStyle w:val="Hyperlink"/>
            <w:noProof/>
          </w:rPr>
          <w:t>A Roadmap for Action</w:t>
        </w:r>
        <w:r w:rsidR="009D6720">
          <w:rPr>
            <w:noProof/>
            <w:webHidden/>
          </w:rPr>
          <w:tab/>
        </w:r>
        <w:r w:rsidR="009D6720">
          <w:rPr>
            <w:noProof/>
            <w:webHidden/>
          </w:rPr>
          <w:fldChar w:fldCharType="begin"/>
        </w:r>
        <w:r w:rsidR="009D6720">
          <w:rPr>
            <w:noProof/>
            <w:webHidden/>
          </w:rPr>
          <w:instrText xml:space="preserve"> PAGEREF _Toc96957711 \h </w:instrText>
        </w:r>
        <w:r w:rsidR="009D6720">
          <w:rPr>
            <w:noProof/>
            <w:webHidden/>
          </w:rPr>
        </w:r>
        <w:r w:rsidR="009D6720">
          <w:rPr>
            <w:noProof/>
            <w:webHidden/>
          </w:rPr>
          <w:fldChar w:fldCharType="separate"/>
        </w:r>
        <w:r w:rsidR="005A6B1E">
          <w:rPr>
            <w:noProof/>
            <w:webHidden/>
          </w:rPr>
          <w:t>60</w:t>
        </w:r>
        <w:r w:rsidR="009D6720">
          <w:rPr>
            <w:noProof/>
            <w:webHidden/>
          </w:rPr>
          <w:fldChar w:fldCharType="end"/>
        </w:r>
      </w:hyperlink>
    </w:p>
    <w:p w14:paraId="2938AC36" w14:textId="32F75F4A" w:rsidR="009D6720" w:rsidRDefault="004E2360">
      <w:pPr>
        <w:pStyle w:val="TOC3"/>
        <w:tabs>
          <w:tab w:val="left" w:pos="1200"/>
          <w:tab w:val="right" w:leader="dot" w:pos="9016"/>
        </w:tabs>
        <w:rPr>
          <w:rFonts w:eastAsiaTheme="minorEastAsia" w:cstheme="minorBidi"/>
          <w:noProof/>
          <w:sz w:val="24"/>
          <w:szCs w:val="24"/>
        </w:rPr>
      </w:pPr>
      <w:hyperlink w:anchor="_Toc96957712" w:history="1">
        <w:r w:rsidR="009D6720" w:rsidRPr="002532DD">
          <w:rPr>
            <w:rStyle w:val="Hyperlink"/>
            <w:b/>
            <w:bCs/>
            <w:i/>
            <w:iCs/>
            <w:noProof/>
          </w:rPr>
          <w:t>4.5.1.</w:t>
        </w:r>
        <w:r w:rsidR="009D6720">
          <w:rPr>
            <w:rFonts w:eastAsiaTheme="minorEastAsia" w:cstheme="minorBidi"/>
            <w:noProof/>
            <w:sz w:val="24"/>
            <w:szCs w:val="24"/>
          </w:rPr>
          <w:tab/>
        </w:r>
        <w:r w:rsidR="009D6720" w:rsidRPr="002532DD">
          <w:rPr>
            <w:rStyle w:val="Hyperlink"/>
            <w:b/>
            <w:bCs/>
            <w:i/>
            <w:iCs/>
            <w:noProof/>
          </w:rPr>
          <w:t>Prevention – Organisational Level</w:t>
        </w:r>
        <w:r w:rsidR="009D6720">
          <w:rPr>
            <w:noProof/>
            <w:webHidden/>
          </w:rPr>
          <w:tab/>
        </w:r>
        <w:r w:rsidR="009D6720">
          <w:rPr>
            <w:noProof/>
            <w:webHidden/>
          </w:rPr>
          <w:fldChar w:fldCharType="begin"/>
        </w:r>
        <w:r w:rsidR="009D6720">
          <w:rPr>
            <w:noProof/>
            <w:webHidden/>
          </w:rPr>
          <w:instrText xml:space="preserve"> PAGEREF _Toc96957712 \h </w:instrText>
        </w:r>
        <w:r w:rsidR="009D6720">
          <w:rPr>
            <w:noProof/>
            <w:webHidden/>
          </w:rPr>
        </w:r>
        <w:r w:rsidR="009D6720">
          <w:rPr>
            <w:noProof/>
            <w:webHidden/>
          </w:rPr>
          <w:fldChar w:fldCharType="separate"/>
        </w:r>
        <w:r w:rsidR="005A6B1E">
          <w:rPr>
            <w:noProof/>
            <w:webHidden/>
          </w:rPr>
          <w:t>61</w:t>
        </w:r>
        <w:r w:rsidR="009D6720">
          <w:rPr>
            <w:noProof/>
            <w:webHidden/>
          </w:rPr>
          <w:fldChar w:fldCharType="end"/>
        </w:r>
      </w:hyperlink>
    </w:p>
    <w:p w14:paraId="7E3366DC" w14:textId="0364D996" w:rsidR="009D6720" w:rsidRDefault="004E2360">
      <w:pPr>
        <w:pStyle w:val="TOC3"/>
        <w:tabs>
          <w:tab w:val="left" w:pos="1200"/>
          <w:tab w:val="right" w:leader="dot" w:pos="9016"/>
        </w:tabs>
        <w:rPr>
          <w:rFonts w:eastAsiaTheme="minorEastAsia" w:cstheme="minorBidi"/>
          <w:noProof/>
          <w:sz w:val="24"/>
          <w:szCs w:val="24"/>
        </w:rPr>
      </w:pPr>
      <w:hyperlink w:anchor="_Toc96957713" w:history="1">
        <w:r w:rsidR="009D6720" w:rsidRPr="002532DD">
          <w:rPr>
            <w:rStyle w:val="Hyperlink"/>
            <w:b/>
            <w:bCs/>
            <w:i/>
            <w:iCs/>
            <w:noProof/>
          </w:rPr>
          <w:t>4.5.2.</w:t>
        </w:r>
        <w:r w:rsidR="009D6720">
          <w:rPr>
            <w:rFonts w:eastAsiaTheme="minorEastAsia" w:cstheme="minorBidi"/>
            <w:noProof/>
            <w:sz w:val="24"/>
            <w:szCs w:val="24"/>
          </w:rPr>
          <w:tab/>
        </w:r>
        <w:r w:rsidR="009D6720" w:rsidRPr="002532DD">
          <w:rPr>
            <w:rStyle w:val="Hyperlink"/>
            <w:b/>
            <w:bCs/>
            <w:i/>
            <w:iCs/>
            <w:noProof/>
          </w:rPr>
          <w:t>Prevention – Team Level</w:t>
        </w:r>
        <w:r w:rsidR="009D6720">
          <w:rPr>
            <w:noProof/>
            <w:webHidden/>
          </w:rPr>
          <w:tab/>
        </w:r>
        <w:r w:rsidR="009D6720">
          <w:rPr>
            <w:noProof/>
            <w:webHidden/>
          </w:rPr>
          <w:fldChar w:fldCharType="begin"/>
        </w:r>
        <w:r w:rsidR="009D6720">
          <w:rPr>
            <w:noProof/>
            <w:webHidden/>
          </w:rPr>
          <w:instrText xml:space="preserve"> PAGEREF _Toc96957713 \h </w:instrText>
        </w:r>
        <w:r w:rsidR="009D6720">
          <w:rPr>
            <w:noProof/>
            <w:webHidden/>
          </w:rPr>
        </w:r>
        <w:r w:rsidR="009D6720">
          <w:rPr>
            <w:noProof/>
            <w:webHidden/>
          </w:rPr>
          <w:fldChar w:fldCharType="separate"/>
        </w:r>
        <w:r w:rsidR="005A6B1E">
          <w:rPr>
            <w:noProof/>
            <w:webHidden/>
          </w:rPr>
          <w:t>62</w:t>
        </w:r>
        <w:r w:rsidR="009D6720">
          <w:rPr>
            <w:noProof/>
            <w:webHidden/>
          </w:rPr>
          <w:fldChar w:fldCharType="end"/>
        </w:r>
      </w:hyperlink>
    </w:p>
    <w:p w14:paraId="14FDFE8F" w14:textId="34D9D7F7" w:rsidR="009D6720" w:rsidRDefault="004E2360">
      <w:pPr>
        <w:pStyle w:val="TOC3"/>
        <w:tabs>
          <w:tab w:val="left" w:pos="1200"/>
          <w:tab w:val="right" w:leader="dot" w:pos="9016"/>
        </w:tabs>
        <w:rPr>
          <w:rFonts w:eastAsiaTheme="minorEastAsia" w:cstheme="minorBidi"/>
          <w:noProof/>
          <w:sz w:val="24"/>
          <w:szCs w:val="24"/>
        </w:rPr>
      </w:pPr>
      <w:hyperlink w:anchor="_Toc96957714" w:history="1">
        <w:r w:rsidR="009D6720" w:rsidRPr="002532DD">
          <w:rPr>
            <w:rStyle w:val="Hyperlink"/>
            <w:b/>
            <w:bCs/>
            <w:i/>
            <w:iCs/>
            <w:noProof/>
          </w:rPr>
          <w:t>4.5.3.</w:t>
        </w:r>
        <w:r w:rsidR="009D6720">
          <w:rPr>
            <w:rFonts w:eastAsiaTheme="minorEastAsia" w:cstheme="minorBidi"/>
            <w:noProof/>
            <w:sz w:val="24"/>
            <w:szCs w:val="24"/>
          </w:rPr>
          <w:tab/>
        </w:r>
        <w:r w:rsidR="009D6720" w:rsidRPr="002532DD">
          <w:rPr>
            <w:rStyle w:val="Hyperlink"/>
            <w:b/>
            <w:bCs/>
            <w:i/>
            <w:iCs/>
            <w:noProof/>
          </w:rPr>
          <w:t>Prevention – Individual Level</w:t>
        </w:r>
        <w:r w:rsidR="009D6720">
          <w:rPr>
            <w:noProof/>
            <w:webHidden/>
          </w:rPr>
          <w:tab/>
        </w:r>
        <w:r w:rsidR="009D6720">
          <w:rPr>
            <w:noProof/>
            <w:webHidden/>
          </w:rPr>
          <w:fldChar w:fldCharType="begin"/>
        </w:r>
        <w:r w:rsidR="009D6720">
          <w:rPr>
            <w:noProof/>
            <w:webHidden/>
          </w:rPr>
          <w:instrText xml:space="preserve"> PAGEREF _Toc96957714 \h </w:instrText>
        </w:r>
        <w:r w:rsidR="009D6720">
          <w:rPr>
            <w:noProof/>
            <w:webHidden/>
          </w:rPr>
        </w:r>
        <w:r w:rsidR="009D6720">
          <w:rPr>
            <w:noProof/>
            <w:webHidden/>
          </w:rPr>
          <w:fldChar w:fldCharType="separate"/>
        </w:r>
        <w:r w:rsidR="005A6B1E">
          <w:rPr>
            <w:noProof/>
            <w:webHidden/>
          </w:rPr>
          <w:t>64</w:t>
        </w:r>
        <w:r w:rsidR="009D6720">
          <w:rPr>
            <w:noProof/>
            <w:webHidden/>
          </w:rPr>
          <w:fldChar w:fldCharType="end"/>
        </w:r>
      </w:hyperlink>
    </w:p>
    <w:p w14:paraId="6F1B7882" w14:textId="1DC1B700" w:rsidR="009D6720" w:rsidRDefault="004E2360">
      <w:pPr>
        <w:pStyle w:val="TOC3"/>
        <w:tabs>
          <w:tab w:val="left" w:pos="1200"/>
          <w:tab w:val="right" w:leader="dot" w:pos="9016"/>
        </w:tabs>
        <w:rPr>
          <w:rFonts w:eastAsiaTheme="minorEastAsia" w:cstheme="minorBidi"/>
          <w:noProof/>
          <w:sz w:val="24"/>
          <w:szCs w:val="24"/>
        </w:rPr>
      </w:pPr>
      <w:hyperlink w:anchor="_Toc96957715" w:history="1">
        <w:r w:rsidR="009D6720" w:rsidRPr="002532DD">
          <w:rPr>
            <w:rStyle w:val="Hyperlink"/>
            <w:b/>
            <w:bCs/>
            <w:i/>
            <w:iCs/>
            <w:noProof/>
          </w:rPr>
          <w:t>4.5.4.</w:t>
        </w:r>
        <w:r w:rsidR="009D6720">
          <w:rPr>
            <w:rFonts w:eastAsiaTheme="minorEastAsia" w:cstheme="minorBidi"/>
            <w:noProof/>
            <w:sz w:val="24"/>
            <w:szCs w:val="24"/>
          </w:rPr>
          <w:tab/>
        </w:r>
        <w:r w:rsidR="009D6720" w:rsidRPr="002532DD">
          <w:rPr>
            <w:rStyle w:val="Hyperlink"/>
            <w:b/>
            <w:bCs/>
            <w:i/>
            <w:iCs/>
            <w:noProof/>
          </w:rPr>
          <w:t>Management – Organisational Level</w:t>
        </w:r>
        <w:r w:rsidR="009D6720">
          <w:rPr>
            <w:noProof/>
            <w:webHidden/>
          </w:rPr>
          <w:tab/>
        </w:r>
        <w:r w:rsidR="009D6720">
          <w:rPr>
            <w:noProof/>
            <w:webHidden/>
          </w:rPr>
          <w:fldChar w:fldCharType="begin"/>
        </w:r>
        <w:r w:rsidR="009D6720">
          <w:rPr>
            <w:noProof/>
            <w:webHidden/>
          </w:rPr>
          <w:instrText xml:space="preserve"> PAGEREF _Toc96957715 \h </w:instrText>
        </w:r>
        <w:r w:rsidR="009D6720">
          <w:rPr>
            <w:noProof/>
            <w:webHidden/>
          </w:rPr>
        </w:r>
        <w:r w:rsidR="009D6720">
          <w:rPr>
            <w:noProof/>
            <w:webHidden/>
          </w:rPr>
          <w:fldChar w:fldCharType="separate"/>
        </w:r>
        <w:r w:rsidR="005A6B1E">
          <w:rPr>
            <w:noProof/>
            <w:webHidden/>
          </w:rPr>
          <w:t>64</w:t>
        </w:r>
        <w:r w:rsidR="009D6720">
          <w:rPr>
            <w:noProof/>
            <w:webHidden/>
          </w:rPr>
          <w:fldChar w:fldCharType="end"/>
        </w:r>
      </w:hyperlink>
    </w:p>
    <w:p w14:paraId="0BEAF4C9" w14:textId="3C9E6330" w:rsidR="009D6720" w:rsidRDefault="004E2360">
      <w:pPr>
        <w:pStyle w:val="TOC3"/>
        <w:tabs>
          <w:tab w:val="left" w:pos="1200"/>
          <w:tab w:val="right" w:leader="dot" w:pos="9016"/>
        </w:tabs>
        <w:rPr>
          <w:rFonts w:eastAsiaTheme="minorEastAsia" w:cstheme="minorBidi"/>
          <w:noProof/>
          <w:sz w:val="24"/>
          <w:szCs w:val="24"/>
        </w:rPr>
      </w:pPr>
      <w:hyperlink w:anchor="_Toc96957716" w:history="1">
        <w:r w:rsidR="009D6720" w:rsidRPr="002532DD">
          <w:rPr>
            <w:rStyle w:val="Hyperlink"/>
            <w:b/>
            <w:bCs/>
            <w:i/>
            <w:iCs/>
            <w:noProof/>
          </w:rPr>
          <w:t>4.5.5.</w:t>
        </w:r>
        <w:r w:rsidR="009D6720">
          <w:rPr>
            <w:rFonts w:eastAsiaTheme="minorEastAsia" w:cstheme="minorBidi"/>
            <w:noProof/>
            <w:sz w:val="24"/>
            <w:szCs w:val="24"/>
          </w:rPr>
          <w:tab/>
        </w:r>
        <w:r w:rsidR="009D6720" w:rsidRPr="002532DD">
          <w:rPr>
            <w:rStyle w:val="Hyperlink"/>
            <w:b/>
            <w:bCs/>
            <w:i/>
            <w:iCs/>
            <w:noProof/>
          </w:rPr>
          <w:t>Management – Team Level</w:t>
        </w:r>
        <w:r w:rsidR="009D6720">
          <w:rPr>
            <w:noProof/>
            <w:webHidden/>
          </w:rPr>
          <w:tab/>
        </w:r>
        <w:r w:rsidR="009D6720">
          <w:rPr>
            <w:noProof/>
            <w:webHidden/>
          </w:rPr>
          <w:fldChar w:fldCharType="begin"/>
        </w:r>
        <w:r w:rsidR="009D6720">
          <w:rPr>
            <w:noProof/>
            <w:webHidden/>
          </w:rPr>
          <w:instrText xml:space="preserve"> PAGEREF _Toc96957716 \h </w:instrText>
        </w:r>
        <w:r w:rsidR="009D6720">
          <w:rPr>
            <w:noProof/>
            <w:webHidden/>
          </w:rPr>
        </w:r>
        <w:r w:rsidR="009D6720">
          <w:rPr>
            <w:noProof/>
            <w:webHidden/>
          </w:rPr>
          <w:fldChar w:fldCharType="separate"/>
        </w:r>
        <w:r w:rsidR="005A6B1E">
          <w:rPr>
            <w:noProof/>
            <w:webHidden/>
          </w:rPr>
          <w:t>66</w:t>
        </w:r>
        <w:r w:rsidR="009D6720">
          <w:rPr>
            <w:noProof/>
            <w:webHidden/>
          </w:rPr>
          <w:fldChar w:fldCharType="end"/>
        </w:r>
      </w:hyperlink>
    </w:p>
    <w:p w14:paraId="4FBD89AD" w14:textId="517C780E" w:rsidR="009D6720" w:rsidRDefault="004E2360">
      <w:pPr>
        <w:pStyle w:val="TOC3"/>
        <w:tabs>
          <w:tab w:val="left" w:pos="1200"/>
          <w:tab w:val="right" w:leader="dot" w:pos="9016"/>
        </w:tabs>
        <w:rPr>
          <w:rFonts w:eastAsiaTheme="minorEastAsia" w:cstheme="minorBidi"/>
          <w:noProof/>
          <w:sz w:val="24"/>
          <w:szCs w:val="24"/>
        </w:rPr>
      </w:pPr>
      <w:hyperlink w:anchor="_Toc96957717" w:history="1">
        <w:r w:rsidR="009D6720" w:rsidRPr="002532DD">
          <w:rPr>
            <w:rStyle w:val="Hyperlink"/>
            <w:b/>
            <w:bCs/>
            <w:i/>
            <w:iCs/>
            <w:noProof/>
          </w:rPr>
          <w:t>4.5.6.</w:t>
        </w:r>
        <w:r w:rsidR="009D6720">
          <w:rPr>
            <w:rFonts w:eastAsiaTheme="minorEastAsia" w:cstheme="minorBidi"/>
            <w:noProof/>
            <w:sz w:val="24"/>
            <w:szCs w:val="24"/>
          </w:rPr>
          <w:tab/>
        </w:r>
        <w:r w:rsidR="009D6720" w:rsidRPr="002532DD">
          <w:rPr>
            <w:rStyle w:val="Hyperlink"/>
            <w:b/>
            <w:bCs/>
            <w:i/>
            <w:iCs/>
            <w:noProof/>
          </w:rPr>
          <w:t>Management – Individual Level</w:t>
        </w:r>
        <w:r w:rsidR="009D6720">
          <w:rPr>
            <w:noProof/>
            <w:webHidden/>
          </w:rPr>
          <w:tab/>
        </w:r>
        <w:r w:rsidR="009D6720">
          <w:rPr>
            <w:noProof/>
            <w:webHidden/>
          </w:rPr>
          <w:fldChar w:fldCharType="begin"/>
        </w:r>
        <w:r w:rsidR="009D6720">
          <w:rPr>
            <w:noProof/>
            <w:webHidden/>
          </w:rPr>
          <w:instrText xml:space="preserve"> PAGEREF _Toc96957717 \h </w:instrText>
        </w:r>
        <w:r w:rsidR="009D6720">
          <w:rPr>
            <w:noProof/>
            <w:webHidden/>
          </w:rPr>
        </w:r>
        <w:r w:rsidR="009D6720">
          <w:rPr>
            <w:noProof/>
            <w:webHidden/>
          </w:rPr>
          <w:fldChar w:fldCharType="separate"/>
        </w:r>
        <w:r w:rsidR="005A6B1E">
          <w:rPr>
            <w:noProof/>
            <w:webHidden/>
          </w:rPr>
          <w:t>66</w:t>
        </w:r>
        <w:r w:rsidR="009D6720">
          <w:rPr>
            <w:noProof/>
            <w:webHidden/>
          </w:rPr>
          <w:fldChar w:fldCharType="end"/>
        </w:r>
      </w:hyperlink>
    </w:p>
    <w:p w14:paraId="355796B4" w14:textId="11FE73B1" w:rsidR="009D6720" w:rsidRDefault="004E2360">
      <w:pPr>
        <w:pStyle w:val="TOC2"/>
        <w:tabs>
          <w:tab w:val="left" w:pos="960"/>
          <w:tab w:val="right" w:leader="dot" w:pos="9016"/>
        </w:tabs>
        <w:rPr>
          <w:rFonts w:eastAsiaTheme="minorEastAsia" w:cstheme="minorBidi"/>
          <w:b w:val="0"/>
          <w:bCs w:val="0"/>
          <w:noProof/>
          <w:sz w:val="24"/>
          <w:szCs w:val="24"/>
        </w:rPr>
      </w:pPr>
      <w:hyperlink w:anchor="_Toc96957718" w:history="1">
        <w:r w:rsidR="009D6720" w:rsidRPr="002532DD">
          <w:rPr>
            <w:rStyle w:val="Hyperlink"/>
            <w:noProof/>
          </w:rPr>
          <w:t>4.6.</w:t>
        </w:r>
        <w:r w:rsidR="009D6720">
          <w:rPr>
            <w:rFonts w:eastAsiaTheme="minorEastAsia" w:cstheme="minorBidi"/>
            <w:b w:val="0"/>
            <w:bCs w:val="0"/>
            <w:noProof/>
            <w:sz w:val="24"/>
            <w:szCs w:val="24"/>
          </w:rPr>
          <w:tab/>
        </w:r>
        <w:r w:rsidR="009D6720" w:rsidRPr="002532DD">
          <w:rPr>
            <w:rStyle w:val="Hyperlink"/>
            <w:noProof/>
          </w:rPr>
          <w:t>Final Considerations</w:t>
        </w:r>
        <w:r w:rsidR="009D6720">
          <w:rPr>
            <w:noProof/>
            <w:webHidden/>
          </w:rPr>
          <w:tab/>
        </w:r>
        <w:r w:rsidR="009D6720">
          <w:rPr>
            <w:noProof/>
            <w:webHidden/>
          </w:rPr>
          <w:fldChar w:fldCharType="begin"/>
        </w:r>
        <w:r w:rsidR="009D6720">
          <w:rPr>
            <w:noProof/>
            <w:webHidden/>
          </w:rPr>
          <w:instrText xml:space="preserve"> PAGEREF _Toc96957718 \h </w:instrText>
        </w:r>
        <w:r w:rsidR="009D6720">
          <w:rPr>
            <w:noProof/>
            <w:webHidden/>
          </w:rPr>
        </w:r>
        <w:r w:rsidR="009D6720">
          <w:rPr>
            <w:noProof/>
            <w:webHidden/>
          </w:rPr>
          <w:fldChar w:fldCharType="separate"/>
        </w:r>
        <w:r w:rsidR="005A6B1E">
          <w:rPr>
            <w:noProof/>
            <w:webHidden/>
          </w:rPr>
          <w:t>67</w:t>
        </w:r>
        <w:r w:rsidR="009D6720">
          <w:rPr>
            <w:noProof/>
            <w:webHidden/>
          </w:rPr>
          <w:fldChar w:fldCharType="end"/>
        </w:r>
      </w:hyperlink>
    </w:p>
    <w:p w14:paraId="7C3D3D98" w14:textId="13A982CE" w:rsidR="009D6720" w:rsidRDefault="004E2360">
      <w:pPr>
        <w:pStyle w:val="TOC3"/>
        <w:tabs>
          <w:tab w:val="left" w:pos="1200"/>
          <w:tab w:val="right" w:leader="dot" w:pos="9016"/>
        </w:tabs>
        <w:rPr>
          <w:rFonts w:eastAsiaTheme="minorEastAsia" w:cstheme="minorBidi"/>
          <w:noProof/>
          <w:sz w:val="24"/>
          <w:szCs w:val="24"/>
        </w:rPr>
      </w:pPr>
      <w:hyperlink w:anchor="_Toc96957719" w:history="1">
        <w:r w:rsidR="009D6720" w:rsidRPr="002532DD">
          <w:rPr>
            <w:rStyle w:val="Hyperlink"/>
            <w:b/>
            <w:bCs/>
            <w:i/>
            <w:iCs/>
            <w:noProof/>
          </w:rPr>
          <w:t>4.6.1.</w:t>
        </w:r>
        <w:r w:rsidR="009D6720">
          <w:rPr>
            <w:rFonts w:eastAsiaTheme="minorEastAsia" w:cstheme="minorBidi"/>
            <w:noProof/>
            <w:sz w:val="24"/>
            <w:szCs w:val="24"/>
          </w:rPr>
          <w:tab/>
        </w:r>
        <w:r w:rsidR="009D6720" w:rsidRPr="002532DD">
          <w:rPr>
            <w:rStyle w:val="Hyperlink"/>
            <w:b/>
            <w:bCs/>
            <w:i/>
            <w:iCs/>
            <w:noProof/>
          </w:rPr>
          <w:t>Intersectional Approach</w:t>
        </w:r>
        <w:r w:rsidR="009D6720">
          <w:rPr>
            <w:noProof/>
            <w:webHidden/>
          </w:rPr>
          <w:tab/>
        </w:r>
        <w:r w:rsidR="009D6720">
          <w:rPr>
            <w:noProof/>
            <w:webHidden/>
          </w:rPr>
          <w:fldChar w:fldCharType="begin"/>
        </w:r>
        <w:r w:rsidR="009D6720">
          <w:rPr>
            <w:noProof/>
            <w:webHidden/>
          </w:rPr>
          <w:instrText xml:space="preserve"> PAGEREF _Toc96957719 \h </w:instrText>
        </w:r>
        <w:r w:rsidR="009D6720">
          <w:rPr>
            <w:noProof/>
            <w:webHidden/>
          </w:rPr>
        </w:r>
        <w:r w:rsidR="009D6720">
          <w:rPr>
            <w:noProof/>
            <w:webHidden/>
          </w:rPr>
          <w:fldChar w:fldCharType="separate"/>
        </w:r>
        <w:r w:rsidR="005A6B1E">
          <w:rPr>
            <w:noProof/>
            <w:webHidden/>
          </w:rPr>
          <w:t>67</w:t>
        </w:r>
        <w:r w:rsidR="009D6720">
          <w:rPr>
            <w:noProof/>
            <w:webHidden/>
          </w:rPr>
          <w:fldChar w:fldCharType="end"/>
        </w:r>
      </w:hyperlink>
    </w:p>
    <w:p w14:paraId="5470F7FD" w14:textId="04C98951" w:rsidR="009D6720" w:rsidRDefault="004E2360">
      <w:pPr>
        <w:pStyle w:val="TOC3"/>
        <w:tabs>
          <w:tab w:val="left" w:pos="1200"/>
          <w:tab w:val="right" w:leader="dot" w:pos="9016"/>
        </w:tabs>
        <w:rPr>
          <w:rFonts w:eastAsiaTheme="minorEastAsia" w:cstheme="minorBidi"/>
          <w:noProof/>
          <w:sz w:val="24"/>
          <w:szCs w:val="24"/>
        </w:rPr>
      </w:pPr>
      <w:hyperlink w:anchor="_Toc96957720" w:history="1">
        <w:r w:rsidR="009D6720" w:rsidRPr="002532DD">
          <w:rPr>
            <w:rStyle w:val="Hyperlink"/>
            <w:b/>
            <w:bCs/>
            <w:i/>
            <w:iCs/>
            <w:noProof/>
          </w:rPr>
          <w:t>4.6.2.</w:t>
        </w:r>
        <w:r w:rsidR="009D6720">
          <w:rPr>
            <w:rFonts w:eastAsiaTheme="minorEastAsia" w:cstheme="minorBidi"/>
            <w:noProof/>
            <w:sz w:val="24"/>
            <w:szCs w:val="24"/>
          </w:rPr>
          <w:tab/>
        </w:r>
        <w:r w:rsidR="009D6720" w:rsidRPr="002532DD">
          <w:rPr>
            <w:rStyle w:val="Hyperlink"/>
            <w:b/>
            <w:bCs/>
            <w:i/>
            <w:iCs/>
            <w:noProof/>
          </w:rPr>
          <w:t>Implications of Public Sector Actions</w:t>
        </w:r>
        <w:r w:rsidR="009D6720">
          <w:rPr>
            <w:noProof/>
            <w:webHidden/>
          </w:rPr>
          <w:tab/>
        </w:r>
        <w:r w:rsidR="009D6720">
          <w:rPr>
            <w:noProof/>
            <w:webHidden/>
          </w:rPr>
          <w:fldChar w:fldCharType="begin"/>
        </w:r>
        <w:r w:rsidR="009D6720">
          <w:rPr>
            <w:noProof/>
            <w:webHidden/>
          </w:rPr>
          <w:instrText xml:space="preserve"> PAGEREF _Toc96957720 \h </w:instrText>
        </w:r>
        <w:r w:rsidR="009D6720">
          <w:rPr>
            <w:noProof/>
            <w:webHidden/>
          </w:rPr>
        </w:r>
        <w:r w:rsidR="009D6720">
          <w:rPr>
            <w:noProof/>
            <w:webHidden/>
          </w:rPr>
          <w:fldChar w:fldCharType="separate"/>
        </w:r>
        <w:r w:rsidR="005A6B1E">
          <w:rPr>
            <w:noProof/>
            <w:webHidden/>
          </w:rPr>
          <w:t>67</w:t>
        </w:r>
        <w:r w:rsidR="009D6720">
          <w:rPr>
            <w:noProof/>
            <w:webHidden/>
          </w:rPr>
          <w:fldChar w:fldCharType="end"/>
        </w:r>
      </w:hyperlink>
    </w:p>
    <w:p w14:paraId="0CE683D9" w14:textId="653E2B64" w:rsidR="009D6720" w:rsidRDefault="004E2360">
      <w:pPr>
        <w:pStyle w:val="TOC2"/>
        <w:tabs>
          <w:tab w:val="left" w:pos="960"/>
          <w:tab w:val="right" w:leader="dot" w:pos="9016"/>
        </w:tabs>
        <w:rPr>
          <w:rFonts w:eastAsiaTheme="minorEastAsia" w:cstheme="minorBidi"/>
          <w:b w:val="0"/>
          <w:bCs w:val="0"/>
          <w:noProof/>
          <w:sz w:val="24"/>
          <w:szCs w:val="24"/>
        </w:rPr>
      </w:pPr>
      <w:hyperlink w:anchor="_Toc96957721" w:history="1">
        <w:r w:rsidR="009D6720" w:rsidRPr="002532DD">
          <w:rPr>
            <w:rStyle w:val="Hyperlink"/>
            <w:noProof/>
          </w:rPr>
          <w:t>4.7.</w:t>
        </w:r>
        <w:r w:rsidR="009D6720">
          <w:rPr>
            <w:rFonts w:eastAsiaTheme="minorEastAsia" w:cstheme="minorBidi"/>
            <w:b w:val="0"/>
            <w:bCs w:val="0"/>
            <w:noProof/>
            <w:sz w:val="24"/>
            <w:szCs w:val="24"/>
          </w:rPr>
          <w:tab/>
        </w:r>
        <w:r w:rsidR="009D6720" w:rsidRPr="002532DD">
          <w:rPr>
            <w:rStyle w:val="Hyperlink"/>
            <w:noProof/>
          </w:rPr>
          <w:t>Conclusions</w:t>
        </w:r>
        <w:r w:rsidR="009D6720">
          <w:rPr>
            <w:noProof/>
            <w:webHidden/>
          </w:rPr>
          <w:tab/>
        </w:r>
        <w:r w:rsidR="009D6720">
          <w:rPr>
            <w:noProof/>
            <w:webHidden/>
          </w:rPr>
          <w:fldChar w:fldCharType="begin"/>
        </w:r>
        <w:r w:rsidR="009D6720">
          <w:rPr>
            <w:noProof/>
            <w:webHidden/>
          </w:rPr>
          <w:instrText xml:space="preserve"> PAGEREF _Toc96957721 \h </w:instrText>
        </w:r>
        <w:r w:rsidR="009D6720">
          <w:rPr>
            <w:noProof/>
            <w:webHidden/>
          </w:rPr>
        </w:r>
        <w:r w:rsidR="009D6720">
          <w:rPr>
            <w:noProof/>
            <w:webHidden/>
          </w:rPr>
          <w:fldChar w:fldCharType="separate"/>
        </w:r>
        <w:r w:rsidR="005A6B1E">
          <w:rPr>
            <w:noProof/>
            <w:webHidden/>
          </w:rPr>
          <w:t>67</w:t>
        </w:r>
        <w:r w:rsidR="009D6720">
          <w:rPr>
            <w:noProof/>
            <w:webHidden/>
          </w:rPr>
          <w:fldChar w:fldCharType="end"/>
        </w:r>
      </w:hyperlink>
    </w:p>
    <w:p w14:paraId="025CD4A2" w14:textId="1217BB0B" w:rsidR="009D6720" w:rsidRDefault="004E2360">
      <w:pPr>
        <w:pStyle w:val="TOC2"/>
        <w:tabs>
          <w:tab w:val="left" w:pos="960"/>
          <w:tab w:val="right" w:leader="dot" w:pos="9016"/>
        </w:tabs>
        <w:rPr>
          <w:rFonts w:eastAsiaTheme="minorEastAsia" w:cstheme="minorBidi"/>
          <w:b w:val="0"/>
          <w:bCs w:val="0"/>
          <w:noProof/>
          <w:sz w:val="24"/>
          <w:szCs w:val="24"/>
        </w:rPr>
      </w:pPr>
      <w:hyperlink w:anchor="_Toc96957722" w:history="1">
        <w:r w:rsidR="009D6720" w:rsidRPr="002532DD">
          <w:rPr>
            <w:rStyle w:val="Hyperlink"/>
            <w:noProof/>
          </w:rPr>
          <w:t>4.8.</w:t>
        </w:r>
        <w:r w:rsidR="009D6720">
          <w:rPr>
            <w:rFonts w:eastAsiaTheme="minorEastAsia" w:cstheme="minorBidi"/>
            <w:b w:val="0"/>
            <w:bCs w:val="0"/>
            <w:noProof/>
            <w:sz w:val="24"/>
            <w:szCs w:val="24"/>
          </w:rPr>
          <w:tab/>
        </w:r>
        <w:r w:rsidR="009D6720" w:rsidRPr="002532DD">
          <w:rPr>
            <w:rStyle w:val="Hyperlink"/>
            <w:noProof/>
          </w:rPr>
          <w:t>Cited References</w:t>
        </w:r>
        <w:r w:rsidR="009D6720">
          <w:rPr>
            <w:noProof/>
            <w:webHidden/>
          </w:rPr>
          <w:tab/>
        </w:r>
        <w:r w:rsidR="009D6720">
          <w:rPr>
            <w:noProof/>
            <w:webHidden/>
          </w:rPr>
          <w:fldChar w:fldCharType="begin"/>
        </w:r>
        <w:r w:rsidR="009D6720">
          <w:rPr>
            <w:noProof/>
            <w:webHidden/>
          </w:rPr>
          <w:instrText xml:space="preserve"> PAGEREF _Toc96957722 \h </w:instrText>
        </w:r>
        <w:r w:rsidR="009D6720">
          <w:rPr>
            <w:noProof/>
            <w:webHidden/>
          </w:rPr>
        </w:r>
        <w:r w:rsidR="009D6720">
          <w:rPr>
            <w:noProof/>
            <w:webHidden/>
          </w:rPr>
          <w:fldChar w:fldCharType="separate"/>
        </w:r>
        <w:r w:rsidR="005A6B1E">
          <w:rPr>
            <w:noProof/>
            <w:webHidden/>
          </w:rPr>
          <w:t>67</w:t>
        </w:r>
        <w:r w:rsidR="009D6720">
          <w:rPr>
            <w:noProof/>
            <w:webHidden/>
          </w:rPr>
          <w:fldChar w:fldCharType="end"/>
        </w:r>
      </w:hyperlink>
    </w:p>
    <w:p w14:paraId="3E55F230" w14:textId="4DA10E1F" w:rsidR="009D6720" w:rsidRDefault="004E2360">
      <w:pPr>
        <w:pStyle w:val="TOC2"/>
        <w:tabs>
          <w:tab w:val="left" w:pos="960"/>
          <w:tab w:val="right" w:leader="dot" w:pos="9016"/>
        </w:tabs>
        <w:rPr>
          <w:rFonts w:eastAsiaTheme="minorEastAsia" w:cstheme="minorBidi"/>
          <w:b w:val="0"/>
          <w:bCs w:val="0"/>
          <w:noProof/>
          <w:sz w:val="24"/>
          <w:szCs w:val="24"/>
        </w:rPr>
      </w:pPr>
      <w:hyperlink w:anchor="_Toc96957723" w:history="1">
        <w:r w:rsidR="009D6720" w:rsidRPr="002532DD">
          <w:rPr>
            <w:rStyle w:val="Hyperlink"/>
            <w:noProof/>
          </w:rPr>
          <w:t>4.9.</w:t>
        </w:r>
        <w:r w:rsidR="009D6720">
          <w:rPr>
            <w:rFonts w:eastAsiaTheme="minorEastAsia" w:cstheme="minorBidi"/>
            <w:b w:val="0"/>
            <w:bCs w:val="0"/>
            <w:noProof/>
            <w:sz w:val="24"/>
            <w:szCs w:val="24"/>
          </w:rPr>
          <w:tab/>
        </w:r>
        <w:r w:rsidR="009D6720" w:rsidRPr="002532DD">
          <w:rPr>
            <w:rStyle w:val="Hyperlink"/>
            <w:noProof/>
          </w:rPr>
          <w:t>Reviewed References</w:t>
        </w:r>
        <w:r w:rsidR="009D6720">
          <w:rPr>
            <w:noProof/>
            <w:webHidden/>
          </w:rPr>
          <w:tab/>
        </w:r>
        <w:r w:rsidR="009D6720">
          <w:rPr>
            <w:noProof/>
            <w:webHidden/>
          </w:rPr>
          <w:fldChar w:fldCharType="begin"/>
        </w:r>
        <w:r w:rsidR="009D6720">
          <w:rPr>
            <w:noProof/>
            <w:webHidden/>
          </w:rPr>
          <w:instrText xml:space="preserve"> PAGEREF _Toc96957723 \h </w:instrText>
        </w:r>
        <w:r w:rsidR="009D6720">
          <w:rPr>
            <w:noProof/>
            <w:webHidden/>
          </w:rPr>
        </w:r>
        <w:r w:rsidR="009D6720">
          <w:rPr>
            <w:noProof/>
            <w:webHidden/>
          </w:rPr>
          <w:fldChar w:fldCharType="separate"/>
        </w:r>
        <w:r w:rsidR="005A6B1E">
          <w:rPr>
            <w:noProof/>
            <w:webHidden/>
          </w:rPr>
          <w:t>69</w:t>
        </w:r>
        <w:r w:rsidR="009D6720">
          <w:rPr>
            <w:noProof/>
            <w:webHidden/>
          </w:rPr>
          <w:fldChar w:fldCharType="end"/>
        </w:r>
      </w:hyperlink>
    </w:p>
    <w:p w14:paraId="02390325" w14:textId="581260F7" w:rsidR="009D6720" w:rsidRDefault="004E2360" w:rsidP="005A6B1E">
      <w:pPr>
        <w:pStyle w:val="TOC1"/>
        <w:rPr>
          <w:rFonts w:eastAsiaTheme="minorEastAsia" w:cstheme="minorBidi"/>
        </w:rPr>
      </w:pPr>
      <w:hyperlink w:anchor="_Toc96957724" w:history="1">
        <w:r w:rsidR="009D6720" w:rsidRPr="002532DD">
          <w:rPr>
            <w:rStyle w:val="Hyperlink"/>
          </w:rPr>
          <w:t>Chapter 5 - Information-Based Approaches to Gender Pay Equity:  Pay Audits, Pay Transparency and Job Evaluation</w:t>
        </w:r>
        <w:r w:rsidR="009D6720">
          <w:rPr>
            <w:webHidden/>
          </w:rPr>
          <w:tab/>
        </w:r>
        <w:r w:rsidR="009D6720">
          <w:rPr>
            <w:webHidden/>
          </w:rPr>
          <w:fldChar w:fldCharType="begin"/>
        </w:r>
        <w:r w:rsidR="009D6720">
          <w:rPr>
            <w:webHidden/>
          </w:rPr>
          <w:instrText xml:space="preserve"> PAGEREF _Toc96957724 \h </w:instrText>
        </w:r>
        <w:r w:rsidR="009D6720">
          <w:rPr>
            <w:webHidden/>
          </w:rPr>
        </w:r>
        <w:r w:rsidR="009D6720">
          <w:rPr>
            <w:webHidden/>
          </w:rPr>
          <w:fldChar w:fldCharType="separate"/>
        </w:r>
        <w:r w:rsidR="005A6B1E">
          <w:rPr>
            <w:webHidden/>
          </w:rPr>
          <w:t>71</w:t>
        </w:r>
        <w:r w:rsidR="009D6720">
          <w:rPr>
            <w:webHidden/>
          </w:rPr>
          <w:fldChar w:fldCharType="end"/>
        </w:r>
      </w:hyperlink>
    </w:p>
    <w:p w14:paraId="603A558A" w14:textId="3EB98967" w:rsidR="009D6720" w:rsidRDefault="004E2360">
      <w:pPr>
        <w:pStyle w:val="TOC2"/>
        <w:tabs>
          <w:tab w:val="left" w:pos="960"/>
          <w:tab w:val="right" w:leader="dot" w:pos="9016"/>
        </w:tabs>
        <w:rPr>
          <w:rFonts w:eastAsiaTheme="minorEastAsia" w:cstheme="minorBidi"/>
          <w:b w:val="0"/>
          <w:bCs w:val="0"/>
          <w:noProof/>
          <w:sz w:val="24"/>
          <w:szCs w:val="24"/>
        </w:rPr>
      </w:pPr>
      <w:hyperlink w:anchor="_Toc96957725" w:history="1">
        <w:r w:rsidR="009D6720" w:rsidRPr="002532DD">
          <w:rPr>
            <w:rStyle w:val="Hyperlink"/>
            <w:noProof/>
          </w:rPr>
          <w:t>5.1.</w:t>
        </w:r>
        <w:r w:rsidR="009D6720">
          <w:rPr>
            <w:rFonts w:eastAsiaTheme="minorEastAsia" w:cstheme="minorBidi"/>
            <w:b w:val="0"/>
            <w:bCs w:val="0"/>
            <w:noProof/>
            <w:sz w:val="24"/>
            <w:szCs w:val="24"/>
          </w:rPr>
          <w:tab/>
        </w:r>
        <w:r w:rsidR="009D6720" w:rsidRPr="002532DD">
          <w:rPr>
            <w:rStyle w:val="Hyperlink"/>
            <w:noProof/>
          </w:rPr>
          <w:t>Executive Summary</w:t>
        </w:r>
        <w:r w:rsidR="009D6720">
          <w:rPr>
            <w:noProof/>
            <w:webHidden/>
          </w:rPr>
          <w:tab/>
        </w:r>
        <w:r w:rsidR="009D6720">
          <w:rPr>
            <w:noProof/>
            <w:webHidden/>
          </w:rPr>
          <w:fldChar w:fldCharType="begin"/>
        </w:r>
        <w:r w:rsidR="009D6720">
          <w:rPr>
            <w:noProof/>
            <w:webHidden/>
          </w:rPr>
          <w:instrText xml:space="preserve"> PAGEREF _Toc96957725 \h </w:instrText>
        </w:r>
        <w:r w:rsidR="009D6720">
          <w:rPr>
            <w:noProof/>
            <w:webHidden/>
          </w:rPr>
        </w:r>
        <w:r w:rsidR="009D6720">
          <w:rPr>
            <w:noProof/>
            <w:webHidden/>
          </w:rPr>
          <w:fldChar w:fldCharType="separate"/>
        </w:r>
        <w:r w:rsidR="005A6B1E">
          <w:rPr>
            <w:noProof/>
            <w:webHidden/>
          </w:rPr>
          <w:t>71</w:t>
        </w:r>
        <w:r w:rsidR="009D6720">
          <w:rPr>
            <w:noProof/>
            <w:webHidden/>
          </w:rPr>
          <w:fldChar w:fldCharType="end"/>
        </w:r>
      </w:hyperlink>
    </w:p>
    <w:p w14:paraId="38F08AB1" w14:textId="192CDE55" w:rsidR="009D6720" w:rsidRDefault="004E2360">
      <w:pPr>
        <w:pStyle w:val="TOC2"/>
        <w:tabs>
          <w:tab w:val="left" w:pos="960"/>
          <w:tab w:val="right" w:leader="dot" w:pos="9016"/>
        </w:tabs>
        <w:rPr>
          <w:rFonts w:eastAsiaTheme="minorEastAsia" w:cstheme="minorBidi"/>
          <w:b w:val="0"/>
          <w:bCs w:val="0"/>
          <w:noProof/>
          <w:sz w:val="24"/>
          <w:szCs w:val="24"/>
        </w:rPr>
      </w:pPr>
      <w:hyperlink w:anchor="_Toc96957726" w:history="1">
        <w:r w:rsidR="009D6720" w:rsidRPr="002532DD">
          <w:rPr>
            <w:rStyle w:val="Hyperlink"/>
            <w:noProof/>
          </w:rPr>
          <w:t>5.2.</w:t>
        </w:r>
        <w:r w:rsidR="009D6720">
          <w:rPr>
            <w:rFonts w:eastAsiaTheme="minorEastAsia" w:cstheme="minorBidi"/>
            <w:b w:val="0"/>
            <w:bCs w:val="0"/>
            <w:noProof/>
            <w:sz w:val="24"/>
            <w:szCs w:val="24"/>
          </w:rPr>
          <w:tab/>
        </w:r>
        <w:r w:rsidR="009D6720" w:rsidRPr="002532DD">
          <w:rPr>
            <w:rStyle w:val="Hyperlink"/>
            <w:noProof/>
          </w:rPr>
          <w:t>Introduction</w:t>
        </w:r>
        <w:r w:rsidR="009D6720">
          <w:rPr>
            <w:noProof/>
            <w:webHidden/>
          </w:rPr>
          <w:tab/>
        </w:r>
        <w:r w:rsidR="009D6720">
          <w:rPr>
            <w:noProof/>
            <w:webHidden/>
          </w:rPr>
          <w:fldChar w:fldCharType="begin"/>
        </w:r>
        <w:r w:rsidR="009D6720">
          <w:rPr>
            <w:noProof/>
            <w:webHidden/>
          </w:rPr>
          <w:instrText xml:space="preserve"> PAGEREF _Toc96957726 \h </w:instrText>
        </w:r>
        <w:r w:rsidR="009D6720">
          <w:rPr>
            <w:noProof/>
            <w:webHidden/>
          </w:rPr>
        </w:r>
        <w:r w:rsidR="009D6720">
          <w:rPr>
            <w:noProof/>
            <w:webHidden/>
          </w:rPr>
          <w:fldChar w:fldCharType="separate"/>
        </w:r>
        <w:r w:rsidR="005A6B1E">
          <w:rPr>
            <w:noProof/>
            <w:webHidden/>
          </w:rPr>
          <w:t>72</w:t>
        </w:r>
        <w:r w:rsidR="009D6720">
          <w:rPr>
            <w:noProof/>
            <w:webHidden/>
          </w:rPr>
          <w:fldChar w:fldCharType="end"/>
        </w:r>
      </w:hyperlink>
    </w:p>
    <w:p w14:paraId="7F0586EF" w14:textId="3FAB37A5" w:rsidR="009D6720" w:rsidRDefault="004E2360">
      <w:pPr>
        <w:pStyle w:val="TOC2"/>
        <w:tabs>
          <w:tab w:val="left" w:pos="960"/>
          <w:tab w:val="right" w:leader="dot" w:pos="9016"/>
        </w:tabs>
        <w:rPr>
          <w:rFonts w:eastAsiaTheme="minorEastAsia" w:cstheme="minorBidi"/>
          <w:b w:val="0"/>
          <w:bCs w:val="0"/>
          <w:noProof/>
          <w:sz w:val="24"/>
          <w:szCs w:val="24"/>
        </w:rPr>
      </w:pPr>
      <w:hyperlink w:anchor="_Toc96957727" w:history="1">
        <w:r w:rsidR="009D6720" w:rsidRPr="002532DD">
          <w:rPr>
            <w:rStyle w:val="Hyperlink"/>
            <w:noProof/>
          </w:rPr>
          <w:t>5.3.</w:t>
        </w:r>
        <w:r w:rsidR="009D6720">
          <w:rPr>
            <w:rFonts w:eastAsiaTheme="minorEastAsia" w:cstheme="minorBidi"/>
            <w:b w:val="0"/>
            <w:bCs w:val="0"/>
            <w:noProof/>
            <w:sz w:val="24"/>
            <w:szCs w:val="24"/>
          </w:rPr>
          <w:tab/>
        </w:r>
        <w:r w:rsidR="009D6720" w:rsidRPr="002532DD">
          <w:rPr>
            <w:rStyle w:val="Hyperlink"/>
            <w:noProof/>
          </w:rPr>
          <w:t>Methods</w:t>
        </w:r>
        <w:r w:rsidR="009D6720">
          <w:rPr>
            <w:noProof/>
            <w:webHidden/>
          </w:rPr>
          <w:tab/>
        </w:r>
        <w:r w:rsidR="009D6720">
          <w:rPr>
            <w:noProof/>
            <w:webHidden/>
          </w:rPr>
          <w:fldChar w:fldCharType="begin"/>
        </w:r>
        <w:r w:rsidR="009D6720">
          <w:rPr>
            <w:noProof/>
            <w:webHidden/>
          </w:rPr>
          <w:instrText xml:space="preserve"> PAGEREF _Toc96957727 \h </w:instrText>
        </w:r>
        <w:r w:rsidR="009D6720">
          <w:rPr>
            <w:noProof/>
            <w:webHidden/>
          </w:rPr>
        </w:r>
        <w:r w:rsidR="009D6720">
          <w:rPr>
            <w:noProof/>
            <w:webHidden/>
          </w:rPr>
          <w:fldChar w:fldCharType="separate"/>
        </w:r>
        <w:r w:rsidR="005A6B1E">
          <w:rPr>
            <w:noProof/>
            <w:webHidden/>
          </w:rPr>
          <w:t>74</w:t>
        </w:r>
        <w:r w:rsidR="009D6720">
          <w:rPr>
            <w:noProof/>
            <w:webHidden/>
          </w:rPr>
          <w:fldChar w:fldCharType="end"/>
        </w:r>
      </w:hyperlink>
    </w:p>
    <w:p w14:paraId="1216687A" w14:textId="7A13DBAB" w:rsidR="009D6720" w:rsidRDefault="004E2360">
      <w:pPr>
        <w:pStyle w:val="TOC3"/>
        <w:tabs>
          <w:tab w:val="left" w:pos="1200"/>
          <w:tab w:val="right" w:leader="dot" w:pos="9016"/>
        </w:tabs>
        <w:rPr>
          <w:rFonts w:eastAsiaTheme="minorEastAsia" w:cstheme="minorBidi"/>
          <w:noProof/>
          <w:sz w:val="24"/>
          <w:szCs w:val="24"/>
        </w:rPr>
      </w:pPr>
      <w:hyperlink w:anchor="_Toc96957728" w:history="1">
        <w:r w:rsidR="009D6720" w:rsidRPr="002532DD">
          <w:rPr>
            <w:rStyle w:val="Hyperlink"/>
            <w:b/>
            <w:bCs/>
            <w:i/>
            <w:iCs/>
            <w:noProof/>
          </w:rPr>
          <w:t>5.3.1.</w:t>
        </w:r>
        <w:r w:rsidR="009D6720">
          <w:rPr>
            <w:rFonts w:eastAsiaTheme="minorEastAsia" w:cstheme="minorBidi"/>
            <w:noProof/>
            <w:sz w:val="24"/>
            <w:szCs w:val="24"/>
          </w:rPr>
          <w:tab/>
        </w:r>
        <w:r w:rsidR="009D6720" w:rsidRPr="002532DD">
          <w:rPr>
            <w:rStyle w:val="Hyperlink"/>
            <w:b/>
            <w:bCs/>
            <w:i/>
            <w:iCs/>
            <w:noProof/>
          </w:rPr>
          <w:t>Literature search</w:t>
        </w:r>
        <w:r w:rsidR="009D6720">
          <w:rPr>
            <w:noProof/>
            <w:webHidden/>
          </w:rPr>
          <w:tab/>
        </w:r>
        <w:r w:rsidR="009D6720">
          <w:rPr>
            <w:noProof/>
            <w:webHidden/>
          </w:rPr>
          <w:fldChar w:fldCharType="begin"/>
        </w:r>
        <w:r w:rsidR="009D6720">
          <w:rPr>
            <w:noProof/>
            <w:webHidden/>
          </w:rPr>
          <w:instrText xml:space="preserve"> PAGEREF _Toc96957728 \h </w:instrText>
        </w:r>
        <w:r w:rsidR="009D6720">
          <w:rPr>
            <w:noProof/>
            <w:webHidden/>
          </w:rPr>
        </w:r>
        <w:r w:rsidR="009D6720">
          <w:rPr>
            <w:noProof/>
            <w:webHidden/>
          </w:rPr>
          <w:fldChar w:fldCharType="separate"/>
        </w:r>
        <w:r w:rsidR="005A6B1E">
          <w:rPr>
            <w:noProof/>
            <w:webHidden/>
          </w:rPr>
          <w:t>75</w:t>
        </w:r>
        <w:r w:rsidR="009D6720">
          <w:rPr>
            <w:noProof/>
            <w:webHidden/>
          </w:rPr>
          <w:fldChar w:fldCharType="end"/>
        </w:r>
      </w:hyperlink>
    </w:p>
    <w:p w14:paraId="00B2C84C" w14:textId="1BD98CE2" w:rsidR="009D6720" w:rsidRDefault="004E2360">
      <w:pPr>
        <w:pStyle w:val="TOC3"/>
        <w:tabs>
          <w:tab w:val="left" w:pos="1200"/>
          <w:tab w:val="right" w:leader="dot" w:pos="9016"/>
        </w:tabs>
        <w:rPr>
          <w:rFonts w:eastAsiaTheme="minorEastAsia" w:cstheme="minorBidi"/>
          <w:noProof/>
          <w:sz w:val="24"/>
          <w:szCs w:val="24"/>
        </w:rPr>
      </w:pPr>
      <w:hyperlink w:anchor="_Toc96957729" w:history="1">
        <w:r w:rsidR="009D6720" w:rsidRPr="002532DD">
          <w:rPr>
            <w:rStyle w:val="Hyperlink"/>
            <w:b/>
            <w:bCs/>
            <w:i/>
            <w:iCs/>
            <w:noProof/>
          </w:rPr>
          <w:t>5.3.2.</w:t>
        </w:r>
        <w:r w:rsidR="009D6720">
          <w:rPr>
            <w:rFonts w:eastAsiaTheme="minorEastAsia" w:cstheme="minorBidi"/>
            <w:noProof/>
            <w:sz w:val="24"/>
            <w:szCs w:val="24"/>
          </w:rPr>
          <w:tab/>
        </w:r>
        <w:r w:rsidR="009D6720" w:rsidRPr="002532DD">
          <w:rPr>
            <w:rStyle w:val="Hyperlink"/>
            <w:b/>
            <w:bCs/>
            <w:i/>
            <w:iCs/>
            <w:noProof/>
          </w:rPr>
          <w:t>Eligibility</w:t>
        </w:r>
        <w:r w:rsidR="009D6720">
          <w:rPr>
            <w:noProof/>
            <w:webHidden/>
          </w:rPr>
          <w:tab/>
        </w:r>
        <w:r w:rsidR="009D6720">
          <w:rPr>
            <w:noProof/>
            <w:webHidden/>
          </w:rPr>
          <w:fldChar w:fldCharType="begin"/>
        </w:r>
        <w:r w:rsidR="009D6720">
          <w:rPr>
            <w:noProof/>
            <w:webHidden/>
          </w:rPr>
          <w:instrText xml:space="preserve"> PAGEREF _Toc96957729 \h </w:instrText>
        </w:r>
        <w:r w:rsidR="009D6720">
          <w:rPr>
            <w:noProof/>
            <w:webHidden/>
          </w:rPr>
        </w:r>
        <w:r w:rsidR="009D6720">
          <w:rPr>
            <w:noProof/>
            <w:webHidden/>
          </w:rPr>
          <w:fldChar w:fldCharType="separate"/>
        </w:r>
        <w:r w:rsidR="005A6B1E">
          <w:rPr>
            <w:noProof/>
            <w:webHidden/>
          </w:rPr>
          <w:t>75</w:t>
        </w:r>
        <w:r w:rsidR="009D6720">
          <w:rPr>
            <w:noProof/>
            <w:webHidden/>
          </w:rPr>
          <w:fldChar w:fldCharType="end"/>
        </w:r>
      </w:hyperlink>
    </w:p>
    <w:p w14:paraId="65BAB305" w14:textId="55ACD6AF" w:rsidR="009D6720" w:rsidRDefault="004E2360">
      <w:pPr>
        <w:pStyle w:val="TOC3"/>
        <w:tabs>
          <w:tab w:val="left" w:pos="1200"/>
          <w:tab w:val="right" w:leader="dot" w:pos="9016"/>
        </w:tabs>
        <w:rPr>
          <w:rFonts w:eastAsiaTheme="minorEastAsia" w:cstheme="minorBidi"/>
          <w:noProof/>
          <w:sz w:val="24"/>
          <w:szCs w:val="24"/>
        </w:rPr>
      </w:pPr>
      <w:hyperlink w:anchor="_Toc96957730" w:history="1">
        <w:r w:rsidR="009D6720" w:rsidRPr="002532DD">
          <w:rPr>
            <w:rStyle w:val="Hyperlink"/>
            <w:b/>
            <w:bCs/>
            <w:i/>
            <w:iCs/>
            <w:noProof/>
          </w:rPr>
          <w:t>5.3.3.</w:t>
        </w:r>
        <w:r w:rsidR="009D6720">
          <w:rPr>
            <w:rFonts w:eastAsiaTheme="minorEastAsia" w:cstheme="minorBidi"/>
            <w:noProof/>
            <w:sz w:val="24"/>
            <w:szCs w:val="24"/>
          </w:rPr>
          <w:tab/>
        </w:r>
        <w:r w:rsidR="009D6720" w:rsidRPr="002532DD">
          <w:rPr>
            <w:rStyle w:val="Hyperlink"/>
            <w:b/>
            <w:bCs/>
            <w:i/>
            <w:iCs/>
            <w:noProof/>
          </w:rPr>
          <w:t>Data extraction and analysis</w:t>
        </w:r>
        <w:r w:rsidR="009D6720">
          <w:rPr>
            <w:noProof/>
            <w:webHidden/>
          </w:rPr>
          <w:tab/>
        </w:r>
        <w:r w:rsidR="009D6720">
          <w:rPr>
            <w:noProof/>
            <w:webHidden/>
          </w:rPr>
          <w:fldChar w:fldCharType="begin"/>
        </w:r>
        <w:r w:rsidR="009D6720">
          <w:rPr>
            <w:noProof/>
            <w:webHidden/>
          </w:rPr>
          <w:instrText xml:space="preserve"> PAGEREF _Toc96957730 \h </w:instrText>
        </w:r>
        <w:r w:rsidR="009D6720">
          <w:rPr>
            <w:noProof/>
            <w:webHidden/>
          </w:rPr>
        </w:r>
        <w:r w:rsidR="009D6720">
          <w:rPr>
            <w:noProof/>
            <w:webHidden/>
          </w:rPr>
          <w:fldChar w:fldCharType="separate"/>
        </w:r>
        <w:r w:rsidR="005A6B1E">
          <w:rPr>
            <w:noProof/>
            <w:webHidden/>
          </w:rPr>
          <w:t>76</w:t>
        </w:r>
        <w:r w:rsidR="009D6720">
          <w:rPr>
            <w:noProof/>
            <w:webHidden/>
          </w:rPr>
          <w:fldChar w:fldCharType="end"/>
        </w:r>
      </w:hyperlink>
    </w:p>
    <w:p w14:paraId="4672B57D" w14:textId="4D8AC46A" w:rsidR="009D6720" w:rsidRDefault="004E2360">
      <w:pPr>
        <w:pStyle w:val="TOC2"/>
        <w:tabs>
          <w:tab w:val="left" w:pos="960"/>
          <w:tab w:val="right" w:leader="dot" w:pos="9016"/>
        </w:tabs>
        <w:rPr>
          <w:rFonts w:eastAsiaTheme="minorEastAsia" w:cstheme="minorBidi"/>
          <w:b w:val="0"/>
          <w:bCs w:val="0"/>
          <w:noProof/>
          <w:sz w:val="24"/>
          <w:szCs w:val="24"/>
        </w:rPr>
      </w:pPr>
      <w:hyperlink w:anchor="_Toc96957731" w:history="1">
        <w:r w:rsidR="009D6720" w:rsidRPr="002532DD">
          <w:rPr>
            <w:rStyle w:val="Hyperlink"/>
            <w:noProof/>
          </w:rPr>
          <w:t>5.4.</w:t>
        </w:r>
        <w:r w:rsidR="009D6720">
          <w:rPr>
            <w:rFonts w:eastAsiaTheme="minorEastAsia" w:cstheme="minorBidi"/>
            <w:b w:val="0"/>
            <w:bCs w:val="0"/>
            <w:noProof/>
            <w:sz w:val="24"/>
            <w:szCs w:val="24"/>
          </w:rPr>
          <w:tab/>
        </w:r>
        <w:r w:rsidR="009D6720" w:rsidRPr="002532DD">
          <w:rPr>
            <w:rStyle w:val="Hyperlink"/>
            <w:noProof/>
          </w:rPr>
          <w:t>Findings and recommendations</w:t>
        </w:r>
        <w:r w:rsidR="009D6720">
          <w:rPr>
            <w:noProof/>
            <w:webHidden/>
          </w:rPr>
          <w:tab/>
        </w:r>
        <w:r w:rsidR="009D6720">
          <w:rPr>
            <w:noProof/>
            <w:webHidden/>
          </w:rPr>
          <w:fldChar w:fldCharType="begin"/>
        </w:r>
        <w:r w:rsidR="009D6720">
          <w:rPr>
            <w:noProof/>
            <w:webHidden/>
          </w:rPr>
          <w:instrText xml:space="preserve"> PAGEREF _Toc96957731 \h </w:instrText>
        </w:r>
        <w:r w:rsidR="009D6720">
          <w:rPr>
            <w:noProof/>
            <w:webHidden/>
          </w:rPr>
        </w:r>
        <w:r w:rsidR="009D6720">
          <w:rPr>
            <w:noProof/>
            <w:webHidden/>
          </w:rPr>
          <w:fldChar w:fldCharType="separate"/>
        </w:r>
        <w:r w:rsidR="005A6B1E">
          <w:rPr>
            <w:noProof/>
            <w:webHidden/>
          </w:rPr>
          <w:t>77</w:t>
        </w:r>
        <w:r w:rsidR="009D6720">
          <w:rPr>
            <w:noProof/>
            <w:webHidden/>
          </w:rPr>
          <w:fldChar w:fldCharType="end"/>
        </w:r>
      </w:hyperlink>
    </w:p>
    <w:p w14:paraId="39A94637" w14:textId="473A4D9A" w:rsidR="009D6720" w:rsidRDefault="004E2360">
      <w:pPr>
        <w:pStyle w:val="TOC2"/>
        <w:tabs>
          <w:tab w:val="left" w:pos="960"/>
          <w:tab w:val="right" w:leader="dot" w:pos="9016"/>
        </w:tabs>
        <w:rPr>
          <w:rFonts w:eastAsiaTheme="minorEastAsia" w:cstheme="minorBidi"/>
          <w:b w:val="0"/>
          <w:bCs w:val="0"/>
          <w:noProof/>
          <w:sz w:val="24"/>
          <w:szCs w:val="24"/>
        </w:rPr>
      </w:pPr>
      <w:hyperlink w:anchor="_Toc96957732" w:history="1">
        <w:r w:rsidR="009D6720" w:rsidRPr="002532DD">
          <w:rPr>
            <w:rStyle w:val="Hyperlink"/>
            <w:noProof/>
          </w:rPr>
          <w:t>5.5.</w:t>
        </w:r>
        <w:r w:rsidR="009D6720">
          <w:rPr>
            <w:rFonts w:eastAsiaTheme="minorEastAsia" w:cstheme="minorBidi"/>
            <w:b w:val="0"/>
            <w:bCs w:val="0"/>
            <w:noProof/>
            <w:sz w:val="24"/>
            <w:szCs w:val="24"/>
          </w:rPr>
          <w:tab/>
        </w:r>
        <w:r w:rsidR="009D6720" w:rsidRPr="002532DD">
          <w:rPr>
            <w:rStyle w:val="Hyperlink"/>
            <w:noProof/>
          </w:rPr>
          <w:t>A Roadmap for Action</w:t>
        </w:r>
        <w:r w:rsidR="009D6720">
          <w:rPr>
            <w:noProof/>
            <w:webHidden/>
          </w:rPr>
          <w:tab/>
        </w:r>
        <w:r w:rsidR="009D6720">
          <w:rPr>
            <w:noProof/>
            <w:webHidden/>
          </w:rPr>
          <w:fldChar w:fldCharType="begin"/>
        </w:r>
        <w:r w:rsidR="009D6720">
          <w:rPr>
            <w:noProof/>
            <w:webHidden/>
          </w:rPr>
          <w:instrText xml:space="preserve"> PAGEREF _Toc96957732 \h </w:instrText>
        </w:r>
        <w:r w:rsidR="009D6720">
          <w:rPr>
            <w:noProof/>
            <w:webHidden/>
          </w:rPr>
        </w:r>
        <w:r w:rsidR="009D6720">
          <w:rPr>
            <w:noProof/>
            <w:webHidden/>
          </w:rPr>
          <w:fldChar w:fldCharType="separate"/>
        </w:r>
        <w:r w:rsidR="005A6B1E">
          <w:rPr>
            <w:noProof/>
            <w:webHidden/>
          </w:rPr>
          <w:t>82</w:t>
        </w:r>
        <w:r w:rsidR="009D6720">
          <w:rPr>
            <w:noProof/>
            <w:webHidden/>
          </w:rPr>
          <w:fldChar w:fldCharType="end"/>
        </w:r>
      </w:hyperlink>
    </w:p>
    <w:p w14:paraId="2DF78299" w14:textId="369B237A" w:rsidR="009D6720" w:rsidRDefault="004E2360">
      <w:pPr>
        <w:pStyle w:val="TOC2"/>
        <w:tabs>
          <w:tab w:val="left" w:pos="960"/>
          <w:tab w:val="right" w:leader="dot" w:pos="9016"/>
        </w:tabs>
        <w:rPr>
          <w:rFonts w:eastAsiaTheme="minorEastAsia" w:cstheme="minorBidi"/>
          <w:b w:val="0"/>
          <w:bCs w:val="0"/>
          <w:noProof/>
          <w:sz w:val="24"/>
          <w:szCs w:val="24"/>
        </w:rPr>
      </w:pPr>
      <w:hyperlink w:anchor="_Toc96957733" w:history="1">
        <w:r w:rsidR="009D6720" w:rsidRPr="002532DD">
          <w:rPr>
            <w:rStyle w:val="Hyperlink"/>
            <w:noProof/>
          </w:rPr>
          <w:t>5.6.</w:t>
        </w:r>
        <w:r w:rsidR="009D6720">
          <w:rPr>
            <w:rFonts w:eastAsiaTheme="minorEastAsia" w:cstheme="minorBidi"/>
            <w:b w:val="0"/>
            <w:bCs w:val="0"/>
            <w:noProof/>
            <w:sz w:val="24"/>
            <w:szCs w:val="24"/>
          </w:rPr>
          <w:tab/>
        </w:r>
        <w:r w:rsidR="009D6720" w:rsidRPr="002532DD">
          <w:rPr>
            <w:rStyle w:val="Hyperlink"/>
            <w:noProof/>
          </w:rPr>
          <w:t>Conclusions</w:t>
        </w:r>
        <w:r w:rsidR="009D6720">
          <w:rPr>
            <w:noProof/>
            <w:webHidden/>
          </w:rPr>
          <w:tab/>
        </w:r>
        <w:r w:rsidR="009D6720">
          <w:rPr>
            <w:noProof/>
            <w:webHidden/>
          </w:rPr>
          <w:fldChar w:fldCharType="begin"/>
        </w:r>
        <w:r w:rsidR="009D6720">
          <w:rPr>
            <w:noProof/>
            <w:webHidden/>
          </w:rPr>
          <w:instrText xml:space="preserve"> PAGEREF _Toc96957733 \h </w:instrText>
        </w:r>
        <w:r w:rsidR="009D6720">
          <w:rPr>
            <w:noProof/>
            <w:webHidden/>
          </w:rPr>
        </w:r>
        <w:r w:rsidR="009D6720">
          <w:rPr>
            <w:noProof/>
            <w:webHidden/>
          </w:rPr>
          <w:fldChar w:fldCharType="separate"/>
        </w:r>
        <w:r w:rsidR="005A6B1E">
          <w:rPr>
            <w:noProof/>
            <w:webHidden/>
          </w:rPr>
          <w:t>86</w:t>
        </w:r>
        <w:r w:rsidR="009D6720">
          <w:rPr>
            <w:noProof/>
            <w:webHidden/>
          </w:rPr>
          <w:fldChar w:fldCharType="end"/>
        </w:r>
      </w:hyperlink>
    </w:p>
    <w:p w14:paraId="0B5A0087" w14:textId="19DD2E07" w:rsidR="009D6720" w:rsidRDefault="004E2360">
      <w:pPr>
        <w:pStyle w:val="TOC2"/>
        <w:tabs>
          <w:tab w:val="left" w:pos="960"/>
          <w:tab w:val="right" w:leader="dot" w:pos="9016"/>
        </w:tabs>
        <w:rPr>
          <w:rFonts w:eastAsiaTheme="minorEastAsia" w:cstheme="minorBidi"/>
          <w:b w:val="0"/>
          <w:bCs w:val="0"/>
          <w:noProof/>
          <w:sz w:val="24"/>
          <w:szCs w:val="24"/>
        </w:rPr>
      </w:pPr>
      <w:hyperlink w:anchor="_Toc96957734" w:history="1">
        <w:r w:rsidR="009D6720" w:rsidRPr="002532DD">
          <w:rPr>
            <w:rStyle w:val="Hyperlink"/>
            <w:noProof/>
          </w:rPr>
          <w:t>5.7.</w:t>
        </w:r>
        <w:r w:rsidR="009D6720">
          <w:rPr>
            <w:rFonts w:eastAsiaTheme="minorEastAsia" w:cstheme="minorBidi"/>
            <w:b w:val="0"/>
            <w:bCs w:val="0"/>
            <w:noProof/>
            <w:sz w:val="24"/>
            <w:szCs w:val="24"/>
          </w:rPr>
          <w:tab/>
        </w:r>
        <w:r w:rsidR="009D6720" w:rsidRPr="002532DD">
          <w:rPr>
            <w:rStyle w:val="Hyperlink"/>
            <w:noProof/>
          </w:rPr>
          <w:t>Cited References</w:t>
        </w:r>
        <w:r w:rsidR="009D6720">
          <w:rPr>
            <w:noProof/>
            <w:webHidden/>
          </w:rPr>
          <w:tab/>
        </w:r>
        <w:r w:rsidR="009D6720">
          <w:rPr>
            <w:noProof/>
            <w:webHidden/>
          </w:rPr>
          <w:fldChar w:fldCharType="begin"/>
        </w:r>
        <w:r w:rsidR="009D6720">
          <w:rPr>
            <w:noProof/>
            <w:webHidden/>
          </w:rPr>
          <w:instrText xml:space="preserve"> PAGEREF _Toc96957734 \h </w:instrText>
        </w:r>
        <w:r w:rsidR="009D6720">
          <w:rPr>
            <w:noProof/>
            <w:webHidden/>
          </w:rPr>
        </w:r>
        <w:r w:rsidR="009D6720">
          <w:rPr>
            <w:noProof/>
            <w:webHidden/>
          </w:rPr>
          <w:fldChar w:fldCharType="separate"/>
        </w:r>
        <w:r w:rsidR="005A6B1E">
          <w:rPr>
            <w:noProof/>
            <w:webHidden/>
          </w:rPr>
          <w:t>86</w:t>
        </w:r>
        <w:r w:rsidR="009D6720">
          <w:rPr>
            <w:noProof/>
            <w:webHidden/>
          </w:rPr>
          <w:fldChar w:fldCharType="end"/>
        </w:r>
      </w:hyperlink>
    </w:p>
    <w:p w14:paraId="16D2DF76" w14:textId="65596D6B" w:rsidR="009D6720" w:rsidRDefault="004E2360">
      <w:pPr>
        <w:pStyle w:val="TOC2"/>
        <w:tabs>
          <w:tab w:val="left" w:pos="960"/>
          <w:tab w:val="right" w:leader="dot" w:pos="9016"/>
        </w:tabs>
        <w:rPr>
          <w:rFonts w:eastAsiaTheme="minorEastAsia" w:cstheme="minorBidi"/>
          <w:b w:val="0"/>
          <w:bCs w:val="0"/>
          <w:noProof/>
          <w:sz w:val="24"/>
          <w:szCs w:val="24"/>
        </w:rPr>
      </w:pPr>
      <w:hyperlink w:anchor="_Toc96957735" w:history="1">
        <w:r w:rsidR="009D6720" w:rsidRPr="002532DD">
          <w:rPr>
            <w:rStyle w:val="Hyperlink"/>
            <w:noProof/>
          </w:rPr>
          <w:t>5.8.</w:t>
        </w:r>
        <w:r w:rsidR="009D6720">
          <w:rPr>
            <w:rFonts w:eastAsiaTheme="minorEastAsia" w:cstheme="minorBidi"/>
            <w:b w:val="0"/>
            <w:bCs w:val="0"/>
            <w:noProof/>
            <w:sz w:val="24"/>
            <w:szCs w:val="24"/>
          </w:rPr>
          <w:tab/>
        </w:r>
        <w:r w:rsidR="009D6720" w:rsidRPr="002532DD">
          <w:rPr>
            <w:rStyle w:val="Hyperlink"/>
            <w:noProof/>
          </w:rPr>
          <w:t>Reviewed References</w:t>
        </w:r>
        <w:r w:rsidR="009D6720">
          <w:rPr>
            <w:noProof/>
            <w:webHidden/>
          </w:rPr>
          <w:tab/>
        </w:r>
        <w:r w:rsidR="009D6720">
          <w:rPr>
            <w:noProof/>
            <w:webHidden/>
          </w:rPr>
          <w:fldChar w:fldCharType="begin"/>
        </w:r>
        <w:r w:rsidR="009D6720">
          <w:rPr>
            <w:noProof/>
            <w:webHidden/>
          </w:rPr>
          <w:instrText xml:space="preserve"> PAGEREF _Toc96957735 \h </w:instrText>
        </w:r>
        <w:r w:rsidR="009D6720">
          <w:rPr>
            <w:noProof/>
            <w:webHidden/>
          </w:rPr>
        </w:r>
        <w:r w:rsidR="009D6720">
          <w:rPr>
            <w:noProof/>
            <w:webHidden/>
          </w:rPr>
          <w:fldChar w:fldCharType="separate"/>
        </w:r>
        <w:r w:rsidR="005A6B1E">
          <w:rPr>
            <w:noProof/>
            <w:webHidden/>
          </w:rPr>
          <w:t>87</w:t>
        </w:r>
        <w:r w:rsidR="009D6720">
          <w:rPr>
            <w:noProof/>
            <w:webHidden/>
          </w:rPr>
          <w:fldChar w:fldCharType="end"/>
        </w:r>
      </w:hyperlink>
    </w:p>
    <w:p w14:paraId="32D36FFC" w14:textId="2B6E74F2" w:rsidR="009D6720" w:rsidRDefault="004E2360" w:rsidP="005A6B1E">
      <w:pPr>
        <w:pStyle w:val="TOC1"/>
        <w:rPr>
          <w:rFonts w:eastAsiaTheme="minorEastAsia" w:cstheme="minorBidi"/>
        </w:rPr>
      </w:pPr>
      <w:hyperlink w:anchor="_Toc96957736" w:history="1">
        <w:r w:rsidR="009D6720" w:rsidRPr="002532DD">
          <w:rPr>
            <w:rStyle w:val="Hyperlink"/>
          </w:rPr>
          <w:t>Chapter 6 - Gender Targets and Quotas in Leadership Roles: Examining Secondary Gender Equality Outcomes</w:t>
        </w:r>
        <w:r w:rsidR="009D6720">
          <w:rPr>
            <w:webHidden/>
          </w:rPr>
          <w:tab/>
        </w:r>
        <w:r w:rsidR="009D6720">
          <w:rPr>
            <w:webHidden/>
          </w:rPr>
          <w:fldChar w:fldCharType="begin"/>
        </w:r>
        <w:r w:rsidR="009D6720">
          <w:rPr>
            <w:webHidden/>
          </w:rPr>
          <w:instrText xml:space="preserve"> PAGEREF _Toc96957736 \h </w:instrText>
        </w:r>
        <w:r w:rsidR="009D6720">
          <w:rPr>
            <w:webHidden/>
          </w:rPr>
        </w:r>
        <w:r w:rsidR="009D6720">
          <w:rPr>
            <w:webHidden/>
          </w:rPr>
          <w:fldChar w:fldCharType="separate"/>
        </w:r>
        <w:r w:rsidR="005A6B1E">
          <w:rPr>
            <w:webHidden/>
          </w:rPr>
          <w:t>89</w:t>
        </w:r>
        <w:r w:rsidR="009D6720">
          <w:rPr>
            <w:webHidden/>
          </w:rPr>
          <w:fldChar w:fldCharType="end"/>
        </w:r>
      </w:hyperlink>
    </w:p>
    <w:p w14:paraId="747BE046" w14:textId="72DE1222" w:rsidR="009D6720" w:rsidRDefault="004E2360">
      <w:pPr>
        <w:pStyle w:val="TOC2"/>
        <w:tabs>
          <w:tab w:val="left" w:pos="960"/>
          <w:tab w:val="right" w:leader="dot" w:pos="9016"/>
        </w:tabs>
        <w:rPr>
          <w:rFonts w:eastAsiaTheme="minorEastAsia" w:cstheme="minorBidi"/>
          <w:b w:val="0"/>
          <w:bCs w:val="0"/>
          <w:noProof/>
          <w:sz w:val="24"/>
          <w:szCs w:val="24"/>
        </w:rPr>
      </w:pPr>
      <w:hyperlink w:anchor="_Toc96957737" w:history="1">
        <w:r w:rsidR="009D6720" w:rsidRPr="002532DD">
          <w:rPr>
            <w:rStyle w:val="Hyperlink"/>
            <w:noProof/>
          </w:rPr>
          <w:t>6.1.</w:t>
        </w:r>
        <w:r w:rsidR="009D6720">
          <w:rPr>
            <w:rFonts w:eastAsiaTheme="minorEastAsia" w:cstheme="minorBidi"/>
            <w:b w:val="0"/>
            <w:bCs w:val="0"/>
            <w:noProof/>
            <w:sz w:val="24"/>
            <w:szCs w:val="24"/>
          </w:rPr>
          <w:tab/>
        </w:r>
        <w:r w:rsidR="009D6720" w:rsidRPr="002532DD">
          <w:rPr>
            <w:rStyle w:val="Hyperlink"/>
            <w:noProof/>
          </w:rPr>
          <w:t>Executive Summary</w:t>
        </w:r>
        <w:r w:rsidR="009D6720">
          <w:rPr>
            <w:noProof/>
            <w:webHidden/>
          </w:rPr>
          <w:tab/>
        </w:r>
        <w:r w:rsidR="009D6720">
          <w:rPr>
            <w:noProof/>
            <w:webHidden/>
          </w:rPr>
          <w:fldChar w:fldCharType="begin"/>
        </w:r>
        <w:r w:rsidR="009D6720">
          <w:rPr>
            <w:noProof/>
            <w:webHidden/>
          </w:rPr>
          <w:instrText xml:space="preserve"> PAGEREF _Toc96957737 \h </w:instrText>
        </w:r>
        <w:r w:rsidR="009D6720">
          <w:rPr>
            <w:noProof/>
            <w:webHidden/>
          </w:rPr>
        </w:r>
        <w:r w:rsidR="009D6720">
          <w:rPr>
            <w:noProof/>
            <w:webHidden/>
          </w:rPr>
          <w:fldChar w:fldCharType="separate"/>
        </w:r>
        <w:r w:rsidR="005A6B1E">
          <w:rPr>
            <w:noProof/>
            <w:webHidden/>
          </w:rPr>
          <w:t>89</w:t>
        </w:r>
        <w:r w:rsidR="009D6720">
          <w:rPr>
            <w:noProof/>
            <w:webHidden/>
          </w:rPr>
          <w:fldChar w:fldCharType="end"/>
        </w:r>
      </w:hyperlink>
    </w:p>
    <w:p w14:paraId="4F57D371" w14:textId="31B735A9" w:rsidR="009D6720" w:rsidRDefault="004E2360">
      <w:pPr>
        <w:pStyle w:val="TOC2"/>
        <w:tabs>
          <w:tab w:val="left" w:pos="960"/>
          <w:tab w:val="right" w:leader="dot" w:pos="9016"/>
        </w:tabs>
        <w:rPr>
          <w:rFonts w:eastAsiaTheme="minorEastAsia" w:cstheme="minorBidi"/>
          <w:b w:val="0"/>
          <w:bCs w:val="0"/>
          <w:noProof/>
          <w:sz w:val="24"/>
          <w:szCs w:val="24"/>
        </w:rPr>
      </w:pPr>
      <w:hyperlink w:anchor="_Toc96957738" w:history="1">
        <w:r w:rsidR="009D6720" w:rsidRPr="002532DD">
          <w:rPr>
            <w:rStyle w:val="Hyperlink"/>
            <w:noProof/>
          </w:rPr>
          <w:t>6.2.</w:t>
        </w:r>
        <w:r w:rsidR="009D6720">
          <w:rPr>
            <w:rFonts w:eastAsiaTheme="minorEastAsia" w:cstheme="minorBidi"/>
            <w:b w:val="0"/>
            <w:bCs w:val="0"/>
            <w:noProof/>
            <w:sz w:val="24"/>
            <w:szCs w:val="24"/>
          </w:rPr>
          <w:tab/>
        </w:r>
        <w:r w:rsidR="009D6720" w:rsidRPr="002532DD">
          <w:rPr>
            <w:rStyle w:val="Hyperlink"/>
            <w:noProof/>
          </w:rPr>
          <w:t>Introduction</w:t>
        </w:r>
        <w:r w:rsidR="009D6720">
          <w:rPr>
            <w:noProof/>
            <w:webHidden/>
          </w:rPr>
          <w:tab/>
        </w:r>
        <w:r w:rsidR="009D6720">
          <w:rPr>
            <w:noProof/>
            <w:webHidden/>
          </w:rPr>
          <w:fldChar w:fldCharType="begin"/>
        </w:r>
        <w:r w:rsidR="009D6720">
          <w:rPr>
            <w:noProof/>
            <w:webHidden/>
          </w:rPr>
          <w:instrText xml:space="preserve"> PAGEREF _Toc96957738 \h </w:instrText>
        </w:r>
        <w:r w:rsidR="009D6720">
          <w:rPr>
            <w:noProof/>
            <w:webHidden/>
          </w:rPr>
        </w:r>
        <w:r w:rsidR="009D6720">
          <w:rPr>
            <w:noProof/>
            <w:webHidden/>
          </w:rPr>
          <w:fldChar w:fldCharType="separate"/>
        </w:r>
        <w:r w:rsidR="005A6B1E">
          <w:rPr>
            <w:noProof/>
            <w:webHidden/>
          </w:rPr>
          <w:t>90</w:t>
        </w:r>
        <w:r w:rsidR="009D6720">
          <w:rPr>
            <w:noProof/>
            <w:webHidden/>
          </w:rPr>
          <w:fldChar w:fldCharType="end"/>
        </w:r>
      </w:hyperlink>
    </w:p>
    <w:p w14:paraId="7757732F" w14:textId="79341E9C" w:rsidR="009D6720" w:rsidRDefault="004E2360">
      <w:pPr>
        <w:pStyle w:val="TOC2"/>
        <w:tabs>
          <w:tab w:val="left" w:pos="960"/>
          <w:tab w:val="right" w:leader="dot" w:pos="9016"/>
        </w:tabs>
        <w:rPr>
          <w:rFonts w:eastAsiaTheme="minorEastAsia" w:cstheme="minorBidi"/>
          <w:b w:val="0"/>
          <w:bCs w:val="0"/>
          <w:noProof/>
          <w:sz w:val="24"/>
          <w:szCs w:val="24"/>
        </w:rPr>
      </w:pPr>
      <w:hyperlink w:anchor="_Toc96957739" w:history="1">
        <w:r w:rsidR="009D6720" w:rsidRPr="002532DD">
          <w:rPr>
            <w:rStyle w:val="Hyperlink"/>
            <w:noProof/>
          </w:rPr>
          <w:t>6.3.</w:t>
        </w:r>
        <w:r w:rsidR="009D6720">
          <w:rPr>
            <w:rFonts w:eastAsiaTheme="minorEastAsia" w:cstheme="minorBidi"/>
            <w:b w:val="0"/>
            <w:bCs w:val="0"/>
            <w:noProof/>
            <w:sz w:val="24"/>
            <w:szCs w:val="24"/>
          </w:rPr>
          <w:tab/>
        </w:r>
        <w:r w:rsidR="009D6720" w:rsidRPr="002532DD">
          <w:rPr>
            <w:rStyle w:val="Hyperlink"/>
            <w:noProof/>
          </w:rPr>
          <w:t>Methods</w:t>
        </w:r>
        <w:r w:rsidR="009D6720">
          <w:rPr>
            <w:noProof/>
            <w:webHidden/>
          </w:rPr>
          <w:tab/>
        </w:r>
        <w:r w:rsidR="009D6720">
          <w:rPr>
            <w:noProof/>
            <w:webHidden/>
          </w:rPr>
          <w:fldChar w:fldCharType="begin"/>
        </w:r>
        <w:r w:rsidR="009D6720">
          <w:rPr>
            <w:noProof/>
            <w:webHidden/>
          </w:rPr>
          <w:instrText xml:space="preserve"> PAGEREF _Toc96957739 \h </w:instrText>
        </w:r>
        <w:r w:rsidR="009D6720">
          <w:rPr>
            <w:noProof/>
            <w:webHidden/>
          </w:rPr>
        </w:r>
        <w:r w:rsidR="009D6720">
          <w:rPr>
            <w:noProof/>
            <w:webHidden/>
          </w:rPr>
          <w:fldChar w:fldCharType="separate"/>
        </w:r>
        <w:r w:rsidR="005A6B1E">
          <w:rPr>
            <w:noProof/>
            <w:webHidden/>
          </w:rPr>
          <w:t>91</w:t>
        </w:r>
        <w:r w:rsidR="009D6720">
          <w:rPr>
            <w:noProof/>
            <w:webHidden/>
          </w:rPr>
          <w:fldChar w:fldCharType="end"/>
        </w:r>
      </w:hyperlink>
    </w:p>
    <w:p w14:paraId="70EAC9CF" w14:textId="6568DDAB" w:rsidR="009D6720" w:rsidRDefault="004E2360">
      <w:pPr>
        <w:pStyle w:val="TOC3"/>
        <w:tabs>
          <w:tab w:val="left" w:pos="1200"/>
          <w:tab w:val="right" w:leader="dot" w:pos="9016"/>
        </w:tabs>
        <w:rPr>
          <w:rFonts w:eastAsiaTheme="minorEastAsia" w:cstheme="minorBidi"/>
          <w:noProof/>
          <w:sz w:val="24"/>
          <w:szCs w:val="24"/>
        </w:rPr>
      </w:pPr>
      <w:hyperlink w:anchor="_Toc96957740" w:history="1">
        <w:r w:rsidR="009D6720" w:rsidRPr="002532DD">
          <w:rPr>
            <w:rStyle w:val="Hyperlink"/>
            <w:b/>
            <w:bCs/>
            <w:i/>
            <w:iCs/>
            <w:noProof/>
          </w:rPr>
          <w:t>6.3.1.</w:t>
        </w:r>
        <w:r w:rsidR="009D6720">
          <w:rPr>
            <w:rFonts w:eastAsiaTheme="minorEastAsia" w:cstheme="minorBidi"/>
            <w:noProof/>
            <w:sz w:val="24"/>
            <w:szCs w:val="24"/>
          </w:rPr>
          <w:tab/>
        </w:r>
        <w:r w:rsidR="009D6720" w:rsidRPr="002532DD">
          <w:rPr>
            <w:rStyle w:val="Hyperlink"/>
            <w:b/>
            <w:bCs/>
            <w:i/>
            <w:iCs/>
            <w:noProof/>
          </w:rPr>
          <w:t>Eligibility</w:t>
        </w:r>
        <w:r w:rsidR="009D6720">
          <w:rPr>
            <w:noProof/>
            <w:webHidden/>
          </w:rPr>
          <w:tab/>
        </w:r>
        <w:r w:rsidR="009D6720">
          <w:rPr>
            <w:noProof/>
            <w:webHidden/>
          </w:rPr>
          <w:fldChar w:fldCharType="begin"/>
        </w:r>
        <w:r w:rsidR="009D6720">
          <w:rPr>
            <w:noProof/>
            <w:webHidden/>
          </w:rPr>
          <w:instrText xml:space="preserve"> PAGEREF _Toc96957740 \h </w:instrText>
        </w:r>
        <w:r w:rsidR="009D6720">
          <w:rPr>
            <w:noProof/>
            <w:webHidden/>
          </w:rPr>
        </w:r>
        <w:r w:rsidR="009D6720">
          <w:rPr>
            <w:noProof/>
            <w:webHidden/>
          </w:rPr>
          <w:fldChar w:fldCharType="separate"/>
        </w:r>
        <w:r w:rsidR="005A6B1E">
          <w:rPr>
            <w:noProof/>
            <w:webHidden/>
          </w:rPr>
          <w:t>91</w:t>
        </w:r>
        <w:r w:rsidR="009D6720">
          <w:rPr>
            <w:noProof/>
            <w:webHidden/>
          </w:rPr>
          <w:fldChar w:fldCharType="end"/>
        </w:r>
      </w:hyperlink>
    </w:p>
    <w:p w14:paraId="7A4CEE3A" w14:textId="1C60C060" w:rsidR="009D6720" w:rsidRDefault="004E2360">
      <w:pPr>
        <w:pStyle w:val="TOC3"/>
        <w:tabs>
          <w:tab w:val="left" w:pos="1200"/>
          <w:tab w:val="right" w:leader="dot" w:pos="9016"/>
        </w:tabs>
        <w:rPr>
          <w:rFonts w:eastAsiaTheme="minorEastAsia" w:cstheme="minorBidi"/>
          <w:noProof/>
          <w:sz w:val="24"/>
          <w:szCs w:val="24"/>
        </w:rPr>
      </w:pPr>
      <w:hyperlink w:anchor="_Toc96957741" w:history="1">
        <w:r w:rsidR="009D6720" w:rsidRPr="002532DD">
          <w:rPr>
            <w:rStyle w:val="Hyperlink"/>
            <w:b/>
            <w:bCs/>
            <w:i/>
            <w:iCs/>
            <w:noProof/>
          </w:rPr>
          <w:t>6.3.2.</w:t>
        </w:r>
        <w:r w:rsidR="009D6720">
          <w:rPr>
            <w:rFonts w:eastAsiaTheme="minorEastAsia" w:cstheme="minorBidi"/>
            <w:noProof/>
            <w:sz w:val="24"/>
            <w:szCs w:val="24"/>
          </w:rPr>
          <w:tab/>
        </w:r>
        <w:r w:rsidR="009D6720" w:rsidRPr="002532DD">
          <w:rPr>
            <w:rStyle w:val="Hyperlink"/>
            <w:b/>
            <w:bCs/>
            <w:i/>
            <w:iCs/>
            <w:noProof/>
          </w:rPr>
          <w:t>Literature search</w:t>
        </w:r>
        <w:r w:rsidR="009D6720">
          <w:rPr>
            <w:noProof/>
            <w:webHidden/>
          </w:rPr>
          <w:tab/>
        </w:r>
        <w:r w:rsidR="009D6720">
          <w:rPr>
            <w:noProof/>
            <w:webHidden/>
          </w:rPr>
          <w:fldChar w:fldCharType="begin"/>
        </w:r>
        <w:r w:rsidR="009D6720">
          <w:rPr>
            <w:noProof/>
            <w:webHidden/>
          </w:rPr>
          <w:instrText xml:space="preserve"> PAGEREF _Toc96957741 \h </w:instrText>
        </w:r>
        <w:r w:rsidR="009D6720">
          <w:rPr>
            <w:noProof/>
            <w:webHidden/>
          </w:rPr>
        </w:r>
        <w:r w:rsidR="009D6720">
          <w:rPr>
            <w:noProof/>
            <w:webHidden/>
          </w:rPr>
          <w:fldChar w:fldCharType="separate"/>
        </w:r>
        <w:r w:rsidR="005A6B1E">
          <w:rPr>
            <w:noProof/>
            <w:webHidden/>
          </w:rPr>
          <w:t>92</w:t>
        </w:r>
        <w:r w:rsidR="009D6720">
          <w:rPr>
            <w:noProof/>
            <w:webHidden/>
          </w:rPr>
          <w:fldChar w:fldCharType="end"/>
        </w:r>
      </w:hyperlink>
    </w:p>
    <w:p w14:paraId="745C13CA" w14:textId="73784EFE" w:rsidR="009D6720" w:rsidRDefault="004E2360">
      <w:pPr>
        <w:pStyle w:val="TOC2"/>
        <w:tabs>
          <w:tab w:val="left" w:pos="960"/>
          <w:tab w:val="right" w:leader="dot" w:pos="9016"/>
        </w:tabs>
        <w:rPr>
          <w:rFonts w:eastAsiaTheme="minorEastAsia" w:cstheme="minorBidi"/>
          <w:b w:val="0"/>
          <w:bCs w:val="0"/>
          <w:noProof/>
          <w:sz w:val="24"/>
          <w:szCs w:val="24"/>
        </w:rPr>
      </w:pPr>
      <w:hyperlink w:anchor="_Toc96957742" w:history="1">
        <w:r w:rsidR="009D6720" w:rsidRPr="002532DD">
          <w:rPr>
            <w:rStyle w:val="Hyperlink"/>
            <w:noProof/>
          </w:rPr>
          <w:t>6.4.</w:t>
        </w:r>
        <w:r w:rsidR="009D6720">
          <w:rPr>
            <w:rFonts w:eastAsiaTheme="minorEastAsia" w:cstheme="minorBidi"/>
            <w:b w:val="0"/>
            <w:bCs w:val="0"/>
            <w:noProof/>
            <w:sz w:val="24"/>
            <w:szCs w:val="24"/>
          </w:rPr>
          <w:tab/>
        </w:r>
        <w:r w:rsidR="009D6720" w:rsidRPr="002532DD">
          <w:rPr>
            <w:rStyle w:val="Hyperlink"/>
            <w:noProof/>
          </w:rPr>
          <w:t>Findings and Recommendations</w:t>
        </w:r>
        <w:r w:rsidR="009D6720">
          <w:rPr>
            <w:noProof/>
            <w:webHidden/>
          </w:rPr>
          <w:tab/>
        </w:r>
        <w:r w:rsidR="009D6720">
          <w:rPr>
            <w:noProof/>
            <w:webHidden/>
          </w:rPr>
          <w:fldChar w:fldCharType="begin"/>
        </w:r>
        <w:r w:rsidR="009D6720">
          <w:rPr>
            <w:noProof/>
            <w:webHidden/>
          </w:rPr>
          <w:instrText xml:space="preserve"> PAGEREF _Toc96957742 \h </w:instrText>
        </w:r>
        <w:r w:rsidR="009D6720">
          <w:rPr>
            <w:noProof/>
            <w:webHidden/>
          </w:rPr>
        </w:r>
        <w:r w:rsidR="009D6720">
          <w:rPr>
            <w:noProof/>
            <w:webHidden/>
          </w:rPr>
          <w:fldChar w:fldCharType="separate"/>
        </w:r>
        <w:r w:rsidR="005A6B1E">
          <w:rPr>
            <w:noProof/>
            <w:webHidden/>
          </w:rPr>
          <w:t>94</w:t>
        </w:r>
        <w:r w:rsidR="009D6720">
          <w:rPr>
            <w:noProof/>
            <w:webHidden/>
          </w:rPr>
          <w:fldChar w:fldCharType="end"/>
        </w:r>
      </w:hyperlink>
    </w:p>
    <w:p w14:paraId="0B701BCE" w14:textId="39C199FD" w:rsidR="009D6720" w:rsidRDefault="004E2360">
      <w:pPr>
        <w:pStyle w:val="TOC3"/>
        <w:tabs>
          <w:tab w:val="left" w:pos="1200"/>
          <w:tab w:val="right" w:leader="dot" w:pos="9016"/>
        </w:tabs>
        <w:rPr>
          <w:rFonts w:eastAsiaTheme="minorEastAsia" w:cstheme="minorBidi"/>
          <w:noProof/>
          <w:sz w:val="24"/>
          <w:szCs w:val="24"/>
        </w:rPr>
      </w:pPr>
      <w:hyperlink w:anchor="_Toc96957743" w:history="1">
        <w:r w:rsidR="009D6720" w:rsidRPr="002532DD">
          <w:rPr>
            <w:rStyle w:val="Hyperlink"/>
            <w:b/>
            <w:bCs/>
            <w:i/>
            <w:iCs/>
            <w:noProof/>
          </w:rPr>
          <w:t>6.4.1.</w:t>
        </w:r>
        <w:r w:rsidR="009D6720">
          <w:rPr>
            <w:rFonts w:eastAsiaTheme="minorEastAsia" w:cstheme="minorBidi"/>
            <w:noProof/>
            <w:sz w:val="24"/>
            <w:szCs w:val="24"/>
          </w:rPr>
          <w:tab/>
        </w:r>
        <w:r w:rsidR="009D6720" w:rsidRPr="002532DD">
          <w:rPr>
            <w:rStyle w:val="Hyperlink"/>
            <w:b/>
            <w:bCs/>
            <w:i/>
            <w:iCs/>
            <w:noProof/>
          </w:rPr>
          <w:t>Outcome Category 1: Extent of Women’s Influence</w:t>
        </w:r>
        <w:r w:rsidR="009D6720">
          <w:rPr>
            <w:noProof/>
            <w:webHidden/>
          </w:rPr>
          <w:tab/>
        </w:r>
        <w:r w:rsidR="009D6720">
          <w:rPr>
            <w:noProof/>
            <w:webHidden/>
          </w:rPr>
          <w:fldChar w:fldCharType="begin"/>
        </w:r>
        <w:r w:rsidR="009D6720">
          <w:rPr>
            <w:noProof/>
            <w:webHidden/>
          </w:rPr>
          <w:instrText xml:space="preserve"> PAGEREF _Toc96957743 \h </w:instrText>
        </w:r>
        <w:r w:rsidR="009D6720">
          <w:rPr>
            <w:noProof/>
            <w:webHidden/>
          </w:rPr>
        </w:r>
        <w:r w:rsidR="009D6720">
          <w:rPr>
            <w:noProof/>
            <w:webHidden/>
          </w:rPr>
          <w:fldChar w:fldCharType="separate"/>
        </w:r>
        <w:r w:rsidR="005A6B1E">
          <w:rPr>
            <w:noProof/>
            <w:webHidden/>
          </w:rPr>
          <w:t>95</w:t>
        </w:r>
        <w:r w:rsidR="009D6720">
          <w:rPr>
            <w:noProof/>
            <w:webHidden/>
          </w:rPr>
          <w:fldChar w:fldCharType="end"/>
        </w:r>
      </w:hyperlink>
    </w:p>
    <w:p w14:paraId="66E76535" w14:textId="7169079A" w:rsidR="009D6720" w:rsidRDefault="004E2360">
      <w:pPr>
        <w:pStyle w:val="TOC3"/>
        <w:tabs>
          <w:tab w:val="left" w:pos="1200"/>
          <w:tab w:val="right" w:leader="dot" w:pos="9016"/>
        </w:tabs>
        <w:rPr>
          <w:rFonts w:eastAsiaTheme="minorEastAsia" w:cstheme="minorBidi"/>
          <w:noProof/>
          <w:sz w:val="24"/>
          <w:szCs w:val="24"/>
        </w:rPr>
      </w:pPr>
      <w:hyperlink w:anchor="_Toc96957744" w:history="1">
        <w:r w:rsidR="009D6720" w:rsidRPr="002532DD">
          <w:rPr>
            <w:rStyle w:val="Hyperlink"/>
            <w:b/>
            <w:bCs/>
            <w:i/>
            <w:iCs/>
            <w:noProof/>
          </w:rPr>
          <w:t>6.4.2.</w:t>
        </w:r>
        <w:r w:rsidR="009D6720">
          <w:rPr>
            <w:rFonts w:eastAsiaTheme="minorEastAsia" w:cstheme="minorBidi"/>
            <w:noProof/>
            <w:sz w:val="24"/>
            <w:szCs w:val="24"/>
          </w:rPr>
          <w:tab/>
        </w:r>
        <w:r w:rsidR="009D6720" w:rsidRPr="002532DD">
          <w:rPr>
            <w:rStyle w:val="Hyperlink"/>
            <w:b/>
            <w:bCs/>
            <w:i/>
            <w:iCs/>
            <w:noProof/>
          </w:rPr>
          <w:t>Outcome Category 2: Impact on Public Attitudes</w:t>
        </w:r>
        <w:r w:rsidR="009D6720">
          <w:rPr>
            <w:noProof/>
            <w:webHidden/>
          </w:rPr>
          <w:tab/>
        </w:r>
        <w:r w:rsidR="009D6720">
          <w:rPr>
            <w:noProof/>
            <w:webHidden/>
          </w:rPr>
          <w:fldChar w:fldCharType="begin"/>
        </w:r>
        <w:r w:rsidR="009D6720">
          <w:rPr>
            <w:noProof/>
            <w:webHidden/>
          </w:rPr>
          <w:instrText xml:space="preserve"> PAGEREF _Toc96957744 \h </w:instrText>
        </w:r>
        <w:r w:rsidR="009D6720">
          <w:rPr>
            <w:noProof/>
            <w:webHidden/>
          </w:rPr>
        </w:r>
        <w:r w:rsidR="009D6720">
          <w:rPr>
            <w:noProof/>
            <w:webHidden/>
          </w:rPr>
          <w:fldChar w:fldCharType="separate"/>
        </w:r>
        <w:r w:rsidR="005A6B1E">
          <w:rPr>
            <w:noProof/>
            <w:webHidden/>
          </w:rPr>
          <w:t>98</w:t>
        </w:r>
        <w:r w:rsidR="009D6720">
          <w:rPr>
            <w:noProof/>
            <w:webHidden/>
          </w:rPr>
          <w:fldChar w:fldCharType="end"/>
        </w:r>
      </w:hyperlink>
    </w:p>
    <w:p w14:paraId="56228502" w14:textId="21376196" w:rsidR="009D6720" w:rsidRDefault="004E2360">
      <w:pPr>
        <w:pStyle w:val="TOC3"/>
        <w:tabs>
          <w:tab w:val="left" w:pos="1200"/>
          <w:tab w:val="right" w:leader="dot" w:pos="9016"/>
        </w:tabs>
        <w:rPr>
          <w:rFonts w:eastAsiaTheme="minorEastAsia" w:cstheme="minorBidi"/>
          <w:noProof/>
          <w:sz w:val="24"/>
          <w:szCs w:val="24"/>
        </w:rPr>
      </w:pPr>
      <w:hyperlink w:anchor="_Toc96957745" w:history="1">
        <w:r w:rsidR="009D6720" w:rsidRPr="002532DD">
          <w:rPr>
            <w:rStyle w:val="Hyperlink"/>
            <w:b/>
            <w:bCs/>
            <w:i/>
            <w:iCs/>
            <w:noProof/>
          </w:rPr>
          <w:t>6.4.3.</w:t>
        </w:r>
        <w:r w:rsidR="009D6720">
          <w:rPr>
            <w:rFonts w:eastAsiaTheme="minorEastAsia" w:cstheme="minorBidi"/>
            <w:noProof/>
            <w:sz w:val="24"/>
            <w:szCs w:val="24"/>
          </w:rPr>
          <w:tab/>
        </w:r>
        <w:r w:rsidR="009D6720" w:rsidRPr="002532DD">
          <w:rPr>
            <w:rStyle w:val="Hyperlink"/>
            <w:b/>
            <w:bCs/>
            <w:i/>
            <w:iCs/>
            <w:noProof/>
          </w:rPr>
          <w:t>Outcome Category 3: Labour Market Indicators</w:t>
        </w:r>
        <w:r w:rsidR="009D6720">
          <w:rPr>
            <w:noProof/>
            <w:webHidden/>
          </w:rPr>
          <w:tab/>
        </w:r>
        <w:r w:rsidR="009D6720">
          <w:rPr>
            <w:noProof/>
            <w:webHidden/>
          </w:rPr>
          <w:fldChar w:fldCharType="begin"/>
        </w:r>
        <w:r w:rsidR="009D6720">
          <w:rPr>
            <w:noProof/>
            <w:webHidden/>
          </w:rPr>
          <w:instrText xml:space="preserve"> PAGEREF _Toc96957745 \h </w:instrText>
        </w:r>
        <w:r w:rsidR="009D6720">
          <w:rPr>
            <w:noProof/>
            <w:webHidden/>
          </w:rPr>
        </w:r>
        <w:r w:rsidR="009D6720">
          <w:rPr>
            <w:noProof/>
            <w:webHidden/>
          </w:rPr>
          <w:fldChar w:fldCharType="separate"/>
        </w:r>
        <w:r w:rsidR="005A6B1E">
          <w:rPr>
            <w:noProof/>
            <w:webHidden/>
          </w:rPr>
          <w:t>101</w:t>
        </w:r>
        <w:r w:rsidR="009D6720">
          <w:rPr>
            <w:noProof/>
            <w:webHidden/>
          </w:rPr>
          <w:fldChar w:fldCharType="end"/>
        </w:r>
      </w:hyperlink>
    </w:p>
    <w:p w14:paraId="05558701" w14:textId="06AE1309" w:rsidR="009D6720" w:rsidRDefault="004E2360">
      <w:pPr>
        <w:pStyle w:val="TOC2"/>
        <w:tabs>
          <w:tab w:val="left" w:pos="960"/>
          <w:tab w:val="right" w:leader="dot" w:pos="9016"/>
        </w:tabs>
        <w:rPr>
          <w:rFonts w:eastAsiaTheme="minorEastAsia" w:cstheme="minorBidi"/>
          <w:b w:val="0"/>
          <w:bCs w:val="0"/>
          <w:noProof/>
          <w:sz w:val="24"/>
          <w:szCs w:val="24"/>
        </w:rPr>
      </w:pPr>
      <w:hyperlink w:anchor="_Toc96957746" w:history="1">
        <w:r w:rsidR="009D6720" w:rsidRPr="002532DD">
          <w:rPr>
            <w:rStyle w:val="Hyperlink"/>
            <w:noProof/>
          </w:rPr>
          <w:t>6.5.</w:t>
        </w:r>
        <w:r w:rsidR="009D6720">
          <w:rPr>
            <w:rFonts w:eastAsiaTheme="minorEastAsia" w:cstheme="minorBidi"/>
            <w:b w:val="0"/>
            <w:bCs w:val="0"/>
            <w:noProof/>
            <w:sz w:val="24"/>
            <w:szCs w:val="24"/>
          </w:rPr>
          <w:tab/>
        </w:r>
        <w:r w:rsidR="009D6720" w:rsidRPr="002532DD">
          <w:rPr>
            <w:rStyle w:val="Hyperlink"/>
            <w:noProof/>
          </w:rPr>
          <w:t>A Roadmap for Action</w:t>
        </w:r>
        <w:r w:rsidR="009D6720">
          <w:rPr>
            <w:noProof/>
            <w:webHidden/>
          </w:rPr>
          <w:tab/>
        </w:r>
        <w:r w:rsidR="009D6720">
          <w:rPr>
            <w:noProof/>
            <w:webHidden/>
          </w:rPr>
          <w:fldChar w:fldCharType="begin"/>
        </w:r>
        <w:r w:rsidR="009D6720">
          <w:rPr>
            <w:noProof/>
            <w:webHidden/>
          </w:rPr>
          <w:instrText xml:space="preserve"> PAGEREF _Toc96957746 \h </w:instrText>
        </w:r>
        <w:r w:rsidR="009D6720">
          <w:rPr>
            <w:noProof/>
            <w:webHidden/>
          </w:rPr>
        </w:r>
        <w:r w:rsidR="009D6720">
          <w:rPr>
            <w:noProof/>
            <w:webHidden/>
          </w:rPr>
          <w:fldChar w:fldCharType="separate"/>
        </w:r>
        <w:r w:rsidR="005A6B1E">
          <w:rPr>
            <w:noProof/>
            <w:webHidden/>
          </w:rPr>
          <w:t>104</w:t>
        </w:r>
        <w:r w:rsidR="009D6720">
          <w:rPr>
            <w:noProof/>
            <w:webHidden/>
          </w:rPr>
          <w:fldChar w:fldCharType="end"/>
        </w:r>
      </w:hyperlink>
    </w:p>
    <w:p w14:paraId="3D28ECB5" w14:textId="752A1345" w:rsidR="009D6720" w:rsidRDefault="004E2360">
      <w:pPr>
        <w:pStyle w:val="TOC2"/>
        <w:tabs>
          <w:tab w:val="left" w:pos="960"/>
          <w:tab w:val="right" w:leader="dot" w:pos="9016"/>
        </w:tabs>
        <w:rPr>
          <w:rFonts w:eastAsiaTheme="minorEastAsia" w:cstheme="minorBidi"/>
          <w:b w:val="0"/>
          <w:bCs w:val="0"/>
          <w:noProof/>
          <w:sz w:val="24"/>
          <w:szCs w:val="24"/>
        </w:rPr>
      </w:pPr>
      <w:hyperlink w:anchor="_Toc96957747" w:history="1">
        <w:r w:rsidR="009D6720" w:rsidRPr="002532DD">
          <w:rPr>
            <w:rStyle w:val="Hyperlink"/>
            <w:noProof/>
          </w:rPr>
          <w:t>6.6.</w:t>
        </w:r>
        <w:r w:rsidR="009D6720">
          <w:rPr>
            <w:rFonts w:eastAsiaTheme="minorEastAsia" w:cstheme="minorBidi"/>
            <w:b w:val="0"/>
            <w:bCs w:val="0"/>
            <w:noProof/>
            <w:sz w:val="24"/>
            <w:szCs w:val="24"/>
          </w:rPr>
          <w:tab/>
        </w:r>
        <w:r w:rsidR="009D6720" w:rsidRPr="002532DD">
          <w:rPr>
            <w:rStyle w:val="Hyperlink"/>
            <w:noProof/>
          </w:rPr>
          <w:t>Conclusions</w:t>
        </w:r>
        <w:r w:rsidR="009D6720">
          <w:rPr>
            <w:noProof/>
            <w:webHidden/>
          </w:rPr>
          <w:tab/>
        </w:r>
        <w:r w:rsidR="009D6720">
          <w:rPr>
            <w:noProof/>
            <w:webHidden/>
          </w:rPr>
          <w:fldChar w:fldCharType="begin"/>
        </w:r>
        <w:r w:rsidR="009D6720">
          <w:rPr>
            <w:noProof/>
            <w:webHidden/>
          </w:rPr>
          <w:instrText xml:space="preserve"> PAGEREF _Toc96957747 \h </w:instrText>
        </w:r>
        <w:r w:rsidR="009D6720">
          <w:rPr>
            <w:noProof/>
            <w:webHidden/>
          </w:rPr>
        </w:r>
        <w:r w:rsidR="009D6720">
          <w:rPr>
            <w:noProof/>
            <w:webHidden/>
          </w:rPr>
          <w:fldChar w:fldCharType="separate"/>
        </w:r>
        <w:r w:rsidR="005A6B1E">
          <w:rPr>
            <w:noProof/>
            <w:webHidden/>
          </w:rPr>
          <w:t>108</w:t>
        </w:r>
        <w:r w:rsidR="009D6720">
          <w:rPr>
            <w:noProof/>
            <w:webHidden/>
          </w:rPr>
          <w:fldChar w:fldCharType="end"/>
        </w:r>
      </w:hyperlink>
    </w:p>
    <w:p w14:paraId="660DB032" w14:textId="249FCDFC" w:rsidR="009D6720" w:rsidRDefault="004E2360">
      <w:pPr>
        <w:pStyle w:val="TOC2"/>
        <w:tabs>
          <w:tab w:val="left" w:pos="960"/>
          <w:tab w:val="right" w:leader="dot" w:pos="9016"/>
        </w:tabs>
        <w:rPr>
          <w:rFonts w:eastAsiaTheme="minorEastAsia" w:cstheme="minorBidi"/>
          <w:b w:val="0"/>
          <w:bCs w:val="0"/>
          <w:noProof/>
          <w:sz w:val="24"/>
          <w:szCs w:val="24"/>
        </w:rPr>
      </w:pPr>
      <w:hyperlink w:anchor="_Toc96957748" w:history="1">
        <w:r w:rsidR="009D6720" w:rsidRPr="002532DD">
          <w:rPr>
            <w:rStyle w:val="Hyperlink"/>
            <w:noProof/>
          </w:rPr>
          <w:t>6.7.</w:t>
        </w:r>
        <w:r w:rsidR="009D6720">
          <w:rPr>
            <w:rFonts w:eastAsiaTheme="minorEastAsia" w:cstheme="minorBidi"/>
            <w:b w:val="0"/>
            <w:bCs w:val="0"/>
            <w:noProof/>
            <w:sz w:val="24"/>
            <w:szCs w:val="24"/>
          </w:rPr>
          <w:tab/>
        </w:r>
        <w:r w:rsidR="009D6720" w:rsidRPr="002532DD">
          <w:rPr>
            <w:rStyle w:val="Hyperlink"/>
            <w:noProof/>
          </w:rPr>
          <w:t>Cited References</w:t>
        </w:r>
        <w:r w:rsidR="009D6720">
          <w:rPr>
            <w:noProof/>
            <w:webHidden/>
          </w:rPr>
          <w:tab/>
        </w:r>
        <w:r w:rsidR="009D6720">
          <w:rPr>
            <w:noProof/>
            <w:webHidden/>
          </w:rPr>
          <w:fldChar w:fldCharType="begin"/>
        </w:r>
        <w:r w:rsidR="009D6720">
          <w:rPr>
            <w:noProof/>
            <w:webHidden/>
          </w:rPr>
          <w:instrText xml:space="preserve"> PAGEREF _Toc96957748 \h </w:instrText>
        </w:r>
        <w:r w:rsidR="009D6720">
          <w:rPr>
            <w:noProof/>
            <w:webHidden/>
          </w:rPr>
        </w:r>
        <w:r w:rsidR="009D6720">
          <w:rPr>
            <w:noProof/>
            <w:webHidden/>
          </w:rPr>
          <w:fldChar w:fldCharType="separate"/>
        </w:r>
        <w:r w:rsidR="005A6B1E">
          <w:rPr>
            <w:noProof/>
            <w:webHidden/>
          </w:rPr>
          <w:t>108</w:t>
        </w:r>
        <w:r w:rsidR="009D6720">
          <w:rPr>
            <w:noProof/>
            <w:webHidden/>
          </w:rPr>
          <w:fldChar w:fldCharType="end"/>
        </w:r>
      </w:hyperlink>
    </w:p>
    <w:p w14:paraId="362D6334" w14:textId="2C506026" w:rsidR="009D6720" w:rsidRDefault="004E2360">
      <w:pPr>
        <w:pStyle w:val="TOC2"/>
        <w:tabs>
          <w:tab w:val="left" w:pos="960"/>
          <w:tab w:val="right" w:leader="dot" w:pos="9016"/>
        </w:tabs>
        <w:rPr>
          <w:rFonts w:eastAsiaTheme="minorEastAsia" w:cstheme="minorBidi"/>
          <w:b w:val="0"/>
          <w:bCs w:val="0"/>
          <w:noProof/>
          <w:sz w:val="24"/>
          <w:szCs w:val="24"/>
        </w:rPr>
      </w:pPr>
      <w:hyperlink w:anchor="_Toc96957749" w:history="1">
        <w:r w:rsidR="009D6720" w:rsidRPr="002532DD">
          <w:rPr>
            <w:rStyle w:val="Hyperlink"/>
            <w:noProof/>
          </w:rPr>
          <w:t>6.8.</w:t>
        </w:r>
        <w:r w:rsidR="009D6720">
          <w:rPr>
            <w:rFonts w:eastAsiaTheme="minorEastAsia" w:cstheme="minorBidi"/>
            <w:b w:val="0"/>
            <w:bCs w:val="0"/>
            <w:noProof/>
            <w:sz w:val="24"/>
            <w:szCs w:val="24"/>
          </w:rPr>
          <w:tab/>
        </w:r>
        <w:r w:rsidR="009D6720" w:rsidRPr="002532DD">
          <w:rPr>
            <w:rStyle w:val="Hyperlink"/>
            <w:noProof/>
          </w:rPr>
          <w:t>Reviewed References</w:t>
        </w:r>
        <w:r w:rsidR="009D6720">
          <w:rPr>
            <w:noProof/>
            <w:webHidden/>
          </w:rPr>
          <w:tab/>
        </w:r>
        <w:r w:rsidR="009D6720">
          <w:rPr>
            <w:noProof/>
            <w:webHidden/>
          </w:rPr>
          <w:fldChar w:fldCharType="begin"/>
        </w:r>
        <w:r w:rsidR="009D6720">
          <w:rPr>
            <w:noProof/>
            <w:webHidden/>
          </w:rPr>
          <w:instrText xml:space="preserve"> PAGEREF _Toc96957749 \h </w:instrText>
        </w:r>
        <w:r w:rsidR="009D6720">
          <w:rPr>
            <w:noProof/>
            <w:webHidden/>
          </w:rPr>
        </w:r>
        <w:r w:rsidR="009D6720">
          <w:rPr>
            <w:noProof/>
            <w:webHidden/>
          </w:rPr>
          <w:fldChar w:fldCharType="separate"/>
        </w:r>
        <w:r w:rsidR="005A6B1E">
          <w:rPr>
            <w:noProof/>
            <w:webHidden/>
          </w:rPr>
          <w:t>111</w:t>
        </w:r>
        <w:r w:rsidR="009D6720">
          <w:rPr>
            <w:noProof/>
            <w:webHidden/>
          </w:rPr>
          <w:fldChar w:fldCharType="end"/>
        </w:r>
      </w:hyperlink>
    </w:p>
    <w:p w14:paraId="06439118" w14:textId="738DC9F7" w:rsidR="009D6720" w:rsidRDefault="004E2360" w:rsidP="005A6B1E">
      <w:pPr>
        <w:pStyle w:val="TOC1"/>
        <w:rPr>
          <w:rFonts w:eastAsiaTheme="minorEastAsia" w:cstheme="minorBidi"/>
        </w:rPr>
      </w:pPr>
      <w:hyperlink w:anchor="_Toc96957750" w:history="1">
        <w:r w:rsidR="00206898" w:rsidRPr="002532DD">
          <w:rPr>
            <w:rStyle w:val="Hyperlink"/>
            <w:rFonts w:ascii="Calibri" w:hAnsi="Calibri" w:cs="Calibri"/>
          </w:rPr>
          <w:t xml:space="preserve">About the </w:t>
        </w:r>
        <w:r w:rsidR="00206898">
          <w:rPr>
            <w:rStyle w:val="Hyperlink"/>
            <w:rFonts w:ascii="Calibri" w:hAnsi="Calibri" w:cs="Calibri"/>
          </w:rPr>
          <w:t>A</w:t>
        </w:r>
        <w:r w:rsidR="00206898" w:rsidRPr="002532DD">
          <w:rPr>
            <w:rStyle w:val="Hyperlink"/>
            <w:rFonts w:ascii="Calibri" w:hAnsi="Calibri" w:cs="Calibri"/>
          </w:rPr>
          <w:t>uthors</w:t>
        </w:r>
        <w:r w:rsidR="009D6720">
          <w:rPr>
            <w:webHidden/>
          </w:rPr>
          <w:tab/>
        </w:r>
        <w:r w:rsidR="009D6720">
          <w:rPr>
            <w:webHidden/>
          </w:rPr>
          <w:fldChar w:fldCharType="begin"/>
        </w:r>
        <w:r w:rsidR="009D6720">
          <w:rPr>
            <w:webHidden/>
          </w:rPr>
          <w:instrText xml:space="preserve"> PAGEREF _Toc96957750 \h </w:instrText>
        </w:r>
        <w:r w:rsidR="009D6720">
          <w:rPr>
            <w:webHidden/>
          </w:rPr>
        </w:r>
        <w:r w:rsidR="009D6720">
          <w:rPr>
            <w:webHidden/>
          </w:rPr>
          <w:fldChar w:fldCharType="separate"/>
        </w:r>
        <w:r w:rsidR="005A6B1E">
          <w:rPr>
            <w:webHidden/>
          </w:rPr>
          <w:t>116</w:t>
        </w:r>
        <w:r w:rsidR="009D6720">
          <w:rPr>
            <w:webHidden/>
          </w:rPr>
          <w:fldChar w:fldCharType="end"/>
        </w:r>
      </w:hyperlink>
    </w:p>
    <w:p w14:paraId="551C5E77" w14:textId="6921F8F8" w:rsidR="00AF3745" w:rsidRPr="00C95105" w:rsidRDefault="005A17CB" w:rsidP="00BD4629">
      <w:pPr>
        <w:rPr>
          <w:rFonts w:asciiTheme="minorHAnsi" w:hAnsiTheme="minorHAnsi" w:cstheme="minorHAnsi"/>
          <w:b/>
          <w:bCs/>
        </w:rPr>
      </w:pPr>
      <w:r w:rsidRPr="00C95105">
        <w:rPr>
          <w:rFonts w:asciiTheme="minorHAnsi" w:hAnsiTheme="minorHAnsi" w:cstheme="minorHAnsi"/>
          <w:b/>
          <w:bCs/>
        </w:rPr>
        <w:fldChar w:fldCharType="end"/>
      </w:r>
    </w:p>
    <w:p w14:paraId="4939E37C" w14:textId="53DE1058" w:rsidR="003F2050" w:rsidRPr="00C95105" w:rsidRDefault="003F2050" w:rsidP="00BD4629">
      <w:pPr>
        <w:rPr>
          <w:rFonts w:asciiTheme="minorHAnsi" w:hAnsiTheme="minorHAnsi" w:cstheme="minorHAnsi"/>
          <w:b/>
          <w:bCs/>
        </w:rPr>
      </w:pPr>
    </w:p>
    <w:p w14:paraId="3C930C9C" w14:textId="77777777" w:rsidR="003F2050" w:rsidRPr="00C95105" w:rsidRDefault="003F2050" w:rsidP="00BD4629">
      <w:pPr>
        <w:rPr>
          <w:rFonts w:asciiTheme="minorHAnsi" w:hAnsiTheme="minorHAnsi" w:cstheme="minorHAnsi"/>
          <w:b/>
          <w:bCs/>
        </w:rPr>
      </w:pPr>
    </w:p>
    <w:p w14:paraId="6FD722B8" w14:textId="77777777" w:rsidR="003F2050" w:rsidRPr="00C95105" w:rsidRDefault="003F2050" w:rsidP="00BD4629">
      <w:pPr>
        <w:rPr>
          <w:rFonts w:asciiTheme="minorHAnsi" w:hAnsiTheme="minorHAnsi" w:cstheme="minorHAnsi"/>
          <w:b/>
          <w:bCs/>
        </w:rPr>
      </w:pPr>
    </w:p>
    <w:p w14:paraId="7ED32D5E" w14:textId="77777777" w:rsidR="003F2050" w:rsidRPr="00C95105" w:rsidRDefault="003F2050" w:rsidP="00BD4629">
      <w:pPr>
        <w:rPr>
          <w:rFonts w:asciiTheme="minorHAnsi" w:hAnsiTheme="minorHAnsi" w:cstheme="minorHAnsi"/>
          <w:b/>
          <w:bCs/>
        </w:rPr>
      </w:pPr>
    </w:p>
    <w:p w14:paraId="069054CA" w14:textId="77777777" w:rsidR="003F2050" w:rsidRPr="00C95105" w:rsidRDefault="003F2050" w:rsidP="00BD4629">
      <w:pPr>
        <w:rPr>
          <w:rFonts w:asciiTheme="minorHAnsi" w:hAnsiTheme="minorHAnsi" w:cstheme="minorHAnsi"/>
          <w:b/>
          <w:bCs/>
        </w:rPr>
      </w:pPr>
    </w:p>
    <w:p w14:paraId="3DFDDDED" w14:textId="77777777" w:rsidR="003F2050" w:rsidRPr="00C95105" w:rsidRDefault="003F2050" w:rsidP="00BD4629">
      <w:pPr>
        <w:rPr>
          <w:rFonts w:asciiTheme="minorHAnsi" w:hAnsiTheme="minorHAnsi" w:cstheme="minorHAnsi"/>
          <w:b/>
          <w:bCs/>
        </w:rPr>
      </w:pPr>
    </w:p>
    <w:p w14:paraId="26F1E101" w14:textId="77777777" w:rsidR="003F2050" w:rsidRPr="00C95105" w:rsidRDefault="003F2050" w:rsidP="00BD4629">
      <w:pPr>
        <w:rPr>
          <w:rFonts w:asciiTheme="minorHAnsi" w:hAnsiTheme="minorHAnsi" w:cstheme="minorHAnsi"/>
          <w:b/>
          <w:bCs/>
        </w:rPr>
      </w:pPr>
    </w:p>
    <w:p w14:paraId="61DFF08E" w14:textId="77777777" w:rsidR="003F2050" w:rsidRPr="00C95105" w:rsidRDefault="003F2050" w:rsidP="00BD4629">
      <w:pPr>
        <w:rPr>
          <w:rFonts w:asciiTheme="minorHAnsi" w:hAnsiTheme="minorHAnsi" w:cstheme="minorHAnsi"/>
          <w:b/>
          <w:bCs/>
        </w:rPr>
      </w:pPr>
    </w:p>
    <w:p w14:paraId="451BEC61" w14:textId="77777777" w:rsidR="003F2050" w:rsidRPr="00C95105" w:rsidRDefault="003F2050" w:rsidP="00BD4629">
      <w:pPr>
        <w:rPr>
          <w:rFonts w:asciiTheme="minorHAnsi" w:hAnsiTheme="minorHAnsi" w:cstheme="minorHAnsi"/>
          <w:b/>
          <w:bCs/>
        </w:rPr>
      </w:pPr>
    </w:p>
    <w:p w14:paraId="7B5E1718" w14:textId="77777777" w:rsidR="003F2050" w:rsidRPr="00C95105" w:rsidRDefault="003F2050" w:rsidP="00BD4629">
      <w:pPr>
        <w:rPr>
          <w:rFonts w:asciiTheme="minorHAnsi" w:hAnsiTheme="minorHAnsi" w:cstheme="minorHAnsi"/>
          <w:b/>
          <w:bCs/>
        </w:rPr>
      </w:pPr>
    </w:p>
    <w:p w14:paraId="63D35435" w14:textId="77777777" w:rsidR="003F2050" w:rsidRPr="00C95105" w:rsidRDefault="003F2050" w:rsidP="00BD4629">
      <w:pPr>
        <w:rPr>
          <w:rFonts w:asciiTheme="minorHAnsi" w:hAnsiTheme="minorHAnsi" w:cstheme="minorHAnsi"/>
          <w:b/>
          <w:bCs/>
        </w:rPr>
      </w:pPr>
    </w:p>
    <w:p w14:paraId="1A9FB2A9" w14:textId="77777777" w:rsidR="003F2050" w:rsidRPr="00C95105" w:rsidRDefault="003F2050" w:rsidP="00BD4629">
      <w:pPr>
        <w:rPr>
          <w:rFonts w:asciiTheme="minorHAnsi" w:hAnsiTheme="minorHAnsi" w:cstheme="minorHAnsi"/>
          <w:b/>
          <w:bCs/>
        </w:rPr>
      </w:pPr>
    </w:p>
    <w:p w14:paraId="391987E6" w14:textId="77777777" w:rsidR="003F2050" w:rsidRPr="00C95105" w:rsidRDefault="003F2050" w:rsidP="00BD4629">
      <w:pPr>
        <w:rPr>
          <w:rFonts w:asciiTheme="minorHAnsi" w:hAnsiTheme="minorHAnsi" w:cstheme="minorHAnsi"/>
          <w:b/>
          <w:bCs/>
        </w:rPr>
      </w:pPr>
    </w:p>
    <w:p w14:paraId="681F5F54" w14:textId="77777777" w:rsidR="003F2050" w:rsidRPr="00C95105" w:rsidRDefault="003F2050" w:rsidP="00BD4629">
      <w:pPr>
        <w:rPr>
          <w:rFonts w:asciiTheme="minorHAnsi" w:hAnsiTheme="minorHAnsi" w:cstheme="minorHAnsi"/>
          <w:b/>
          <w:bCs/>
        </w:rPr>
      </w:pPr>
    </w:p>
    <w:p w14:paraId="057A7333" w14:textId="77777777" w:rsidR="003F2050" w:rsidRPr="00C95105" w:rsidRDefault="003F2050" w:rsidP="00BD4629">
      <w:pPr>
        <w:rPr>
          <w:rFonts w:asciiTheme="minorHAnsi" w:hAnsiTheme="minorHAnsi" w:cstheme="minorHAnsi"/>
          <w:b/>
          <w:bCs/>
        </w:rPr>
      </w:pPr>
    </w:p>
    <w:p w14:paraId="76F6C1C2" w14:textId="77777777" w:rsidR="003F2050" w:rsidRPr="00C95105" w:rsidRDefault="003F2050" w:rsidP="00BD4629">
      <w:pPr>
        <w:rPr>
          <w:rFonts w:asciiTheme="minorHAnsi" w:hAnsiTheme="minorHAnsi" w:cstheme="minorHAnsi"/>
          <w:b/>
          <w:bCs/>
        </w:rPr>
      </w:pPr>
    </w:p>
    <w:p w14:paraId="48E35427" w14:textId="77777777" w:rsidR="003F2050" w:rsidRPr="00C95105" w:rsidRDefault="003F2050" w:rsidP="00BD4629">
      <w:pPr>
        <w:rPr>
          <w:rFonts w:asciiTheme="minorHAnsi" w:hAnsiTheme="minorHAnsi" w:cstheme="minorHAnsi"/>
          <w:b/>
          <w:bCs/>
        </w:rPr>
      </w:pPr>
    </w:p>
    <w:p w14:paraId="7069178E" w14:textId="77777777" w:rsidR="003F2050" w:rsidRPr="00C95105" w:rsidRDefault="003F2050" w:rsidP="00BD4629">
      <w:pPr>
        <w:rPr>
          <w:rFonts w:asciiTheme="minorHAnsi" w:hAnsiTheme="minorHAnsi" w:cstheme="minorHAnsi"/>
          <w:b/>
          <w:bCs/>
        </w:rPr>
      </w:pPr>
    </w:p>
    <w:p w14:paraId="0C0C0F23" w14:textId="77777777" w:rsidR="003F2050" w:rsidRPr="00C95105" w:rsidRDefault="003F2050" w:rsidP="00BD4629">
      <w:pPr>
        <w:rPr>
          <w:rFonts w:asciiTheme="minorHAnsi" w:hAnsiTheme="minorHAnsi" w:cstheme="minorHAnsi"/>
          <w:b/>
          <w:bCs/>
        </w:rPr>
      </w:pPr>
    </w:p>
    <w:p w14:paraId="2896F465" w14:textId="77777777" w:rsidR="003F2050" w:rsidRPr="00C95105" w:rsidRDefault="003F2050" w:rsidP="00BD4629">
      <w:pPr>
        <w:rPr>
          <w:rFonts w:asciiTheme="minorHAnsi" w:hAnsiTheme="minorHAnsi" w:cstheme="minorHAnsi"/>
          <w:b/>
          <w:bCs/>
        </w:rPr>
      </w:pPr>
    </w:p>
    <w:p w14:paraId="78043716" w14:textId="77777777" w:rsidR="003F2050" w:rsidRPr="00C95105" w:rsidRDefault="003F2050" w:rsidP="00BD4629">
      <w:pPr>
        <w:rPr>
          <w:rFonts w:asciiTheme="minorHAnsi" w:hAnsiTheme="minorHAnsi" w:cstheme="minorHAnsi"/>
          <w:b/>
          <w:bCs/>
        </w:rPr>
      </w:pPr>
    </w:p>
    <w:p w14:paraId="3846E81F" w14:textId="77777777" w:rsidR="003F2050" w:rsidRPr="00C95105" w:rsidRDefault="003F2050" w:rsidP="00BD4629">
      <w:pPr>
        <w:rPr>
          <w:rFonts w:asciiTheme="minorHAnsi" w:hAnsiTheme="minorHAnsi" w:cstheme="minorHAnsi"/>
          <w:b/>
          <w:bCs/>
        </w:rPr>
      </w:pPr>
    </w:p>
    <w:p w14:paraId="29512C98" w14:textId="77777777" w:rsidR="003F2050" w:rsidRPr="00C95105" w:rsidRDefault="003F2050" w:rsidP="00BD4629">
      <w:pPr>
        <w:rPr>
          <w:rFonts w:asciiTheme="minorHAnsi" w:hAnsiTheme="minorHAnsi" w:cstheme="minorHAnsi"/>
          <w:b/>
          <w:bCs/>
        </w:rPr>
      </w:pPr>
    </w:p>
    <w:p w14:paraId="71550EAE" w14:textId="77777777" w:rsidR="003F2050" w:rsidRPr="00C95105" w:rsidRDefault="003F2050" w:rsidP="00BD4629">
      <w:pPr>
        <w:rPr>
          <w:rFonts w:asciiTheme="minorHAnsi" w:hAnsiTheme="minorHAnsi" w:cstheme="minorHAnsi"/>
          <w:b/>
          <w:bCs/>
        </w:rPr>
      </w:pPr>
    </w:p>
    <w:p w14:paraId="7EA334CD" w14:textId="77777777" w:rsidR="003F2050" w:rsidRPr="00C95105" w:rsidRDefault="003F2050" w:rsidP="00BD4629">
      <w:pPr>
        <w:rPr>
          <w:rFonts w:asciiTheme="minorHAnsi" w:hAnsiTheme="minorHAnsi" w:cstheme="minorHAnsi"/>
          <w:b/>
          <w:bCs/>
        </w:rPr>
      </w:pPr>
    </w:p>
    <w:p w14:paraId="2C87A5B3" w14:textId="77777777" w:rsidR="003F2050" w:rsidRPr="00C95105" w:rsidRDefault="003F2050" w:rsidP="00BD4629">
      <w:pPr>
        <w:rPr>
          <w:rFonts w:asciiTheme="minorHAnsi" w:hAnsiTheme="minorHAnsi" w:cstheme="minorHAnsi"/>
          <w:b/>
          <w:bCs/>
        </w:rPr>
      </w:pPr>
    </w:p>
    <w:p w14:paraId="114ECC63" w14:textId="77777777" w:rsidR="003F2050" w:rsidRPr="00C95105" w:rsidRDefault="003F2050" w:rsidP="00BD4629">
      <w:pPr>
        <w:rPr>
          <w:rFonts w:asciiTheme="minorHAnsi" w:hAnsiTheme="minorHAnsi" w:cstheme="minorHAnsi"/>
          <w:b/>
          <w:bCs/>
        </w:rPr>
      </w:pPr>
    </w:p>
    <w:p w14:paraId="292193DC" w14:textId="6E6A6435" w:rsidR="003F2050" w:rsidRPr="00C95105" w:rsidRDefault="003F2050" w:rsidP="003F2050">
      <w:pPr>
        <w:pStyle w:val="TOCHeading"/>
        <w:rPr>
          <w:rFonts w:asciiTheme="minorHAnsi" w:hAnsiTheme="minorHAnsi" w:cstheme="minorHAnsi"/>
          <w:lang w:val="en-AU"/>
        </w:rPr>
      </w:pPr>
      <w:r w:rsidRPr="00C95105">
        <w:rPr>
          <w:rFonts w:asciiTheme="minorHAnsi" w:hAnsiTheme="minorHAnsi" w:cstheme="minorHAnsi"/>
          <w:lang w:val="en-AU"/>
        </w:rPr>
        <w:lastRenderedPageBreak/>
        <w:t xml:space="preserve">List of Figures </w:t>
      </w:r>
    </w:p>
    <w:p w14:paraId="08321B2B" w14:textId="77777777" w:rsidR="003F2050" w:rsidRPr="00C95105" w:rsidRDefault="003F2050" w:rsidP="003F2050">
      <w:pPr>
        <w:pStyle w:val="TableofFigures"/>
        <w:tabs>
          <w:tab w:val="right" w:leader="dot" w:pos="9016"/>
        </w:tabs>
        <w:rPr>
          <w:rFonts w:eastAsiaTheme="minorEastAsia"/>
          <w:caps w:val="0"/>
          <w:noProof/>
          <w:sz w:val="24"/>
          <w:szCs w:val="24"/>
        </w:rPr>
      </w:pPr>
      <w:r w:rsidRPr="00C95105">
        <w:fldChar w:fldCharType="begin"/>
      </w:r>
      <w:r w:rsidRPr="00C95105">
        <w:instrText xml:space="preserve"> TOC \h \z \t "List Paragraph" \c </w:instrText>
      </w:r>
      <w:r w:rsidRPr="00C95105">
        <w:fldChar w:fldCharType="separate"/>
      </w:r>
    </w:p>
    <w:p w14:paraId="0548F599" w14:textId="1F29FC4C" w:rsidR="003F2050" w:rsidRPr="00C95105" w:rsidRDefault="004E2360" w:rsidP="003F2050">
      <w:pPr>
        <w:pStyle w:val="TableofFigures"/>
        <w:tabs>
          <w:tab w:val="right" w:leader="dot" w:pos="9016"/>
        </w:tabs>
        <w:rPr>
          <w:rFonts w:eastAsiaTheme="minorEastAsia"/>
          <w:caps w:val="0"/>
          <w:noProof/>
          <w:sz w:val="22"/>
          <w:szCs w:val="22"/>
        </w:rPr>
      </w:pPr>
      <w:hyperlink w:anchor="_Toc96878259" w:history="1">
        <w:r w:rsidR="003F2050" w:rsidRPr="00C95105">
          <w:rPr>
            <w:rStyle w:val="Hyperlink"/>
            <w:b/>
            <w:bCs/>
            <w:i/>
            <w:iCs/>
            <w:caps w:val="0"/>
            <w:noProof/>
            <w:sz w:val="22"/>
            <w:szCs w:val="22"/>
          </w:rPr>
          <w:t xml:space="preserve">Figure 1.1. </w:t>
        </w:r>
        <w:r w:rsidR="003F2050" w:rsidRPr="00C95105">
          <w:rPr>
            <w:rStyle w:val="Hyperlink"/>
            <w:i/>
            <w:iCs/>
            <w:caps w:val="0"/>
            <w:noProof/>
            <w:sz w:val="22"/>
            <w:szCs w:val="22"/>
          </w:rPr>
          <w:t>Examples of different kinds of (often contested) explanations for the gender pay gap</w:t>
        </w:r>
        <w:r w:rsidR="003F2050" w:rsidRPr="00C95105">
          <w:rPr>
            <w:caps w:val="0"/>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_Toc96878259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13</w:t>
        </w:r>
        <w:r w:rsidR="003F2050" w:rsidRPr="00C95105">
          <w:rPr>
            <w:noProof/>
            <w:webHidden/>
            <w:sz w:val="22"/>
            <w:szCs w:val="22"/>
          </w:rPr>
          <w:fldChar w:fldCharType="end"/>
        </w:r>
      </w:hyperlink>
    </w:p>
    <w:p w14:paraId="5B02B22B" w14:textId="61A22763" w:rsidR="003F2050" w:rsidRPr="00C95105" w:rsidRDefault="004E2360" w:rsidP="003F2050">
      <w:pPr>
        <w:pStyle w:val="TableofFigures"/>
        <w:tabs>
          <w:tab w:val="right" w:leader="dot" w:pos="9016"/>
        </w:tabs>
        <w:rPr>
          <w:rFonts w:eastAsiaTheme="minorEastAsia"/>
          <w:caps w:val="0"/>
          <w:noProof/>
          <w:sz w:val="22"/>
          <w:szCs w:val="22"/>
        </w:rPr>
      </w:pPr>
      <w:hyperlink w:anchor="_Toc96878284" w:history="1">
        <w:r w:rsidR="003F2050" w:rsidRPr="00C95105">
          <w:rPr>
            <w:rStyle w:val="Hyperlink"/>
            <w:b/>
            <w:bCs/>
            <w:i/>
            <w:iCs/>
            <w:caps w:val="0"/>
            <w:noProof/>
            <w:sz w:val="22"/>
            <w:szCs w:val="22"/>
          </w:rPr>
          <w:t xml:space="preserve">Figure 2.1. </w:t>
        </w:r>
        <w:r w:rsidR="003F2050" w:rsidRPr="00C95105">
          <w:rPr>
            <w:rStyle w:val="Hyperlink"/>
            <w:i/>
            <w:iCs/>
            <w:caps w:val="0"/>
            <w:noProof/>
            <w:sz w:val="22"/>
            <w:szCs w:val="22"/>
          </w:rPr>
          <w:t>Prisma flow diagram summarising literature search and inclusion for aap</w:t>
        </w:r>
        <w:r w:rsidR="003F2050" w:rsidRPr="00C95105">
          <w:rPr>
            <w:caps w:val="0"/>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_Toc96878284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21</w:t>
        </w:r>
        <w:r w:rsidR="003F2050" w:rsidRPr="00C95105">
          <w:rPr>
            <w:noProof/>
            <w:webHidden/>
            <w:sz w:val="22"/>
            <w:szCs w:val="22"/>
          </w:rPr>
          <w:fldChar w:fldCharType="end"/>
        </w:r>
      </w:hyperlink>
    </w:p>
    <w:p w14:paraId="1179EF52" w14:textId="45E91AC1" w:rsidR="003F2050" w:rsidRPr="00C95105" w:rsidRDefault="004E2360" w:rsidP="003F2050">
      <w:pPr>
        <w:pStyle w:val="TableofFigures"/>
        <w:tabs>
          <w:tab w:val="right" w:leader="dot" w:pos="9016"/>
        </w:tabs>
        <w:rPr>
          <w:rFonts w:eastAsiaTheme="minorEastAsia"/>
          <w:caps w:val="0"/>
          <w:noProof/>
          <w:sz w:val="22"/>
          <w:szCs w:val="22"/>
        </w:rPr>
      </w:pPr>
      <w:hyperlink w:anchor="_Toc96878285" w:history="1">
        <w:r w:rsidR="003F2050" w:rsidRPr="00C95105">
          <w:rPr>
            <w:rStyle w:val="Hyperlink"/>
            <w:b/>
            <w:bCs/>
            <w:i/>
            <w:iCs/>
            <w:caps w:val="0"/>
            <w:noProof/>
            <w:sz w:val="22"/>
            <w:szCs w:val="22"/>
          </w:rPr>
          <w:t xml:space="preserve">Figure 3.1. </w:t>
        </w:r>
        <w:r w:rsidR="003F2050" w:rsidRPr="00C95105">
          <w:rPr>
            <w:rStyle w:val="Hyperlink"/>
            <w:i/>
            <w:iCs/>
            <w:caps w:val="0"/>
            <w:noProof/>
            <w:sz w:val="22"/>
            <w:szCs w:val="22"/>
          </w:rPr>
          <w:t>Prisma flow diagram summarising literature search and inclusion for men and flexible work</w:t>
        </w:r>
        <w:r w:rsidR="003F2050" w:rsidRPr="00C95105">
          <w:rPr>
            <w:caps w:val="0"/>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_Toc96878285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35</w:t>
        </w:r>
        <w:r w:rsidR="003F2050" w:rsidRPr="00C95105">
          <w:rPr>
            <w:noProof/>
            <w:webHidden/>
            <w:sz w:val="22"/>
            <w:szCs w:val="22"/>
          </w:rPr>
          <w:fldChar w:fldCharType="end"/>
        </w:r>
      </w:hyperlink>
    </w:p>
    <w:p w14:paraId="0DDECC26" w14:textId="65A88707" w:rsidR="003F2050" w:rsidRPr="00C95105" w:rsidRDefault="004E2360" w:rsidP="003F2050">
      <w:pPr>
        <w:pStyle w:val="TableofFigures"/>
        <w:tabs>
          <w:tab w:val="right" w:leader="dot" w:pos="9016"/>
        </w:tabs>
        <w:rPr>
          <w:rFonts w:eastAsiaTheme="minorEastAsia"/>
          <w:caps w:val="0"/>
          <w:noProof/>
          <w:sz w:val="22"/>
          <w:szCs w:val="22"/>
        </w:rPr>
      </w:pPr>
      <w:hyperlink w:anchor="_Toc96878300" w:history="1">
        <w:r w:rsidR="003F2050" w:rsidRPr="00C95105">
          <w:rPr>
            <w:rStyle w:val="Hyperlink"/>
            <w:b/>
            <w:bCs/>
            <w:i/>
            <w:iCs/>
            <w:caps w:val="0"/>
            <w:noProof/>
            <w:sz w:val="22"/>
            <w:szCs w:val="22"/>
          </w:rPr>
          <w:t xml:space="preserve">Figure 4.1. </w:t>
        </w:r>
        <w:r w:rsidR="003F2050" w:rsidRPr="00C95105">
          <w:rPr>
            <w:rStyle w:val="Hyperlink"/>
            <w:i/>
            <w:iCs/>
            <w:caps w:val="0"/>
            <w:noProof/>
            <w:sz w:val="22"/>
            <w:szCs w:val="22"/>
          </w:rPr>
          <w:t>Prisma flow diagram summarising literature search and inclusion for public sector drivers of sexual harassment</w:t>
        </w:r>
        <w:r w:rsidR="003F2050" w:rsidRPr="00C95105">
          <w:rPr>
            <w:caps w:val="0"/>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_Toc96878300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51</w:t>
        </w:r>
        <w:r w:rsidR="003F2050" w:rsidRPr="00C95105">
          <w:rPr>
            <w:noProof/>
            <w:webHidden/>
            <w:sz w:val="22"/>
            <w:szCs w:val="22"/>
          </w:rPr>
          <w:fldChar w:fldCharType="end"/>
        </w:r>
      </w:hyperlink>
    </w:p>
    <w:p w14:paraId="374A797D" w14:textId="7EC39DAA" w:rsidR="003F2050" w:rsidRPr="00C95105" w:rsidRDefault="004E2360" w:rsidP="003F2050">
      <w:pPr>
        <w:pStyle w:val="TableofFigures"/>
        <w:tabs>
          <w:tab w:val="right" w:leader="dot" w:pos="9016"/>
        </w:tabs>
        <w:rPr>
          <w:rFonts w:eastAsiaTheme="minorEastAsia"/>
          <w:caps w:val="0"/>
          <w:noProof/>
          <w:sz w:val="22"/>
          <w:szCs w:val="22"/>
        </w:rPr>
      </w:pPr>
      <w:hyperlink w:anchor="_Toc96878351" w:history="1">
        <w:r w:rsidR="003F2050" w:rsidRPr="00C95105">
          <w:rPr>
            <w:rStyle w:val="Hyperlink"/>
            <w:b/>
            <w:bCs/>
            <w:i/>
            <w:iCs/>
            <w:caps w:val="0"/>
            <w:noProof/>
            <w:sz w:val="22"/>
            <w:szCs w:val="22"/>
          </w:rPr>
          <w:t xml:space="preserve">Figure 4.2. </w:t>
        </w:r>
        <w:r w:rsidR="003F2050" w:rsidRPr="00C95105">
          <w:rPr>
            <w:rStyle w:val="Hyperlink"/>
            <w:i/>
            <w:iCs/>
            <w:caps w:val="0"/>
            <w:noProof/>
            <w:sz w:val="22"/>
            <w:szCs w:val="22"/>
          </w:rPr>
          <w:t>Roadmap of actions to reduce sexual harassment in the public sector</w:t>
        </w:r>
        <w:r w:rsidR="003F2050" w:rsidRPr="00C95105">
          <w:rPr>
            <w:caps w:val="0"/>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_Toc96878351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61</w:t>
        </w:r>
        <w:r w:rsidR="003F2050" w:rsidRPr="00C95105">
          <w:rPr>
            <w:noProof/>
            <w:webHidden/>
            <w:sz w:val="22"/>
            <w:szCs w:val="22"/>
          </w:rPr>
          <w:fldChar w:fldCharType="end"/>
        </w:r>
      </w:hyperlink>
    </w:p>
    <w:p w14:paraId="3F238647" w14:textId="5C3356F3" w:rsidR="003F2050" w:rsidRPr="00C95105" w:rsidRDefault="004E2360" w:rsidP="003F2050">
      <w:pPr>
        <w:pStyle w:val="TableofFigures"/>
        <w:tabs>
          <w:tab w:val="right" w:leader="dot" w:pos="9016"/>
        </w:tabs>
        <w:rPr>
          <w:rFonts w:eastAsiaTheme="minorEastAsia"/>
          <w:caps w:val="0"/>
          <w:noProof/>
          <w:sz w:val="22"/>
          <w:szCs w:val="22"/>
        </w:rPr>
      </w:pPr>
      <w:hyperlink w:anchor="_Toc96878402" w:history="1">
        <w:r w:rsidR="003F2050" w:rsidRPr="00C95105">
          <w:rPr>
            <w:rStyle w:val="Hyperlink"/>
            <w:b/>
            <w:bCs/>
            <w:i/>
            <w:iCs/>
            <w:caps w:val="0"/>
            <w:noProof/>
            <w:sz w:val="22"/>
            <w:szCs w:val="22"/>
          </w:rPr>
          <w:t xml:space="preserve">Figure 5.1. </w:t>
        </w:r>
        <w:r w:rsidR="003F2050" w:rsidRPr="00C95105">
          <w:rPr>
            <w:rStyle w:val="Hyperlink"/>
            <w:i/>
            <w:iCs/>
            <w:caps w:val="0"/>
            <w:noProof/>
            <w:sz w:val="22"/>
            <w:szCs w:val="22"/>
          </w:rPr>
          <w:t>Prisma flow diagram summarising literature search and inclusion for the gender pay equity review</w:t>
        </w:r>
        <w:r w:rsidR="003F2050" w:rsidRPr="00C95105">
          <w:rPr>
            <w:caps w:val="0"/>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_Toc96878402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76</w:t>
        </w:r>
        <w:r w:rsidR="003F2050" w:rsidRPr="00C95105">
          <w:rPr>
            <w:noProof/>
            <w:webHidden/>
            <w:sz w:val="22"/>
            <w:szCs w:val="22"/>
          </w:rPr>
          <w:fldChar w:fldCharType="end"/>
        </w:r>
      </w:hyperlink>
    </w:p>
    <w:p w14:paraId="50E331C7" w14:textId="66B9ECB6" w:rsidR="003F2050" w:rsidRPr="00C95105" w:rsidRDefault="004E2360" w:rsidP="003F2050">
      <w:pPr>
        <w:pStyle w:val="TableofFigures"/>
        <w:tabs>
          <w:tab w:val="right" w:leader="dot" w:pos="9016"/>
        </w:tabs>
        <w:rPr>
          <w:rFonts w:eastAsiaTheme="minorEastAsia"/>
          <w:caps w:val="0"/>
          <w:noProof/>
          <w:sz w:val="22"/>
          <w:szCs w:val="22"/>
        </w:rPr>
      </w:pPr>
      <w:hyperlink w:anchor="_Toc96878429" w:history="1">
        <w:r w:rsidR="003F2050" w:rsidRPr="00C95105">
          <w:rPr>
            <w:rStyle w:val="Hyperlink"/>
            <w:b/>
            <w:bCs/>
            <w:i/>
            <w:iCs/>
            <w:caps w:val="0"/>
            <w:noProof/>
            <w:sz w:val="22"/>
            <w:szCs w:val="22"/>
          </w:rPr>
          <w:t xml:space="preserve">Figure 6.1. </w:t>
        </w:r>
        <w:r w:rsidR="003F2050" w:rsidRPr="00C95105">
          <w:rPr>
            <w:rStyle w:val="Hyperlink"/>
            <w:i/>
            <w:iCs/>
            <w:caps w:val="0"/>
            <w:noProof/>
            <w:sz w:val="22"/>
            <w:szCs w:val="22"/>
          </w:rPr>
          <w:t>Prisma flow diagram summarising literature search and inclusion for the targets and quotas review</w:t>
        </w:r>
        <w:r w:rsidR="003F2050" w:rsidRPr="00C95105">
          <w:rPr>
            <w:caps w:val="0"/>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_Toc96878429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94</w:t>
        </w:r>
        <w:r w:rsidR="003F2050" w:rsidRPr="00C95105">
          <w:rPr>
            <w:noProof/>
            <w:webHidden/>
            <w:sz w:val="22"/>
            <w:szCs w:val="22"/>
          </w:rPr>
          <w:fldChar w:fldCharType="end"/>
        </w:r>
      </w:hyperlink>
    </w:p>
    <w:p w14:paraId="36F96CEB" w14:textId="77777777" w:rsidR="003F2050" w:rsidRPr="00C95105" w:rsidRDefault="003F2050" w:rsidP="003F2050">
      <w:pPr>
        <w:rPr>
          <w:rFonts w:asciiTheme="minorHAnsi" w:hAnsiTheme="minorHAnsi" w:cstheme="minorHAnsi"/>
        </w:rPr>
      </w:pPr>
      <w:r w:rsidRPr="00C95105">
        <w:rPr>
          <w:rFonts w:asciiTheme="minorHAnsi" w:hAnsiTheme="minorHAnsi" w:cstheme="minorHAnsi"/>
        </w:rPr>
        <w:fldChar w:fldCharType="end"/>
      </w:r>
    </w:p>
    <w:p w14:paraId="19D4541B" w14:textId="77777777" w:rsidR="003F2050" w:rsidRPr="00C95105" w:rsidRDefault="003F2050" w:rsidP="003F2050">
      <w:pPr>
        <w:pStyle w:val="TOCHeading"/>
        <w:rPr>
          <w:rFonts w:asciiTheme="minorHAnsi" w:hAnsiTheme="minorHAnsi" w:cstheme="minorHAnsi"/>
          <w:lang w:val="en-AU"/>
        </w:rPr>
      </w:pPr>
      <w:r w:rsidRPr="00C95105">
        <w:rPr>
          <w:rFonts w:asciiTheme="minorHAnsi" w:hAnsiTheme="minorHAnsi" w:cstheme="minorHAnsi"/>
          <w:lang w:val="en-AU"/>
        </w:rPr>
        <w:t xml:space="preserve">List of Tables </w:t>
      </w:r>
    </w:p>
    <w:p w14:paraId="01AB5665" w14:textId="77777777" w:rsidR="003F2050" w:rsidRPr="00C95105" w:rsidRDefault="003F2050" w:rsidP="003F2050">
      <w:pPr>
        <w:rPr>
          <w:rFonts w:asciiTheme="minorHAnsi" w:hAnsiTheme="minorHAnsi" w:cstheme="minorHAnsi"/>
        </w:rPr>
      </w:pPr>
    </w:p>
    <w:p w14:paraId="251E1837" w14:textId="24DA5599" w:rsidR="003F2050" w:rsidRPr="00C95105" w:rsidRDefault="003F2050" w:rsidP="003F2050">
      <w:pPr>
        <w:pStyle w:val="TableofFigures"/>
        <w:tabs>
          <w:tab w:val="right" w:leader="dot" w:pos="9016"/>
        </w:tabs>
        <w:rPr>
          <w:rFonts w:eastAsiaTheme="minorEastAsia"/>
          <w:caps w:val="0"/>
          <w:noProof/>
          <w:sz w:val="22"/>
          <w:szCs w:val="22"/>
        </w:rPr>
      </w:pPr>
      <w:r w:rsidRPr="00C95105">
        <w:rPr>
          <w:sz w:val="22"/>
          <w:szCs w:val="22"/>
        </w:rPr>
        <w:fldChar w:fldCharType="begin"/>
      </w:r>
      <w:r w:rsidRPr="00C95105">
        <w:rPr>
          <w:sz w:val="22"/>
          <w:szCs w:val="22"/>
        </w:rPr>
        <w:instrText xml:space="preserve"> TOC \h \z \t "Table Paragraph" \c </w:instrText>
      </w:r>
      <w:r w:rsidRPr="00C95105">
        <w:rPr>
          <w:sz w:val="22"/>
          <w:szCs w:val="22"/>
        </w:rPr>
        <w:fldChar w:fldCharType="separate"/>
      </w:r>
      <w:hyperlink w:anchor="_Toc96878635" w:history="1">
        <w:r w:rsidRPr="00C95105">
          <w:rPr>
            <w:rStyle w:val="Hyperlink"/>
            <w:b/>
            <w:bCs/>
            <w:caps w:val="0"/>
            <w:noProof/>
            <w:sz w:val="22"/>
            <w:szCs w:val="22"/>
          </w:rPr>
          <w:t>Table 2.1.</w:t>
        </w:r>
        <w:r w:rsidRPr="00C95105">
          <w:rPr>
            <w:rStyle w:val="Hyperlink"/>
            <w:caps w:val="0"/>
            <w:noProof/>
            <w:sz w:val="22"/>
            <w:szCs w:val="22"/>
          </w:rPr>
          <w:t xml:space="preserve"> Full list of databases included in literature search</w:t>
        </w:r>
        <w:r w:rsidRPr="00C95105">
          <w:rPr>
            <w:noProof/>
            <w:webHidden/>
            <w:sz w:val="22"/>
            <w:szCs w:val="22"/>
          </w:rPr>
          <w:tab/>
        </w:r>
        <w:r w:rsidRPr="00C95105">
          <w:rPr>
            <w:noProof/>
            <w:webHidden/>
            <w:sz w:val="22"/>
            <w:szCs w:val="22"/>
          </w:rPr>
          <w:fldChar w:fldCharType="begin"/>
        </w:r>
        <w:r w:rsidRPr="00C95105">
          <w:rPr>
            <w:noProof/>
            <w:webHidden/>
            <w:sz w:val="22"/>
            <w:szCs w:val="22"/>
          </w:rPr>
          <w:instrText xml:space="preserve"> PAGEREF _Toc96878635 \h </w:instrText>
        </w:r>
        <w:r w:rsidRPr="00C95105">
          <w:rPr>
            <w:noProof/>
            <w:webHidden/>
            <w:sz w:val="22"/>
            <w:szCs w:val="22"/>
          </w:rPr>
        </w:r>
        <w:r w:rsidRPr="00C95105">
          <w:rPr>
            <w:noProof/>
            <w:webHidden/>
            <w:sz w:val="22"/>
            <w:szCs w:val="22"/>
          </w:rPr>
          <w:fldChar w:fldCharType="separate"/>
        </w:r>
        <w:r w:rsidR="005A6B1E">
          <w:rPr>
            <w:noProof/>
            <w:webHidden/>
            <w:sz w:val="22"/>
            <w:szCs w:val="22"/>
          </w:rPr>
          <w:t>20</w:t>
        </w:r>
        <w:r w:rsidRPr="00C95105">
          <w:rPr>
            <w:noProof/>
            <w:webHidden/>
            <w:sz w:val="22"/>
            <w:szCs w:val="22"/>
          </w:rPr>
          <w:fldChar w:fldCharType="end"/>
        </w:r>
      </w:hyperlink>
    </w:p>
    <w:p w14:paraId="0E93C051" w14:textId="58656E6B" w:rsidR="003F2050" w:rsidRPr="00C95105" w:rsidRDefault="004E2360" w:rsidP="003F2050">
      <w:pPr>
        <w:pStyle w:val="TableofFigures"/>
        <w:tabs>
          <w:tab w:val="right" w:leader="dot" w:pos="9016"/>
        </w:tabs>
        <w:rPr>
          <w:rFonts w:eastAsiaTheme="minorEastAsia"/>
          <w:caps w:val="0"/>
          <w:noProof/>
          <w:sz w:val="22"/>
          <w:szCs w:val="22"/>
        </w:rPr>
      </w:pPr>
      <w:hyperlink w:anchor="_Toc96878636" w:history="1">
        <w:r w:rsidR="003F2050" w:rsidRPr="00C95105">
          <w:rPr>
            <w:rStyle w:val="Hyperlink"/>
            <w:b/>
            <w:bCs/>
            <w:caps w:val="0"/>
            <w:noProof/>
            <w:sz w:val="22"/>
            <w:szCs w:val="22"/>
          </w:rPr>
          <w:t xml:space="preserve">Table 2.2. </w:t>
        </w:r>
        <w:r w:rsidR="003F2050" w:rsidRPr="00C95105">
          <w:rPr>
            <w:rStyle w:val="Hyperlink"/>
            <w:caps w:val="0"/>
            <w:noProof/>
            <w:sz w:val="22"/>
            <w:szCs w:val="22"/>
          </w:rPr>
          <w:t>Evidence of aap impact and recommendations to improve effectiveness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_Toc96878636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22</w:t>
        </w:r>
        <w:r w:rsidR="003F2050" w:rsidRPr="00C95105">
          <w:rPr>
            <w:noProof/>
            <w:webHidden/>
            <w:sz w:val="22"/>
            <w:szCs w:val="22"/>
          </w:rPr>
          <w:fldChar w:fldCharType="end"/>
        </w:r>
      </w:hyperlink>
    </w:p>
    <w:p w14:paraId="55458EBC" w14:textId="42C44879" w:rsidR="003F2050" w:rsidRPr="00C95105" w:rsidRDefault="004E2360" w:rsidP="003F2050">
      <w:pPr>
        <w:pStyle w:val="TableofFigures"/>
        <w:tabs>
          <w:tab w:val="right" w:leader="dot" w:pos="9016"/>
        </w:tabs>
        <w:rPr>
          <w:rFonts w:eastAsiaTheme="minorEastAsia"/>
          <w:caps w:val="0"/>
          <w:noProof/>
          <w:sz w:val="22"/>
          <w:szCs w:val="22"/>
        </w:rPr>
      </w:pPr>
      <w:hyperlink w:anchor="_Toc96878642" w:history="1">
        <w:r w:rsidR="003F2050" w:rsidRPr="00C95105">
          <w:rPr>
            <w:rStyle w:val="Hyperlink"/>
            <w:b/>
            <w:bCs/>
            <w:caps w:val="0"/>
            <w:noProof/>
            <w:sz w:val="22"/>
            <w:szCs w:val="22"/>
          </w:rPr>
          <w:t xml:space="preserve">Table 3.1. </w:t>
        </w:r>
        <w:r w:rsidR="003F2050" w:rsidRPr="00C95105">
          <w:rPr>
            <w:rStyle w:val="Hyperlink"/>
            <w:caps w:val="0"/>
            <w:noProof/>
            <w:sz w:val="22"/>
            <w:szCs w:val="22"/>
          </w:rPr>
          <w:t>Inclusion criteria for reviewed papers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_Toc96878642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34</w:t>
        </w:r>
        <w:r w:rsidR="003F2050" w:rsidRPr="00C95105">
          <w:rPr>
            <w:noProof/>
            <w:webHidden/>
            <w:sz w:val="22"/>
            <w:szCs w:val="22"/>
          </w:rPr>
          <w:fldChar w:fldCharType="end"/>
        </w:r>
      </w:hyperlink>
    </w:p>
    <w:p w14:paraId="68819BAF" w14:textId="03660086" w:rsidR="003F2050" w:rsidRPr="00C95105" w:rsidRDefault="004E2360" w:rsidP="003F2050">
      <w:pPr>
        <w:pStyle w:val="TableofFigures"/>
        <w:tabs>
          <w:tab w:val="right" w:leader="dot" w:pos="9016"/>
        </w:tabs>
        <w:rPr>
          <w:rFonts w:eastAsiaTheme="minorEastAsia"/>
          <w:caps w:val="0"/>
          <w:noProof/>
          <w:sz w:val="22"/>
          <w:szCs w:val="22"/>
        </w:rPr>
      </w:pPr>
      <w:hyperlink w:anchor="_Toc96878643" w:history="1">
        <w:r w:rsidR="003F2050" w:rsidRPr="00C95105">
          <w:rPr>
            <w:rStyle w:val="Hyperlink"/>
            <w:b/>
            <w:bCs/>
            <w:caps w:val="0"/>
            <w:noProof/>
            <w:sz w:val="22"/>
            <w:szCs w:val="22"/>
          </w:rPr>
          <w:t xml:space="preserve">Table 3.2. </w:t>
        </w:r>
        <w:r w:rsidR="003F2050" w:rsidRPr="00C95105">
          <w:rPr>
            <w:rStyle w:val="Hyperlink"/>
            <w:caps w:val="0"/>
            <w:noProof/>
            <w:sz w:val="22"/>
            <w:szCs w:val="22"/>
          </w:rPr>
          <w:t>Summary of references retained for data extraction </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_Toc96878643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35</w:t>
        </w:r>
        <w:r w:rsidR="003F2050" w:rsidRPr="00C95105">
          <w:rPr>
            <w:noProof/>
            <w:webHidden/>
            <w:sz w:val="22"/>
            <w:szCs w:val="22"/>
          </w:rPr>
          <w:fldChar w:fldCharType="end"/>
        </w:r>
      </w:hyperlink>
    </w:p>
    <w:p w14:paraId="4F3E7D29" w14:textId="3B0105A7" w:rsidR="003F2050" w:rsidRPr="00C95105" w:rsidRDefault="004E2360" w:rsidP="003F2050">
      <w:pPr>
        <w:pStyle w:val="TableofFigures"/>
        <w:tabs>
          <w:tab w:val="right" w:leader="dot" w:pos="9016"/>
        </w:tabs>
        <w:rPr>
          <w:rFonts w:eastAsiaTheme="minorEastAsia"/>
          <w:caps w:val="0"/>
          <w:noProof/>
          <w:sz w:val="22"/>
          <w:szCs w:val="22"/>
        </w:rPr>
      </w:pPr>
      <w:hyperlink w:anchor="_Toc96878644" w:history="1">
        <w:r w:rsidR="003F2050" w:rsidRPr="00C95105">
          <w:rPr>
            <w:rStyle w:val="Hyperlink"/>
            <w:b/>
            <w:bCs/>
            <w:caps w:val="0"/>
            <w:noProof/>
            <w:sz w:val="22"/>
            <w:szCs w:val="22"/>
          </w:rPr>
          <w:t xml:space="preserve">Table 3.3. </w:t>
        </w:r>
        <w:r w:rsidR="003F2050" w:rsidRPr="00C95105">
          <w:rPr>
            <w:rStyle w:val="Hyperlink"/>
            <w:caps w:val="0"/>
            <w:noProof/>
            <w:sz w:val="22"/>
            <w:szCs w:val="22"/>
          </w:rPr>
          <w:t>Individual-level factors impacting men’s uptake of parental/paternity leave</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_Toc96878644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36</w:t>
        </w:r>
        <w:r w:rsidR="003F2050" w:rsidRPr="00C95105">
          <w:rPr>
            <w:noProof/>
            <w:webHidden/>
            <w:sz w:val="22"/>
            <w:szCs w:val="22"/>
          </w:rPr>
          <w:fldChar w:fldCharType="end"/>
        </w:r>
      </w:hyperlink>
    </w:p>
    <w:p w14:paraId="2B548003" w14:textId="22522F38" w:rsidR="003F2050" w:rsidRPr="00C95105" w:rsidRDefault="004E2360" w:rsidP="003F2050">
      <w:pPr>
        <w:pStyle w:val="TableofFigures"/>
        <w:tabs>
          <w:tab w:val="right" w:leader="dot" w:pos="9016"/>
        </w:tabs>
        <w:rPr>
          <w:rFonts w:eastAsiaTheme="minorEastAsia"/>
          <w:caps w:val="0"/>
          <w:noProof/>
          <w:sz w:val="22"/>
          <w:szCs w:val="22"/>
        </w:rPr>
      </w:pPr>
      <w:hyperlink w:anchor="_Toc96878645" w:history="1">
        <w:r w:rsidR="003F2050" w:rsidRPr="00C95105">
          <w:rPr>
            <w:rStyle w:val="Hyperlink"/>
            <w:b/>
            <w:bCs/>
            <w:caps w:val="0"/>
            <w:noProof/>
            <w:sz w:val="22"/>
            <w:szCs w:val="22"/>
          </w:rPr>
          <w:t xml:space="preserve">Table 3.4. </w:t>
        </w:r>
        <w:r w:rsidR="003F2050" w:rsidRPr="00C95105">
          <w:rPr>
            <w:rStyle w:val="Hyperlink"/>
            <w:caps w:val="0"/>
            <w:noProof/>
            <w:sz w:val="22"/>
            <w:szCs w:val="22"/>
          </w:rPr>
          <w:t>Organisational-level factors impacting men’s uptake of parental/paternity leave</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_Toc96878645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37</w:t>
        </w:r>
        <w:r w:rsidR="003F2050" w:rsidRPr="00C95105">
          <w:rPr>
            <w:noProof/>
            <w:webHidden/>
            <w:sz w:val="22"/>
            <w:szCs w:val="22"/>
          </w:rPr>
          <w:fldChar w:fldCharType="end"/>
        </w:r>
      </w:hyperlink>
    </w:p>
    <w:p w14:paraId="63BFBF11" w14:textId="5FEFBF0A" w:rsidR="003F2050" w:rsidRPr="00C95105" w:rsidRDefault="004E2360" w:rsidP="003F2050">
      <w:pPr>
        <w:pStyle w:val="TableofFigures"/>
        <w:tabs>
          <w:tab w:val="right" w:leader="dot" w:pos="9016"/>
        </w:tabs>
        <w:rPr>
          <w:rFonts w:eastAsiaTheme="minorEastAsia"/>
          <w:caps w:val="0"/>
          <w:noProof/>
          <w:sz w:val="22"/>
          <w:szCs w:val="22"/>
        </w:rPr>
      </w:pPr>
      <w:hyperlink w:anchor="_Toc96878646" w:history="1">
        <w:r w:rsidR="003F2050" w:rsidRPr="00C95105">
          <w:rPr>
            <w:rStyle w:val="Hyperlink"/>
            <w:b/>
            <w:bCs/>
            <w:caps w:val="0"/>
            <w:noProof/>
            <w:sz w:val="22"/>
            <w:szCs w:val="22"/>
          </w:rPr>
          <w:t xml:space="preserve">Table 3.5. </w:t>
        </w:r>
        <w:r w:rsidR="003F2050" w:rsidRPr="00C95105">
          <w:rPr>
            <w:rStyle w:val="Hyperlink"/>
            <w:caps w:val="0"/>
            <w:noProof/>
            <w:sz w:val="22"/>
            <w:szCs w:val="22"/>
          </w:rPr>
          <w:t>Societal-level factors impacting men’s uptake of parental/paternity leave</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_Toc96878646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38</w:t>
        </w:r>
        <w:r w:rsidR="003F2050" w:rsidRPr="00C95105">
          <w:rPr>
            <w:noProof/>
            <w:webHidden/>
            <w:sz w:val="22"/>
            <w:szCs w:val="22"/>
          </w:rPr>
          <w:fldChar w:fldCharType="end"/>
        </w:r>
      </w:hyperlink>
    </w:p>
    <w:p w14:paraId="4E11D00F" w14:textId="32796E40" w:rsidR="003F2050" w:rsidRPr="00C95105" w:rsidRDefault="004E2360" w:rsidP="003F2050">
      <w:pPr>
        <w:pStyle w:val="TableofFigures"/>
        <w:tabs>
          <w:tab w:val="right" w:leader="dot" w:pos="9016"/>
        </w:tabs>
        <w:rPr>
          <w:rFonts w:eastAsiaTheme="minorEastAsia"/>
          <w:caps w:val="0"/>
          <w:noProof/>
          <w:sz w:val="22"/>
          <w:szCs w:val="22"/>
        </w:rPr>
      </w:pPr>
      <w:hyperlink w:anchor="_Toc96878647" w:history="1">
        <w:r w:rsidR="003F2050" w:rsidRPr="00C95105">
          <w:rPr>
            <w:rStyle w:val="Hyperlink"/>
            <w:b/>
            <w:bCs/>
            <w:caps w:val="0"/>
            <w:noProof/>
            <w:sz w:val="22"/>
            <w:szCs w:val="22"/>
          </w:rPr>
          <w:t xml:space="preserve">Table 4.1. </w:t>
        </w:r>
        <w:r w:rsidR="003F2050" w:rsidRPr="00C95105">
          <w:rPr>
            <w:rStyle w:val="Hyperlink"/>
            <w:caps w:val="0"/>
            <w:noProof/>
            <w:sz w:val="22"/>
            <w:szCs w:val="22"/>
          </w:rPr>
          <w:t>Evidence of structural factors influencing sexual harassment in the public sector</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_Toc96878647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52</w:t>
        </w:r>
        <w:r w:rsidR="003F2050" w:rsidRPr="00C95105">
          <w:rPr>
            <w:noProof/>
            <w:webHidden/>
            <w:sz w:val="22"/>
            <w:szCs w:val="22"/>
          </w:rPr>
          <w:fldChar w:fldCharType="end"/>
        </w:r>
      </w:hyperlink>
    </w:p>
    <w:p w14:paraId="1C67A3F9" w14:textId="1F02DAD6" w:rsidR="003F2050" w:rsidRPr="00C95105" w:rsidRDefault="004E2360" w:rsidP="003F2050">
      <w:pPr>
        <w:pStyle w:val="TableofFigures"/>
        <w:tabs>
          <w:tab w:val="right" w:leader="dot" w:pos="9016"/>
        </w:tabs>
        <w:rPr>
          <w:rFonts w:eastAsiaTheme="minorEastAsia"/>
          <w:caps w:val="0"/>
          <w:noProof/>
          <w:sz w:val="22"/>
          <w:szCs w:val="22"/>
        </w:rPr>
      </w:pPr>
      <w:hyperlink w:anchor="_Toc96878648" w:history="1">
        <w:r w:rsidR="003F2050" w:rsidRPr="00C95105">
          <w:rPr>
            <w:rStyle w:val="Hyperlink"/>
            <w:b/>
            <w:bCs/>
            <w:caps w:val="0"/>
            <w:noProof/>
            <w:sz w:val="22"/>
            <w:szCs w:val="22"/>
          </w:rPr>
          <w:t xml:space="preserve">Table 4.2. </w:t>
        </w:r>
        <w:r w:rsidR="003F2050" w:rsidRPr="00C95105">
          <w:rPr>
            <w:rStyle w:val="Hyperlink"/>
            <w:caps w:val="0"/>
            <w:noProof/>
            <w:sz w:val="22"/>
            <w:szCs w:val="22"/>
          </w:rPr>
          <w:t>Evidence of social factors influencing sexual harassment in the public sector</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_Toc96878648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55</w:t>
        </w:r>
        <w:r w:rsidR="003F2050" w:rsidRPr="00C95105">
          <w:rPr>
            <w:noProof/>
            <w:webHidden/>
            <w:sz w:val="22"/>
            <w:szCs w:val="22"/>
          </w:rPr>
          <w:fldChar w:fldCharType="end"/>
        </w:r>
      </w:hyperlink>
    </w:p>
    <w:p w14:paraId="4F0A36BC" w14:textId="5E41BB33" w:rsidR="003F2050" w:rsidRPr="00C95105" w:rsidRDefault="004E2360" w:rsidP="003F2050">
      <w:pPr>
        <w:pStyle w:val="TableofFigures"/>
        <w:tabs>
          <w:tab w:val="right" w:leader="dot" w:pos="9016"/>
        </w:tabs>
        <w:rPr>
          <w:rFonts w:eastAsiaTheme="minorEastAsia"/>
          <w:caps w:val="0"/>
          <w:noProof/>
          <w:sz w:val="22"/>
          <w:szCs w:val="22"/>
        </w:rPr>
      </w:pPr>
      <w:hyperlink w:anchor="_Toc96878649" w:history="1">
        <w:r w:rsidR="003F2050" w:rsidRPr="00C95105">
          <w:rPr>
            <w:rStyle w:val="Hyperlink"/>
            <w:b/>
            <w:bCs/>
            <w:caps w:val="0"/>
            <w:noProof/>
            <w:sz w:val="22"/>
            <w:szCs w:val="22"/>
          </w:rPr>
          <w:t xml:space="preserve">Table 5.1. </w:t>
        </w:r>
        <w:r w:rsidR="003F2050" w:rsidRPr="00C95105">
          <w:rPr>
            <w:rStyle w:val="Hyperlink"/>
            <w:caps w:val="0"/>
            <w:noProof/>
            <w:sz w:val="22"/>
            <w:szCs w:val="22"/>
          </w:rPr>
          <w:t>Inclusion criteria for reviewed papers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_Toc96878649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75</w:t>
        </w:r>
        <w:r w:rsidR="003F2050" w:rsidRPr="00C95105">
          <w:rPr>
            <w:noProof/>
            <w:webHidden/>
            <w:sz w:val="22"/>
            <w:szCs w:val="22"/>
          </w:rPr>
          <w:fldChar w:fldCharType="end"/>
        </w:r>
      </w:hyperlink>
    </w:p>
    <w:p w14:paraId="55E2BBBD" w14:textId="6988256E" w:rsidR="003F2050" w:rsidRPr="00C95105" w:rsidRDefault="004E2360" w:rsidP="003F2050">
      <w:pPr>
        <w:pStyle w:val="TableofFigures"/>
        <w:tabs>
          <w:tab w:val="right" w:leader="dot" w:pos="9016"/>
        </w:tabs>
        <w:rPr>
          <w:rFonts w:eastAsiaTheme="minorEastAsia"/>
          <w:caps w:val="0"/>
          <w:noProof/>
          <w:sz w:val="22"/>
          <w:szCs w:val="22"/>
        </w:rPr>
      </w:pPr>
      <w:hyperlink w:anchor="_Toc96878650" w:history="1">
        <w:r w:rsidR="003F2050" w:rsidRPr="00C95105">
          <w:rPr>
            <w:rStyle w:val="Hyperlink"/>
            <w:b/>
            <w:bCs/>
            <w:caps w:val="0"/>
            <w:noProof/>
            <w:sz w:val="22"/>
            <w:szCs w:val="22"/>
          </w:rPr>
          <w:t xml:space="preserve">Table 5.2. </w:t>
        </w:r>
        <w:r w:rsidR="003F2050" w:rsidRPr="00C95105">
          <w:rPr>
            <w:rStyle w:val="Hyperlink"/>
            <w:caps w:val="0"/>
            <w:noProof/>
            <w:sz w:val="22"/>
            <w:szCs w:val="22"/>
          </w:rPr>
          <w:t>Summary of search results and eligible studies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_Toc96878650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76</w:t>
        </w:r>
        <w:r w:rsidR="003F2050" w:rsidRPr="00C95105">
          <w:rPr>
            <w:noProof/>
            <w:webHidden/>
            <w:sz w:val="22"/>
            <w:szCs w:val="22"/>
          </w:rPr>
          <w:fldChar w:fldCharType="end"/>
        </w:r>
      </w:hyperlink>
    </w:p>
    <w:p w14:paraId="76491BA5" w14:textId="2E1E828D" w:rsidR="003F2050" w:rsidRPr="00C95105" w:rsidRDefault="004E2360" w:rsidP="003F2050">
      <w:pPr>
        <w:pStyle w:val="TableofFigures"/>
        <w:tabs>
          <w:tab w:val="right" w:leader="dot" w:pos="9016"/>
        </w:tabs>
        <w:rPr>
          <w:rFonts w:eastAsiaTheme="minorEastAsia"/>
          <w:caps w:val="0"/>
          <w:noProof/>
          <w:sz w:val="22"/>
          <w:szCs w:val="22"/>
        </w:rPr>
      </w:pPr>
      <w:hyperlink w:anchor="_Toc96878651" w:history="1">
        <w:r w:rsidR="003F2050" w:rsidRPr="00C95105">
          <w:rPr>
            <w:rStyle w:val="Hyperlink"/>
            <w:b/>
            <w:bCs/>
            <w:caps w:val="0"/>
            <w:noProof/>
            <w:sz w:val="22"/>
            <w:szCs w:val="22"/>
          </w:rPr>
          <w:t xml:space="preserve">Table 5.3. </w:t>
        </w:r>
        <w:r w:rsidR="003F2050" w:rsidRPr="00C95105">
          <w:rPr>
            <w:rStyle w:val="Hyperlink"/>
            <w:caps w:val="0"/>
            <w:noProof/>
            <w:sz w:val="22"/>
            <w:szCs w:val="22"/>
          </w:rPr>
          <w:t>Pay audit findings and recommendations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_Toc96878651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77</w:t>
        </w:r>
        <w:r w:rsidR="003F2050" w:rsidRPr="00C95105">
          <w:rPr>
            <w:noProof/>
            <w:webHidden/>
            <w:sz w:val="22"/>
            <w:szCs w:val="22"/>
          </w:rPr>
          <w:fldChar w:fldCharType="end"/>
        </w:r>
      </w:hyperlink>
    </w:p>
    <w:p w14:paraId="6DB68EE9" w14:textId="100065E7" w:rsidR="003F2050" w:rsidRPr="00C95105" w:rsidRDefault="004E2360" w:rsidP="003F2050">
      <w:pPr>
        <w:pStyle w:val="TableofFigures"/>
        <w:tabs>
          <w:tab w:val="right" w:leader="dot" w:pos="9016"/>
        </w:tabs>
        <w:rPr>
          <w:rFonts w:eastAsiaTheme="minorEastAsia"/>
          <w:caps w:val="0"/>
          <w:noProof/>
          <w:sz w:val="22"/>
          <w:szCs w:val="22"/>
        </w:rPr>
      </w:pPr>
      <w:hyperlink w:anchor="_Toc96878652" w:history="1">
        <w:r w:rsidR="003F2050" w:rsidRPr="00C95105">
          <w:rPr>
            <w:rStyle w:val="Hyperlink"/>
            <w:b/>
            <w:bCs/>
            <w:caps w:val="0"/>
            <w:noProof/>
            <w:sz w:val="22"/>
            <w:szCs w:val="22"/>
          </w:rPr>
          <w:t xml:space="preserve">Table 5.4. </w:t>
        </w:r>
        <w:r w:rsidR="003F2050" w:rsidRPr="00C95105">
          <w:rPr>
            <w:rStyle w:val="Hyperlink"/>
            <w:caps w:val="0"/>
            <w:noProof/>
            <w:sz w:val="22"/>
            <w:szCs w:val="22"/>
          </w:rPr>
          <w:t>Job evaluation findings and recommendations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_Toc96878652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79</w:t>
        </w:r>
        <w:r w:rsidR="003F2050" w:rsidRPr="00C95105">
          <w:rPr>
            <w:noProof/>
            <w:webHidden/>
            <w:sz w:val="22"/>
            <w:szCs w:val="22"/>
          </w:rPr>
          <w:fldChar w:fldCharType="end"/>
        </w:r>
      </w:hyperlink>
    </w:p>
    <w:p w14:paraId="0F957829" w14:textId="22914F8C" w:rsidR="003F2050" w:rsidRPr="00C95105" w:rsidRDefault="004E2360" w:rsidP="003F2050">
      <w:pPr>
        <w:pStyle w:val="TableofFigures"/>
        <w:tabs>
          <w:tab w:val="right" w:leader="dot" w:pos="9016"/>
        </w:tabs>
        <w:rPr>
          <w:rFonts w:eastAsiaTheme="minorEastAsia"/>
          <w:caps w:val="0"/>
          <w:noProof/>
          <w:sz w:val="22"/>
          <w:szCs w:val="22"/>
        </w:rPr>
      </w:pPr>
      <w:hyperlink w:anchor="_Toc96878653" w:history="1">
        <w:r w:rsidR="003F2050" w:rsidRPr="00C95105">
          <w:rPr>
            <w:rStyle w:val="Hyperlink"/>
            <w:b/>
            <w:bCs/>
            <w:caps w:val="0"/>
            <w:noProof/>
            <w:sz w:val="22"/>
            <w:szCs w:val="22"/>
          </w:rPr>
          <w:t xml:space="preserve">Table 5.5. </w:t>
        </w:r>
        <w:r w:rsidR="003F2050" w:rsidRPr="00C95105">
          <w:rPr>
            <w:rStyle w:val="Hyperlink"/>
            <w:caps w:val="0"/>
            <w:noProof/>
            <w:sz w:val="22"/>
            <w:szCs w:val="22"/>
          </w:rPr>
          <w:t>Pay transparency findings and recommendations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_Toc96878653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81</w:t>
        </w:r>
        <w:r w:rsidR="003F2050" w:rsidRPr="00C95105">
          <w:rPr>
            <w:noProof/>
            <w:webHidden/>
            <w:sz w:val="22"/>
            <w:szCs w:val="22"/>
          </w:rPr>
          <w:fldChar w:fldCharType="end"/>
        </w:r>
      </w:hyperlink>
    </w:p>
    <w:p w14:paraId="742F6594" w14:textId="2D992BAD" w:rsidR="003F2050" w:rsidRPr="00C95105" w:rsidRDefault="004E2360" w:rsidP="003F2050">
      <w:pPr>
        <w:pStyle w:val="TableofFigures"/>
        <w:tabs>
          <w:tab w:val="right" w:leader="dot" w:pos="9016"/>
        </w:tabs>
        <w:rPr>
          <w:rFonts w:eastAsiaTheme="minorEastAsia"/>
          <w:caps w:val="0"/>
          <w:noProof/>
          <w:sz w:val="22"/>
          <w:szCs w:val="22"/>
        </w:rPr>
      </w:pPr>
      <w:hyperlink w:anchor="_Toc96878654" w:history="1">
        <w:r w:rsidR="003F2050" w:rsidRPr="00C95105">
          <w:rPr>
            <w:rStyle w:val="Hyperlink"/>
            <w:b/>
            <w:bCs/>
            <w:caps w:val="0"/>
            <w:noProof/>
            <w:sz w:val="22"/>
            <w:szCs w:val="22"/>
          </w:rPr>
          <w:t xml:space="preserve">Table 5.6. </w:t>
        </w:r>
        <w:r w:rsidR="003F2050" w:rsidRPr="00C95105">
          <w:rPr>
            <w:rStyle w:val="Hyperlink"/>
            <w:caps w:val="0"/>
            <w:noProof/>
            <w:sz w:val="22"/>
            <w:szCs w:val="22"/>
          </w:rPr>
          <w:t>Roadmap for action on information-based strategies for pay equity</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_Toc96878654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83</w:t>
        </w:r>
        <w:r w:rsidR="003F2050" w:rsidRPr="00C95105">
          <w:rPr>
            <w:noProof/>
            <w:webHidden/>
            <w:sz w:val="22"/>
            <w:szCs w:val="22"/>
          </w:rPr>
          <w:fldChar w:fldCharType="end"/>
        </w:r>
      </w:hyperlink>
    </w:p>
    <w:p w14:paraId="5958D0CE" w14:textId="19366459" w:rsidR="003F2050" w:rsidRPr="00C95105" w:rsidRDefault="004E2360" w:rsidP="003F2050">
      <w:pPr>
        <w:pStyle w:val="TableofFigures"/>
        <w:tabs>
          <w:tab w:val="right" w:leader="dot" w:pos="9016"/>
        </w:tabs>
        <w:rPr>
          <w:rFonts w:eastAsiaTheme="minorEastAsia"/>
          <w:caps w:val="0"/>
          <w:noProof/>
          <w:sz w:val="22"/>
          <w:szCs w:val="22"/>
        </w:rPr>
      </w:pPr>
      <w:hyperlink w:anchor="_Toc96878655" w:history="1">
        <w:r w:rsidR="003F2050" w:rsidRPr="00C95105">
          <w:rPr>
            <w:rStyle w:val="Hyperlink"/>
            <w:b/>
            <w:bCs/>
            <w:caps w:val="0"/>
            <w:noProof/>
            <w:sz w:val="22"/>
            <w:szCs w:val="22"/>
          </w:rPr>
          <w:t xml:space="preserve">Table 6.1. </w:t>
        </w:r>
        <w:r w:rsidR="003F2050" w:rsidRPr="00C95105">
          <w:rPr>
            <w:rStyle w:val="Hyperlink"/>
            <w:caps w:val="0"/>
            <w:noProof/>
            <w:sz w:val="22"/>
            <w:szCs w:val="22"/>
          </w:rPr>
          <w:t>Inclusion criteria for reviewed papers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_Toc96878655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92</w:t>
        </w:r>
        <w:r w:rsidR="003F2050" w:rsidRPr="00C95105">
          <w:rPr>
            <w:noProof/>
            <w:webHidden/>
            <w:sz w:val="22"/>
            <w:szCs w:val="22"/>
          </w:rPr>
          <w:fldChar w:fldCharType="end"/>
        </w:r>
      </w:hyperlink>
    </w:p>
    <w:p w14:paraId="3F4F5A5C" w14:textId="11453BC4" w:rsidR="003F2050" w:rsidRPr="00C95105" w:rsidRDefault="004E2360" w:rsidP="003F2050">
      <w:pPr>
        <w:pStyle w:val="TableofFigures"/>
        <w:tabs>
          <w:tab w:val="right" w:leader="dot" w:pos="9016"/>
        </w:tabs>
        <w:rPr>
          <w:rFonts w:eastAsiaTheme="minorEastAsia"/>
          <w:caps w:val="0"/>
          <w:noProof/>
          <w:sz w:val="22"/>
          <w:szCs w:val="22"/>
        </w:rPr>
      </w:pPr>
      <w:hyperlink w:anchor="_Toc96878656" w:history="1">
        <w:r w:rsidR="003F2050" w:rsidRPr="00C95105">
          <w:rPr>
            <w:rStyle w:val="Hyperlink"/>
            <w:b/>
            <w:bCs/>
            <w:caps w:val="0"/>
            <w:noProof/>
            <w:sz w:val="22"/>
            <w:szCs w:val="22"/>
          </w:rPr>
          <w:t xml:space="preserve">Table 6.2. </w:t>
        </w:r>
        <w:r w:rsidR="003F2050" w:rsidRPr="00C95105">
          <w:rPr>
            <w:rStyle w:val="Hyperlink"/>
            <w:caps w:val="0"/>
            <w:noProof/>
            <w:sz w:val="22"/>
            <w:szCs w:val="22"/>
          </w:rPr>
          <w:t>Full list of databases included in literature search</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_Toc96878656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92</w:t>
        </w:r>
        <w:r w:rsidR="003F2050" w:rsidRPr="00C95105">
          <w:rPr>
            <w:noProof/>
            <w:webHidden/>
            <w:sz w:val="22"/>
            <w:szCs w:val="22"/>
          </w:rPr>
          <w:fldChar w:fldCharType="end"/>
        </w:r>
      </w:hyperlink>
    </w:p>
    <w:p w14:paraId="624A47FF" w14:textId="26EABD3D" w:rsidR="003F2050" w:rsidRPr="00C95105" w:rsidRDefault="004E2360" w:rsidP="003F2050">
      <w:pPr>
        <w:pStyle w:val="TableofFigures"/>
        <w:tabs>
          <w:tab w:val="right" w:leader="dot" w:pos="9016"/>
        </w:tabs>
        <w:rPr>
          <w:rFonts w:eastAsiaTheme="minorEastAsia"/>
          <w:caps w:val="0"/>
          <w:noProof/>
          <w:sz w:val="22"/>
          <w:szCs w:val="22"/>
        </w:rPr>
      </w:pPr>
      <w:hyperlink w:anchor="_Toc96878657" w:history="1">
        <w:r w:rsidR="003F2050" w:rsidRPr="00C95105">
          <w:rPr>
            <w:rStyle w:val="Hyperlink"/>
            <w:b/>
            <w:bCs/>
            <w:caps w:val="0"/>
            <w:noProof/>
            <w:sz w:val="22"/>
            <w:szCs w:val="22"/>
          </w:rPr>
          <w:t xml:space="preserve">Table 6.3. </w:t>
        </w:r>
        <w:r w:rsidR="003F2050" w:rsidRPr="00C95105">
          <w:rPr>
            <w:rStyle w:val="Hyperlink"/>
            <w:caps w:val="0"/>
            <w:noProof/>
            <w:sz w:val="22"/>
            <w:szCs w:val="22"/>
          </w:rPr>
          <w:t>Summary of references retained for data extraction</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_Toc96878657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94</w:t>
        </w:r>
        <w:r w:rsidR="003F2050" w:rsidRPr="00C95105">
          <w:rPr>
            <w:noProof/>
            <w:webHidden/>
            <w:sz w:val="22"/>
            <w:szCs w:val="22"/>
          </w:rPr>
          <w:fldChar w:fldCharType="end"/>
        </w:r>
      </w:hyperlink>
    </w:p>
    <w:p w14:paraId="56B8F3E7" w14:textId="4008E293" w:rsidR="003F2050" w:rsidRPr="00C95105" w:rsidRDefault="004E2360" w:rsidP="003F2050">
      <w:pPr>
        <w:pStyle w:val="TableofFigures"/>
        <w:tabs>
          <w:tab w:val="right" w:leader="dot" w:pos="9016"/>
        </w:tabs>
        <w:rPr>
          <w:rFonts w:eastAsiaTheme="minorEastAsia"/>
          <w:caps w:val="0"/>
          <w:noProof/>
          <w:sz w:val="22"/>
          <w:szCs w:val="22"/>
        </w:rPr>
      </w:pPr>
      <w:hyperlink w:anchor="_Toc96878658" w:history="1">
        <w:r w:rsidR="003F2050" w:rsidRPr="00C95105">
          <w:rPr>
            <w:rStyle w:val="Hyperlink"/>
            <w:b/>
            <w:bCs/>
            <w:caps w:val="0"/>
            <w:noProof/>
            <w:sz w:val="22"/>
            <w:szCs w:val="22"/>
          </w:rPr>
          <w:t>Table 6.4.</w:t>
        </w:r>
        <w:r w:rsidR="003F2050" w:rsidRPr="00C95105">
          <w:rPr>
            <w:rStyle w:val="Hyperlink"/>
            <w:caps w:val="0"/>
            <w:noProof/>
            <w:sz w:val="22"/>
            <w:szCs w:val="22"/>
          </w:rPr>
          <w:t xml:space="preserve"> Evidence for effects of leadership targets and quotas on women’s influence</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_Toc96878658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95</w:t>
        </w:r>
        <w:r w:rsidR="003F2050" w:rsidRPr="00C95105">
          <w:rPr>
            <w:noProof/>
            <w:webHidden/>
            <w:sz w:val="22"/>
            <w:szCs w:val="22"/>
          </w:rPr>
          <w:fldChar w:fldCharType="end"/>
        </w:r>
      </w:hyperlink>
    </w:p>
    <w:p w14:paraId="1071BED6" w14:textId="498F5307" w:rsidR="003F2050" w:rsidRPr="00C95105" w:rsidRDefault="004E2360" w:rsidP="003F2050">
      <w:pPr>
        <w:pStyle w:val="TableofFigures"/>
        <w:tabs>
          <w:tab w:val="right" w:leader="dot" w:pos="9016"/>
        </w:tabs>
        <w:rPr>
          <w:rFonts w:eastAsiaTheme="minorEastAsia"/>
          <w:caps w:val="0"/>
          <w:noProof/>
          <w:sz w:val="22"/>
          <w:szCs w:val="22"/>
        </w:rPr>
      </w:pPr>
      <w:hyperlink w:anchor="_Toc96878659" w:history="1">
        <w:r w:rsidR="003F2050" w:rsidRPr="00C95105">
          <w:rPr>
            <w:rStyle w:val="Hyperlink"/>
            <w:b/>
            <w:bCs/>
            <w:caps w:val="0"/>
            <w:noProof/>
            <w:sz w:val="22"/>
            <w:szCs w:val="22"/>
          </w:rPr>
          <w:t xml:space="preserve">Table </w:t>
        </w:r>
        <w:r w:rsidR="003F2050" w:rsidRPr="00C95105">
          <w:rPr>
            <w:rStyle w:val="Hyperlink"/>
            <w:b/>
            <w:bCs/>
            <w:noProof/>
            <w:sz w:val="22"/>
            <w:szCs w:val="22"/>
          </w:rPr>
          <w:t>6.5.</w:t>
        </w:r>
        <w:r w:rsidR="003F2050" w:rsidRPr="00C95105">
          <w:rPr>
            <w:rStyle w:val="Hyperlink"/>
            <w:noProof/>
            <w:sz w:val="22"/>
            <w:szCs w:val="22"/>
          </w:rPr>
          <w:t xml:space="preserve"> E</w:t>
        </w:r>
        <w:r w:rsidR="003F2050" w:rsidRPr="00C95105">
          <w:rPr>
            <w:rStyle w:val="Hyperlink"/>
            <w:caps w:val="0"/>
            <w:noProof/>
            <w:sz w:val="22"/>
            <w:szCs w:val="22"/>
          </w:rPr>
          <w:t>vidence for the effect of leadership targets and quotas on public attitudes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_Toc96878659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98</w:t>
        </w:r>
        <w:r w:rsidR="003F2050" w:rsidRPr="00C95105">
          <w:rPr>
            <w:noProof/>
            <w:webHidden/>
            <w:sz w:val="22"/>
            <w:szCs w:val="22"/>
          </w:rPr>
          <w:fldChar w:fldCharType="end"/>
        </w:r>
      </w:hyperlink>
    </w:p>
    <w:p w14:paraId="76B2CA04" w14:textId="7B6B321D" w:rsidR="003F2050" w:rsidRPr="00C95105" w:rsidRDefault="004E2360" w:rsidP="003F2050">
      <w:pPr>
        <w:pStyle w:val="TableofFigures"/>
        <w:tabs>
          <w:tab w:val="right" w:leader="dot" w:pos="9016"/>
        </w:tabs>
        <w:rPr>
          <w:rFonts w:eastAsiaTheme="minorEastAsia"/>
          <w:caps w:val="0"/>
          <w:noProof/>
          <w:sz w:val="22"/>
          <w:szCs w:val="22"/>
        </w:rPr>
      </w:pPr>
      <w:hyperlink w:anchor="_Toc96878660" w:history="1">
        <w:r w:rsidR="003F2050" w:rsidRPr="00C95105">
          <w:rPr>
            <w:rStyle w:val="Hyperlink"/>
            <w:b/>
            <w:bCs/>
            <w:caps w:val="0"/>
            <w:noProof/>
            <w:sz w:val="22"/>
            <w:szCs w:val="22"/>
          </w:rPr>
          <w:t xml:space="preserve">Table </w:t>
        </w:r>
        <w:r w:rsidR="003F2050" w:rsidRPr="00C95105">
          <w:rPr>
            <w:rStyle w:val="Hyperlink"/>
            <w:b/>
            <w:bCs/>
            <w:noProof/>
            <w:sz w:val="22"/>
            <w:szCs w:val="22"/>
          </w:rPr>
          <w:t>6.6.</w:t>
        </w:r>
        <w:r w:rsidR="003F2050" w:rsidRPr="00C95105">
          <w:rPr>
            <w:rStyle w:val="Hyperlink"/>
            <w:noProof/>
            <w:sz w:val="22"/>
            <w:szCs w:val="22"/>
          </w:rPr>
          <w:t xml:space="preserve"> </w:t>
        </w:r>
        <w:r w:rsidR="003F2050" w:rsidRPr="00C95105">
          <w:rPr>
            <w:rStyle w:val="Hyperlink"/>
            <w:caps w:val="0"/>
            <w:noProof/>
            <w:sz w:val="22"/>
            <w:szCs w:val="22"/>
          </w:rPr>
          <w:t>Evidence for spill-over effects of leadership targets and quotas on labour market indicators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_Toc96878660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101</w:t>
        </w:r>
        <w:r w:rsidR="003F2050" w:rsidRPr="00C95105">
          <w:rPr>
            <w:noProof/>
            <w:webHidden/>
            <w:sz w:val="22"/>
            <w:szCs w:val="22"/>
          </w:rPr>
          <w:fldChar w:fldCharType="end"/>
        </w:r>
      </w:hyperlink>
    </w:p>
    <w:p w14:paraId="43FCF716" w14:textId="01A56D95" w:rsidR="003F2050" w:rsidRPr="00C95105" w:rsidRDefault="004E2360" w:rsidP="003F2050">
      <w:pPr>
        <w:pStyle w:val="TableofFigures"/>
        <w:tabs>
          <w:tab w:val="right" w:leader="dot" w:pos="9016"/>
        </w:tabs>
        <w:rPr>
          <w:rFonts w:eastAsiaTheme="minorEastAsia"/>
          <w:caps w:val="0"/>
          <w:noProof/>
          <w:sz w:val="22"/>
          <w:szCs w:val="22"/>
        </w:rPr>
      </w:pPr>
      <w:hyperlink w:anchor="_Toc96878661" w:history="1">
        <w:r w:rsidR="003F2050" w:rsidRPr="00C95105">
          <w:rPr>
            <w:rStyle w:val="Hyperlink"/>
            <w:b/>
            <w:bCs/>
            <w:caps w:val="0"/>
            <w:noProof/>
            <w:sz w:val="22"/>
            <w:szCs w:val="22"/>
          </w:rPr>
          <w:t>Table 6.7.</w:t>
        </w:r>
        <w:r w:rsidR="003F2050" w:rsidRPr="00C95105">
          <w:rPr>
            <w:rStyle w:val="Hyperlink"/>
            <w:noProof/>
            <w:sz w:val="22"/>
            <w:szCs w:val="22"/>
          </w:rPr>
          <w:t xml:space="preserve"> </w:t>
        </w:r>
        <w:r w:rsidR="003F2050" w:rsidRPr="00C95105">
          <w:rPr>
            <w:rStyle w:val="Hyperlink"/>
            <w:caps w:val="0"/>
            <w:noProof/>
            <w:sz w:val="22"/>
            <w:szCs w:val="22"/>
          </w:rPr>
          <w:t>Impact of leadership gender quotas on secondary outcomes: summary of findings</w:t>
        </w:r>
        <w:r w:rsidR="003F2050" w:rsidRPr="00C95105">
          <w:rPr>
            <w:noProof/>
            <w:webHidden/>
            <w:sz w:val="22"/>
            <w:szCs w:val="22"/>
          </w:rPr>
          <w:tab/>
        </w:r>
        <w:r w:rsidR="003F2050" w:rsidRPr="00C95105">
          <w:rPr>
            <w:noProof/>
            <w:webHidden/>
            <w:sz w:val="22"/>
            <w:szCs w:val="22"/>
          </w:rPr>
          <w:fldChar w:fldCharType="begin"/>
        </w:r>
        <w:r w:rsidR="003F2050" w:rsidRPr="00C95105">
          <w:rPr>
            <w:noProof/>
            <w:webHidden/>
            <w:sz w:val="22"/>
            <w:szCs w:val="22"/>
          </w:rPr>
          <w:instrText xml:space="preserve"> PAGEREF _Toc96878661 \h </w:instrText>
        </w:r>
        <w:r w:rsidR="003F2050" w:rsidRPr="00C95105">
          <w:rPr>
            <w:noProof/>
            <w:webHidden/>
            <w:sz w:val="22"/>
            <w:szCs w:val="22"/>
          </w:rPr>
        </w:r>
        <w:r w:rsidR="003F2050" w:rsidRPr="00C95105">
          <w:rPr>
            <w:noProof/>
            <w:webHidden/>
            <w:sz w:val="22"/>
            <w:szCs w:val="22"/>
          </w:rPr>
          <w:fldChar w:fldCharType="separate"/>
        </w:r>
        <w:r w:rsidR="005A6B1E">
          <w:rPr>
            <w:noProof/>
            <w:webHidden/>
            <w:sz w:val="22"/>
            <w:szCs w:val="22"/>
          </w:rPr>
          <w:t>105</w:t>
        </w:r>
        <w:r w:rsidR="003F2050" w:rsidRPr="00C95105">
          <w:rPr>
            <w:noProof/>
            <w:webHidden/>
            <w:sz w:val="22"/>
            <w:szCs w:val="22"/>
          </w:rPr>
          <w:fldChar w:fldCharType="end"/>
        </w:r>
      </w:hyperlink>
    </w:p>
    <w:p w14:paraId="41DF6142" w14:textId="77777777" w:rsidR="003F2050" w:rsidRPr="00C95105" w:rsidRDefault="003F2050" w:rsidP="003F2050">
      <w:pPr>
        <w:rPr>
          <w:rFonts w:asciiTheme="minorHAnsi" w:hAnsiTheme="minorHAnsi" w:cstheme="minorHAnsi"/>
          <w:sz w:val="22"/>
          <w:szCs w:val="22"/>
        </w:rPr>
      </w:pPr>
      <w:r w:rsidRPr="00C95105">
        <w:rPr>
          <w:rFonts w:asciiTheme="minorHAnsi" w:hAnsiTheme="minorHAnsi" w:cstheme="minorHAnsi"/>
          <w:sz w:val="22"/>
          <w:szCs w:val="22"/>
        </w:rPr>
        <w:fldChar w:fldCharType="end"/>
      </w:r>
    </w:p>
    <w:p w14:paraId="56825E51" w14:textId="77777777" w:rsidR="003F2050" w:rsidRPr="00C95105" w:rsidRDefault="003F2050" w:rsidP="003F2050">
      <w:pPr>
        <w:rPr>
          <w:rFonts w:asciiTheme="minorHAnsi" w:hAnsiTheme="minorHAnsi" w:cstheme="minorHAnsi"/>
          <w:sz w:val="22"/>
          <w:szCs w:val="22"/>
        </w:rPr>
      </w:pPr>
    </w:p>
    <w:p w14:paraId="7A3ACE2D" w14:textId="77777777" w:rsidR="003F2050" w:rsidRPr="00C95105" w:rsidRDefault="003F2050" w:rsidP="003F2050">
      <w:pPr>
        <w:rPr>
          <w:rFonts w:asciiTheme="minorHAnsi" w:hAnsiTheme="minorHAnsi" w:cstheme="minorHAnsi"/>
          <w:sz w:val="22"/>
          <w:szCs w:val="22"/>
        </w:rPr>
      </w:pPr>
    </w:p>
    <w:p w14:paraId="7464AFB9" w14:textId="77777777" w:rsidR="003F2050" w:rsidRPr="00C95105" w:rsidRDefault="003F2050" w:rsidP="003F2050">
      <w:pPr>
        <w:rPr>
          <w:rFonts w:asciiTheme="minorHAnsi" w:hAnsiTheme="minorHAnsi" w:cstheme="minorHAnsi"/>
          <w:sz w:val="22"/>
          <w:szCs w:val="22"/>
        </w:rPr>
      </w:pPr>
    </w:p>
    <w:p w14:paraId="4E813FC0" w14:textId="77777777" w:rsidR="003F2050" w:rsidRPr="00C95105" w:rsidRDefault="003F2050" w:rsidP="003F2050">
      <w:pPr>
        <w:rPr>
          <w:rFonts w:asciiTheme="minorHAnsi" w:hAnsiTheme="minorHAnsi" w:cstheme="minorHAnsi"/>
          <w:sz w:val="22"/>
          <w:szCs w:val="22"/>
        </w:rPr>
      </w:pPr>
    </w:p>
    <w:p w14:paraId="36135574" w14:textId="77777777" w:rsidR="003F2050" w:rsidRPr="00C95105" w:rsidRDefault="003F2050" w:rsidP="003F2050">
      <w:pPr>
        <w:rPr>
          <w:rFonts w:asciiTheme="minorHAnsi" w:hAnsiTheme="minorHAnsi" w:cstheme="minorHAnsi"/>
          <w:sz w:val="22"/>
          <w:szCs w:val="22"/>
        </w:rPr>
      </w:pPr>
    </w:p>
    <w:p w14:paraId="146C2290" w14:textId="77777777" w:rsidR="003F2050" w:rsidRPr="00C95105" w:rsidRDefault="003F2050" w:rsidP="003F2050">
      <w:pPr>
        <w:rPr>
          <w:rFonts w:asciiTheme="minorHAnsi" w:hAnsiTheme="minorHAnsi" w:cstheme="minorHAnsi"/>
          <w:sz w:val="22"/>
          <w:szCs w:val="22"/>
        </w:rPr>
      </w:pPr>
    </w:p>
    <w:p w14:paraId="41EFC0D1" w14:textId="77777777" w:rsidR="003F2050" w:rsidRPr="00195692" w:rsidRDefault="003F2050" w:rsidP="003F2050">
      <w:pPr>
        <w:pStyle w:val="Heading1"/>
        <w:jc w:val="center"/>
        <w:rPr>
          <w:rFonts w:asciiTheme="minorHAnsi" w:hAnsiTheme="minorHAnsi" w:cstheme="minorHAnsi"/>
          <w:b/>
          <w:bCs/>
          <w:color w:val="FFFFFF" w:themeColor="background1"/>
        </w:rPr>
      </w:pPr>
      <w:bookmarkStart w:id="0" w:name="_Toc96957648"/>
      <w:r w:rsidRPr="00195692">
        <w:rPr>
          <w:rFonts w:asciiTheme="minorHAnsi" w:hAnsiTheme="minorHAnsi" w:cstheme="minorHAnsi"/>
          <w:b/>
          <w:bCs/>
          <w:color w:val="FFFFFF" w:themeColor="background1"/>
        </w:rPr>
        <w:lastRenderedPageBreak/>
        <w:t>Acknowledgements</w:t>
      </w:r>
      <w:bookmarkEnd w:id="0"/>
    </w:p>
    <w:p w14:paraId="25C4F92E" w14:textId="77777777" w:rsidR="003F2050" w:rsidRPr="00C95105" w:rsidRDefault="003F2050" w:rsidP="003F2050">
      <w:pPr>
        <w:rPr>
          <w:rFonts w:asciiTheme="minorHAnsi" w:hAnsiTheme="minorHAnsi" w:cstheme="minorHAnsi"/>
        </w:rPr>
      </w:pPr>
    </w:p>
    <w:p w14:paraId="1FF4CECF" w14:textId="77777777" w:rsidR="00195692" w:rsidRDefault="00195692" w:rsidP="003F2050">
      <w:pPr>
        <w:spacing w:after="120"/>
        <w:ind w:firstLine="567"/>
        <w:rPr>
          <w:rFonts w:asciiTheme="minorHAnsi" w:hAnsiTheme="minorHAnsi" w:cstheme="minorHAnsi"/>
          <w:sz w:val="22"/>
          <w:szCs w:val="22"/>
        </w:rPr>
      </w:pPr>
    </w:p>
    <w:p w14:paraId="5D671186" w14:textId="7C388936" w:rsidR="005108DE" w:rsidRPr="00C95105" w:rsidRDefault="003F2050" w:rsidP="003F205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research team would like to acknowledge </w:t>
      </w:r>
      <w:r w:rsidR="005108DE" w:rsidRPr="00C95105">
        <w:rPr>
          <w:rFonts w:asciiTheme="minorHAnsi" w:hAnsiTheme="minorHAnsi" w:cstheme="minorHAnsi"/>
          <w:sz w:val="22"/>
          <w:szCs w:val="22"/>
        </w:rPr>
        <w:t>and thank the following professionals and institutions for their support in the preparation of this volume</w:t>
      </w:r>
      <w:r w:rsidR="002B3480" w:rsidRPr="00C95105">
        <w:rPr>
          <w:rFonts w:asciiTheme="minorHAnsi" w:hAnsiTheme="minorHAnsi" w:cstheme="minorHAnsi"/>
          <w:sz w:val="22"/>
          <w:szCs w:val="22"/>
        </w:rPr>
        <w:t>:</w:t>
      </w:r>
    </w:p>
    <w:p w14:paraId="109818BB" w14:textId="049680D8" w:rsidR="003F2050" w:rsidRPr="00C95105" w:rsidRDefault="005108DE" w:rsidP="00756FF3">
      <w:pPr>
        <w:pStyle w:val="ListParagraph"/>
        <w:numPr>
          <w:ilvl w:val="0"/>
          <w:numId w:val="48"/>
        </w:numPr>
        <w:spacing w:after="120"/>
        <w:ind w:left="709"/>
        <w:rPr>
          <w:rFonts w:asciiTheme="minorHAnsi" w:hAnsiTheme="minorHAnsi" w:cstheme="minorHAnsi"/>
          <w:sz w:val="22"/>
          <w:szCs w:val="22"/>
        </w:rPr>
      </w:pPr>
      <w:r w:rsidRPr="00C95105">
        <w:rPr>
          <w:rFonts w:asciiTheme="minorHAnsi" w:hAnsiTheme="minorHAnsi" w:cstheme="minorHAnsi"/>
          <w:sz w:val="22"/>
          <w:szCs w:val="22"/>
        </w:rPr>
        <w:t xml:space="preserve">Mr </w:t>
      </w:r>
      <w:r w:rsidR="007E1D45" w:rsidRPr="00C95105">
        <w:rPr>
          <w:rFonts w:asciiTheme="minorHAnsi" w:hAnsiTheme="minorHAnsi" w:cstheme="minorHAnsi"/>
          <w:sz w:val="22"/>
          <w:szCs w:val="22"/>
        </w:rPr>
        <w:t>Kristijan Causovski</w:t>
      </w:r>
      <w:r w:rsidRPr="00C95105">
        <w:rPr>
          <w:rFonts w:asciiTheme="minorHAnsi" w:hAnsiTheme="minorHAnsi" w:cstheme="minorHAnsi"/>
          <w:sz w:val="22"/>
          <w:szCs w:val="22"/>
        </w:rPr>
        <w:t xml:space="preserve">, </w:t>
      </w:r>
      <w:r w:rsidR="007E1D45" w:rsidRPr="00C95105">
        <w:rPr>
          <w:rFonts w:asciiTheme="minorHAnsi" w:hAnsiTheme="minorHAnsi" w:cstheme="minorHAnsi"/>
          <w:sz w:val="22"/>
          <w:szCs w:val="22"/>
        </w:rPr>
        <w:t>Liaison Librarian</w:t>
      </w:r>
      <w:r w:rsidRPr="00C95105">
        <w:rPr>
          <w:rFonts w:asciiTheme="minorHAnsi" w:hAnsiTheme="minorHAnsi" w:cstheme="minorHAnsi"/>
          <w:sz w:val="22"/>
          <w:szCs w:val="22"/>
        </w:rPr>
        <w:t xml:space="preserve"> at the Faculty of</w:t>
      </w:r>
      <w:r w:rsidR="007E1D45" w:rsidRPr="00C95105">
        <w:rPr>
          <w:rFonts w:asciiTheme="minorHAnsi" w:hAnsiTheme="minorHAnsi" w:cstheme="minorHAnsi"/>
          <w:sz w:val="22"/>
          <w:szCs w:val="22"/>
        </w:rPr>
        <w:t xml:space="preserve"> Business and Economics</w:t>
      </w:r>
      <w:r w:rsidRPr="00C95105">
        <w:rPr>
          <w:rFonts w:asciiTheme="minorHAnsi" w:hAnsiTheme="minorHAnsi" w:cstheme="minorHAnsi"/>
          <w:sz w:val="22"/>
          <w:szCs w:val="22"/>
        </w:rPr>
        <w:t xml:space="preserve"> of</w:t>
      </w:r>
      <w:r w:rsidR="007E1D45" w:rsidRPr="00C95105">
        <w:rPr>
          <w:rFonts w:asciiTheme="minorHAnsi" w:hAnsiTheme="minorHAnsi" w:cstheme="minorHAnsi"/>
          <w:sz w:val="22"/>
          <w:szCs w:val="22"/>
        </w:rPr>
        <w:t xml:space="preserve"> the University of </w:t>
      </w:r>
      <w:r w:rsidRPr="00C95105">
        <w:rPr>
          <w:rFonts w:asciiTheme="minorHAnsi" w:hAnsiTheme="minorHAnsi" w:cstheme="minorHAnsi"/>
          <w:sz w:val="22"/>
          <w:szCs w:val="22"/>
        </w:rPr>
        <w:t>Melbourne</w:t>
      </w:r>
      <w:r w:rsidR="00F6354E" w:rsidRPr="00C95105">
        <w:rPr>
          <w:rFonts w:asciiTheme="minorHAnsi" w:hAnsiTheme="minorHAnsi" w:cstheme="minorHAnsi"/>
          <w:sz w:val="22"/>
          <w:szCs w:val="22"/>
        </w:rPr>
        <w:t xml:space="preserve">, </w:t>
      </w:r>
      <w:r w:rsidR="007543E5" w:rsidRPr="00C95105">
        <w:rPr>
          <w:rFonts w:asciiTheme="minorHAnsi" w:hAnsiTheme="minorHAnsi" w:cstheme="minorHAnsi"/>
          <w:sz w:val="22"/>
          <w:szCs w:val="22"/>
        </w:rPr>
        <w:t>for his support in the preparation of search protocols.</w:t>
      </w:r>
    </w:p>
    <w:p w14:paraId="35F96832" w14:textId="3417DC2C" w:rsidR="003F2050" w:rsidRPr="00C95105" w:rsidRDefault="005108DE" w:rsidP="00756FF3">
      <w:pPr>
        <w:pStyle w:val="ListParagraph"/>
        <w:numPr>
          <w:ilvl w:val="0"/>
          <w:numId w:val="48"/>
        </w:numPr>
        <w:spacing w:after="120"/>
        <w:ind w:left="709"/>
        <w:rPr>
          <w:rFonts w:asciiTheme="minorHAnsi" w:hAnsiTheme="minorHAnsi" w:cstheme="minorHAnsi"/>
          <w:sz w:val="22"/>
          <w:szCs w:val="22"/>
        </w:rPr>
      </w:pPr>
      <w:r w:rsidRPr="00C95105">
        <w:rPr>
          <w:rFonts w:asciiTheme="minorHAnsi" w:hAnsiTheme="minorHAnsi" w:cstheme="minorHAnsi"/>
          <w:sz w:val="22"/>
          <w:szCs w:val="22"/>
        </w:rPr>
        <w:t>T</w:t>
      </w:r>
      <w:r w:rsidR="003F2050" w:rsidRPr="00C95105">
        <w:rPr>
          <w:rFonts w:asciiTheme="minorHAnsi" w:hAnsiTheme="minorHAnsi" w:cstheme="minorHAnsi"/>
          <w:sz w:val="22"/>
          <w:szCs w:val="22"/>
        </w:rPr>
        <w:t xml:space="preserve">he Victorian Government Commission for Gender Equality in The Public Sector </w:t>
      </w:r>
      <w:r w:rsidR="007543E5" w:rsidRPr="00C95105">
        <w:rPr>
          <w:rFonts w:asciiTheme="minorHAnsi" w:hAnsiTheme="minorHAnsi" w:cstheme="minorHAnsi"/>
          <w:sz w:val="22"/>
          <w:szCs w:val="22"/>
        </w:rPr>
        <w:t xml:space="preserve">for their support </w:t>
      </w:r>
      <w:r w:rsidR="003F2050" w:rsidRPr="00C95105">
        <w:rPr>
          <w:rFonts w:asciiTheme="minorHAnsi" w:hAnsiTheme="minorHAnsi" w:cstheme="minorHAnsi"/>
          <w:sz w:val="22"/>
          <w:szCs w:val="22"/>
        </w:rPr>
        <w:t xml:space="preserve">during the organisation of the Deliberative Forum to discuss the recommendations in this volume. </w:t>
      </w:r>
    </w:p>
    <w:p w14:paraId="3C1F0AB9" w14:textId="78F13E70" w:rsidR="003F2050" w:rsidRPr="00C95105" w:rsidRDefault="007543E5" w:rsidP="00756FF3">
      <w:pPr>
        <w:pStyle w:val="ListParagraph"/>
        <w:numPr>
          <w:ilvl w:val="0"/>
          <w:numId w:val="48"/>
        </w:numPr>
        <w:spacing w:after="120"/>
        <w:ind w:left="709"/>
        <w:rPr>
          <w:rFonts w:asciiTheme="minorHAnsi" w:hAnsiTheme="minorHAnsi" w:cstheme="minorHAnsi"/>
          <w:sz w:val="22"/>
          <w:szCs w:val="22"/>
        </w:rPr>
      </w:pPr>
      <w:r w:rsidRPr="00C95105">
        <w:rPr>
          <w:rFonts w:asciiTheme="minorHAnsi" w:hAnsiTheme="minorHAnsi" w:cstheme="minorHAnsi"/>
          <w:sz w:val="22"/>
          <w:szCs w:val="22"/>
        </w:rPr>
        <w:t>T</w:t>
      </w:r>
      <w:r w:rsidR="003F2050" w:rsidRPr="00C95105">
        <w:rPr>
          <w:rFonts w:asciiTheme="minorHAnsi" w:hAnsiTheme="minorHAnsi" w:cstheme="minorHAnsi"/>
          <w:sz w:val="22"/>
          <w:szCs w:val="22"/>
        </w:rPr>
        <w:t xml:space="preserve">he Victorian Public Sector stakeholders who attended the Deliberative Forum, for reading the chapters in the volume, actively participating in the forum, and providing written and verbal feedback, which helped us craft the </w:t>
      </w:r>
      <w:r w:rsidR="003F2050" w:rsidRPr="00C95105">
        <w:rPr>
          <w:rFonts w:asciiTheme="minorHAnsi" w:hAnsiTheme="minorHAnsi" w:cstheme="minorHAnsi"/>
          <w:i/>
          <w:iCs/>
          <w:sz w:val="22"/>
          <w:szCs w:val="22"/>
        </w:rPr>
        <w:t>Road Map for Action</w:t>
      </w:r>
      <w:r w:rsidR="003F2050" w:rsidRPr="00C95105">
        <w:rPr>
          <w:rFonts w:asciiTheme="minorHAnsi" w:hAnsiTheme="minorHAnsi" w:cstheme="minorHAnsi"/>
          <w:sz w:val="22"/>
          <w:szCs w:val="22"/>
        </w:rPr>
        <w:t xml:space="preserve"> sections </w:t>
      </w:r>
      <w:r w:rsidR="00A25E2F" w:rsidRPr="00C95105">
        <w:rPr>
          <w:rFonts w:asciiTheme="minorHAnsi" w:hAnsiTheme="minorHAnsi" w:cstheme="minorHAnsi"/>
          <w:sz w:val="22"/>
          <w:szCs w:val="22"/>
        </w:rPr>
        <w:t>Chapters 2 to 6</w:t>
      </w:r>
      <w:r w:rsidR="003F2050" w:rsidRPr="00C95105">
        <w:rPr>
          <w:rFonts w:asciiTheme="minorHAnsi" w:hAnsiTheme="minorHAnsi" w:cstheme="minorHAnsi"/>
          <w:sz w:val="22"/>
          <w:szCs w:val="22"/>
        </w:rPr>
        <w:t xml:space="preserve"> of this volume.</w:t>
      </w:r>
    </w:p>
    <w:p w14:paraId="0DEB3CC4" w14:textId="31D4FEAE" w:rsidR="003F2050" w:rsidRPr="00C95105" w:rsidRDefault="007543E5" w:rsidP="00756FF3">
      <w:pPr>
        <w:pStyle w:val="ListParagraph"/>
        <w:numPr>
          <w:ilvl w:val="0"/>
          <w:numId w:val="48"/>
        </w:numPr>
        <w:spacing w:after="120"/>
        <w:ind w:left="709"/>
        <w:rPr>
          <w:rFonts w:asciiTheme="minorHAnsi" w:hAnsiTheme="minorHAnsi" w:cstheme="minorHAnsi"/>
          <w:sz w:val="22"/>
          <w:szCs w:val="22"/>
        </w:rPr>
      </w:pPr>
      <w:r w:rsidRPr="00C95105">
        <w:rPr>
          <w:rFonts w:asciiTheme="minorHAnsi" w:hAnsiTheme="minorHAnsi" w:cstheme="minorHAnsi"/>
          <w:sz w:val="22"/>
          <w:szCs w:val="22"/>
        </w:rPr>
        <w:t>T</w:t>
      </w:r>
      <w:r w:rsidR="003F2050" w:rsidRPr="00C95105">
        <w:rPr>
          <w:rFonts w:asciiTheme="minorHAnsi" w:hAnsiTheme="minorHAnsi" w:cstheme="minorHAnsi"/>
          <w:sz w:val="22"/>
          <w:szCs w:val="22"/>
        </w:rPr>
        <w:t>he School of Historical &amp; Philosophical Studies at the University of Melbourne for its support.</w:t>
      </w:r>
    </w:p>
    <w:p w14:paraId="1486F1B7" w14:textId="77777777" w:rsidR="003F2050" w:rsidRPr="00C95105" w:rsidRDefault="003F2050" w:rsidP="003F2050">
      <w:pPr>
        <w:spacing w:after="120"/>
        <w:rPr>
          <w:rFonts w:asciiTheme="minorHAnsi" w:hAnsiTheme="minorHAnsi" w:cstheme="minorHAnsi"/>
          <w:sz w:val="22"/>
          <w:szCs w:val="22"/>
        </w:rPr>
      </w:pPr>
    </w:p>
    <w:p w14:paraId="17F3AA09" w14:textId="4CF59A6F" w:rsidR="003F2050" w:rsidRPr="00C95105" w:rsidRDefault="003F2050" w:rsidP="003F2050">
      <w:pPr>
        <w:pStyle w:val="Heading1"/>
        <w:spacing w:before="0" w:after="120"/>
        <w:rPr>
          <w:rFonts w:asciiTheme="minorHAnsi" w:hAnsiTheme="minorHAnsi" w:cstheme="minorHAnsi"/>
          <w:b/>
          <w:bCs/>
          <w:sz w:val="26"/>
          <w:szCs w:val="26"/>
        </w:rPr>
      </w:pPr>
      <w:bookmarkStart w:id="1" w:name="_Toc50100193"/>
      <w:bookmarkStart w:id="2" w:name="_Toc96878058"/>
      <w:bookmarkStart w:id="3" w:name="_Toc96878156"/>
      <w:bookmarkStart w:id="4" w:name="_Toc96957649"/>
      <w:r w:rsidRPr="00C95105">
        <w:rPr>
          <w:rFonts w:asciiTheme="minorHAnsi" w:hAnsiTheme="minorHAnsi" w:cstheme="minorHAnsi"/>
          <w:b/>
          <w:bCs/>
          <w:sz w:val="26"/>
          <w:szCs w:val="26"/>
        </w:rPr>
        <w:t xml:space="preserve">This </w:t>
      </w:r>
      <w:r w:rsidR="00286015">
        <w:rPr>
          <w:rFonts w:asciiTheme="minorHAnsi" w:hAnsiTheme="minorHAnsi" w:cstheme="minorHAnsi"/>
          <w:b/>
          <w:bCs/>
          <w:sz w:val="26"/>
          <w:szCs w:val="26"/>
        </w:rPr>
        <w:t>research</w:t>
      </w:r>
      <w:r w:rsidRPr="00C95105">
        <w:rPr>
          <w:rFonts w:asciiTheme="minorHAnsi" w:hAnsiTheme="minorHAnsi" w:cstheme="minorHAnsi"/>
          <w:b/>
          <w:bCs/>
          <w:sz w:val="26"/>
          <w:szCs w:val="26"/>
        </w:rPr>
        <w:t xml:space="preserve"> was funded by:</w:t>
      </w:r>
      <w:bookmarkEnd w:id="1"/>
      <w:bookmarkEnd w:id="2"/>
      <w:bookmarkEnd w:id="3"/>
      <w:bookmarkEnd w:id="4"/>
      <w:r w:rsidRPr="00C95105">
        <w:rPr>
          <w:rFonts w:asciiTheme="minorHAnsi" w:hAnsiTheme="minorHAnsi" w:cstheme="minorHAnsi"/>
          <w:b/>
          <w:bCs/>
          <w:sz w:val="26"/>
          <w:szCs w:val="26"/>
        </w:rPr>
        <w:t xml:space="preserve"> </w:t>
      </w:r>
    </w:p>
    <w:p w14:paraId="79CEE9B7" w14:textId="77777777" w:rsidR="003F2050" w:rsidRPr="00C95105" w:rsidRDefault="003F2050" w:rsidP="00756FF3">
      <w:pPr>
        <w:pStyle w:val="ListParagraph"/>
        <w:numPr>
          <w:ilvl w:val="0"/>
          <w:numId w:val="44"/>
        </w:numPr>
        <w:spacing w:before="240" w:after="120"/>
        <w:jc w:val="both"/>
        <w:rPr>
          <w:rFonts w:asciiTheme="minorHAnsi" w:hAnsiTheme="minorHAnsi" w:cstheme="minorHAnsi"/>
          <w:sz w:val="22"/>
          <w:szCs w:val="22"/>
        </w:rPr>
      </w:pPr>
      <w:bookmarkStart w:id="5" w:name="_Toc96878252"/>
      <w:r w:rsidRPr="00C95105">
        <w:rPr>
          <w:rFonts w:asciiTheme="minorHAnsi" w:hAnsiTheme="minorHAnsi" w:cstheme="minorHAnsi"/>
          <w:sz w:val="22"/>
          <w:szCs w:val="22"/>
        </w:rPr>
        <w:t xml:space="preserve">The Victorian Government </w:t>
      </w:r>
      <w:r w:rsidRPr="00C95105">
        <w:rPr>
          <w:rFonts w:asciiTheme="minorHAnsi" w:hAnsiTheme="minorHAnsi" w:cstheme="minorHAnsi"/>
          <w:i/>
          <w:iCs/>
          <w:sz w:val="22"/>
          <w:szCs w:val="22"/>
        </w:rPr>
        <w:t>Commission for Gender Equality in The Public Sector Inaugural Research Grants Round, 2021.</w:t>
      </w:r>
      <w:bookmarkEnd w:id="5"/>
    </w:p>
    <w:p w14:paraId="11E91881" w14:textId="77777777" w:rsidR="003F2050" w:rsidRPr="00C95105" w:rsidRDefault="003F2050" w:rsidP="00756FF3">
      <w:pPr>
        <w:pStyle w:val="ListParagraph"/>
        <w:numPr>
          <w:ilvl w:val="0"/>
          <w:numId w:val="44"/>
        </w:numPr>
        <w:spacing w:before="240" w:after="120"/>
        <w:jc w:val="both"/>
        <w:rPr>
          <w:rFonts w:asciiTheme="minorHAnsi" w:hAnsiTheme="minorHAnsi" w:cstheme="minorHAnsi"/>
          <w:sz w:val="22"/>
          <w:szCs w:val="22"/>
        </w:rPr>
      </w:pPr>
      <w:bookmarkStart w:id="6" w:name="_Toc96878253"/>
      <w:r w:rsidRPr="00C95105">
        <w:rPr>
          <w:rFonts w:asciiTheme="minorHAnsi" w:hAnsiTheme="minorHAnsi" w:cstheme="minorHAnsi"/>
          <w:sz w:val="22"/>
          <w:szCs w:val="22"/>
        </w:rPr>
        <w:t>The Global Institute for Women’s Leadership at The Australian National University.</w:t>
      </w:r>
      <w:bookmarkEnd w:id="6"/>
    </w:p>
    <w:p w14:paraId="365DCCA1" w14:textId="77777777" w:rsidR="003F2050" w:rsidRPr="00C95105" w:rsidRDefault="003F2050" w:rsidP="00756FF3">
      <w:pPr>
        <w:pStyle w:val="ListParagraph"/>
        <w:numPr>
          <w:ilvl w:val="0"/>
          <w:numId w:val="44"/>
        </w:numPr>
        <w:spacing w:before="240" w:after="120"/>
        <w:jc w:val="both"/>
        <w:rPr>
          <w:rFonts w:asciiTheme="minorHAnsi" w:hAnsiTheme="minorHAnsi" w:cstheme="minorHAnsi"/>
          <w:sz w:val="22"/>
          <w:szCs w:val="22"/>
        </w:rPr>
      </w:pPr>
      <w:bookmarkStart w:id="7" w:name="_Toc96878255"/>
      <w:r w:rsidRPr="00C95105">
        <w:rPr>
          <w:rFonts w:asciiTheme="minorHAnsi" w:hAnsiTheme="minorHAnsi" w:cstheme="minorHAnsi"/>
          <w:sz w:val="22"/>
          <w:szCs w:val="22"/>
        </w:rPr>
        <w:t>The Faculty of Business and Economics at the University of Melbourne</w:t>
      </w:r>
      <w:bookmarkEnd w:id="7"/>
    </w:p>
    <w:p w14:paraId="7F75D193" w14:textId="77777777" w:rsidR="003F2050" w:rsidRPr="00C95105" w:rsidRDefault="003F2050" w:rsidP="003F2050">
      <w:pPr>
        <w:rPr>
          <w:rFonts w:asciiTheme="minorHAnsi" w:hAnsiTheme="minorHAnsi" w:cstheme="minorHAnsi"/>
        </w:rPr>
      </w:pPr>
    </w:p>
    <w:p w14:paraId="28C6C3D9" w14:textId="77777777" w:rsidR="003F2050" w:rsidRPr="00C95105" w:rsidRDefault="003F2050" w:rsidP="003F2050">
      <w:pPr>
        <w:rPr>
          <w:rFonts w:asciiTheme="minorHAnsi" w:hAnsiTheme="minorHAnsi" w:cstheme="minorHAnsi"/>
        </w:rPr>
      </w:pPr>
    </w:p>
    <w:p w14:paraId="70B3B1AB" w14:textId="77777777" w:rsidR="003F2050" w:rsidRPr="00C95105" w:rsidRDefault="003F2050" w:rsidP="003F2050">
      <w:pPr>
        <w:rPr>
          <w:rFonts w:asciiTheme="minorHAnsi" w:hAnsiTheme="minorHAnsi" w:cstheme="minorHAnsi"/>
        </w:rPr>
      </w:pPr>
    </w:p>
    <w:p w14:paraId="69429F4B" w14:textId="422882D3" w:rsidR="003F2050" w:rsidRPr="00C95105" w:rsidRDefault="00195692" w:rsidP="003F2050">
      <w:pPr>
        <w:rPr>
          <w:rFonts w:asciiTheme="minorHAnsi" w:hAnsiTheme="minorHAnsi" w:cstheme="minorHAnsi"/>
        </w:rPr>
      </w:pPr>
      <w:r w:rsidRPr="00C95105">
        <w:rPr>
          <w:rFonts w:asciiTheme="minorHAnsi" w:hAnsiTheme="minorHAnsi" w:cstheme="minorHAnsi"/>
          <w:noProof/>
          <w:color w:val="000000" w:themeColor="text1"/>
          <w:sz w:val="28"/>
          <w:szCs w:val="28"/>
        </w:rPr>
        <mc:AlternateContent>
          <mc:Choice Requires="wps">
            <w:drawing>
              <wp:anchor distT="0" distB="0" distL="114300" distR="114300" simplePos="0" relativeHeight="251658262" behindDoc="1" locked="1" layoutInCell="1" allowOverlap="1" wp14:anchorId="272FC05B" wp14:editId="1ABF2A4D">
                <wp:simplePos x="0" y="0"/>
                <wp:positionH relativeFrom="page">
                  <wp:posOffset>4445</wp:posOffset>
                </wp:positionH>
                <wp:positionV relativeFrom="page">
                  <wp:posOffset>5080</wp:posOffset>
                </wp:positionV>
                <wp:extent cx="7548880" cy="1322705"/>
                <wp:effectExtent l="0" t="0" r="0" b="0"/>
                <wp:wrapNone/>
                <wp:docPr id="141"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48880" cy="1322705"/>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9C226" id="Divider A BG" o:spid="_x0000_s1026" alt="&quot;&quot;" style="position:absolute;margin-left:.35pt;margin-top:.4pt;width:594.4pt;height:104.1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" fillcolor="#1c407f" stroked="f" strokeweight="1pt">
                <o:lock v:ext="edit" aspectratio="t"/>
                <w10:wrap anchorx="page" anchory="page"/>
                <w10:anchorlock/>
              </v:rect>
            </w:pict>
          </mc:Fallback>
        </mc:AlternateContent>
      </w:r>
    </w:p>
    <w:p w14:paraId="00A67939" w14:textId="77777777" w:rsidR="003F2050" w:rsidRPr="00C95105" w:rsidRDefault="003F2050" w:rsidP="003F2050">
      <w:pPr>
        <w:rPr>
          <w:rFonts w:asciiTheme="minorHAnsi" w:hAnsiTheme="minorHAnsi" w:cstheme="minorHAnsi"/>
        </w:rPr>
      </w:pPr>
    </w:p>
    <w:p w14:paraId="48AD9365" w14:textId="77777777" w:rsidR="003F2050" w:rsidRPr="00C95105" w:rsidRDefault="003F2050" w:rsidP="003F2050">
      <w:pPr>
        <w:rPr>
          <w:rFonts w:asciiTheme="minorHAnsi" w:hAnsiTheme="minorHAnsi" w:cstheme="minorHAnsi"/>
        </w:rPr>
      </w:pPr>
    </w:p>
    <w:p w14:paraId="00284719" w14:textId="77777777" w:rsidR="003F2050" w:rsidRPr="00C95105" w:rsidRDefault="003F2050" w:rsidP="003F2050">
      <w:pPr>
        <w:rPr>
          <w:rFonts w:asciiTheme="minorHAnsi" w:hAnsiTheme="minorHAnsi" w:cstheme="minorHAnsi"/>
        </w:rPr>
      </w:pPr>
    </w:p>
    <w:p w14:paraId="36FE1E05" w14:textId="77777777" w:rsidR="003F2050" w:rsidRPr="00C95105" w:rsidRDefault="003F2050" w:rsidP="003F2050">
      <w:pPr>
        <w:rPr>
          <w:rFonts w:asciiTheme="minorHAnsi" w:hAnsiTheme="minorHAnsi" w:cstheme="minorHAnsi"/>
        </w:rPr>
      </w:pPr>
    </w:p>
    <w:p w14:paraId="1CE8BF31" w14:textId="77777777" w:rsidR="003F2050" w:rsidRPr="00C95105" w:rsidRDefault="003F2050" w:rsidP="003F2050">
      <w:pPr>
        <w:rPr>
          <w:rFonts w:asciiTheme="minorHAnsi" w:hAnsiTheme="minorHAnsi" w:cstheme="minorHAnsi"/>
        </w:rPr>
      </w:pPr>
    </w:p>
    <w:p w14:paraId="76858BA6" w14:textId="77777777" w:rsidR="003F2050" w:rsidRPr="00C95105" w:rsidRDefault="003F2050" w:rsidP="003F2050">
      <w:pPr>
        <w:rPr>
          <w:rFonts w:asciiTheme="minorHAnsi" w:hAnsiTheme="minorHAnsi" w:cstheme="minorHAnsi"/>
        </w:rPr>
      </w:pPr>
    </w:p>
    <w:p w14:paraId="7017ECF1" w14:textId="77777777" w:rsidR="003F2050" w:rsidRPr="00C95105" w:rsidRDefault="003F2050" w:rsidP="003F2050">
      <w:pPr>
        <w:rPr>
          <w:rFonts w:asciiTheme="minorHAnsi" w:hAnsiTheme="minorHAnsi" w:cstheme="minorHAnsi"/>
        </w:rPr>
      </w:pPr>
    </w:p>
    <w:p w14:paraId="01ECC58F" w14:textId="77777777" w:rsidR="003F2050" w:rsidRPr="00C95105" w:rsidRDefault="003F2050" w:rsidP="003F2050">
      <w:pPr>
        <w:rPr>
          <w:rFonts w:asciiTheme="minorHAnsi" w:hAnsiTheme="minorHAnsi" w:cstheme="minorHAnsi"/>
        </w:rPr>
      </w:pPr>
    </w:p>
    <w:p w14:paraId="545BDEC7" w14:textId="77777777" w:rsidR="003F2050" w:rsidRPr="00C95105" w:rsidRDefault="003F2050" w:rsidP="003F2050">
      <w:pPr>
        <w:rPr>
          <w:rFonts w:asciiTheme="minorHAnsi" w:hAnsiTheme="minorHAnsi" w:cstheme="minorHAnsi"/>
        </w:rPr>
      </w:pPr>
    </w:p>
    <w:p w14:paraId="016F2507" w14:textId="77777777" w:rsidR="003F2050" w:rsidRPr="00C95105" w:rsidRDefault="003F2050" w:rsidP="003F2050">
      <w:pPr>
        <w:rPr>
          <w:rFonts w:asciiTheme="minorHAnsi" w:hAnsiTheme="minorHAnsi" w:cstheme="minorHAnsi"/>
        </w:rPr>
      </w:pPr>
    </w:p>
    <w:p w14:paraId="4069BDC9" w14:textId="77777777" w:rsidR="003F2050" w:rsidRPr="00C95105" w:rsidRDefault="003F2050" w:rsidP="003F2050">
      <w:pPr>
        <w:rPr>
          <w:rFonts w:asciiTheme="minorHAnsi" w:hAnsiTheme="minorHAnsi" w:cstheme="minorHAnsi"/>
        </w:rPr>
      </w:pPr>
    </w:p>
    <w:p w14:paraId="08BA09F9" w14:textId="77777777" w:rsidR="003F2050" w:rsidRPr="00C95105" w:rsidRDefault="003F2050" w:rsidP="003F2050">
      <w:pPr>
        <w:rPr>
          <w:rFonts w:asciiTheme="minorHAnsi" w:hAnsiTheme="minorHAnsi" w:cstheme="minorHAnsi"/>
        </w:rPr>
      </w:pPr>
    </w:p>
    <w:p w14:paraId="5455758B" w14:textId="77777777" w:rsidR="003F2050" w:rsidRPr="00C95105" w:rsidRDefault="003F2050" w:rsidP="003F2050">
      <w:pPr>
        <w:rPr>
          <w:rFonts w:asciiTheme="minorHAnsi" w:hAnsiTheme="minorHAnsi" w:cstheme="minorHAnsi"/>
        </w:rPr>
      </w:pPr>
    </w:p>
    <w:p w14:paraId="1302211F" w14:textId="77777777" w:rsidR="003F2050" w:rsidRPr="00C95105" w:rsidRDefault="003F2050" w:rsidP="003F2050">
      <w:pPr>
        <w:rPr>
          <w:rFonts w:asciiTheme="minorHAnsi" w:hAnsiTheme="minorHAnsi" w:cstheme="minorHAnsi"/>
        </w:rPr>
      </w:pPr>
    </w:p>
    <w:p w14:paraId="203614DA" w14:textId="77777777" w:rsidR="003F2050" w:rsidRPr="00C95105" w:rsidRDefault="003F2050" w:rsidP="003F2050">
      <w:pPr>
        <w:rPr>
          <w:rFonts w:asciiTheme="minorHAnsi" w:hAnsiTheme="minorHAnsi" w:cstheme="minorHAnsi"/>
        </w:rPr>
      </w:pPr>
    </w:p>
    <w:p w14:paraId="5EDCF7F5" w14:textId="77777777" w:rsidR="003F2050" w:rsidRPr="00C95105" w:rsidRDefault="003F2050" w:rsidP="003F2050">
      <w:pPr>
        <w:rPr>
          <w:rFonts w:asciiTheme="minorHAnsi" w:hAnsiTheme="minorHAnsi" w:cstheme="minorHAnsi"/>
        </w:rPr>
      </w:pPr>
    </w:p>
    <w:p w14:paraId="4221C434" w14:textId="77777777" w:rsidR="003F2050" w:rsidRPr="00C95105" w:rsidRDefault="003F2050" w:rsidP="003F2050">
      <w:pPr>
        <w:rPr>
          <w:rFonts w:asciiTheme="minorHAnsi" w:hAnsiTheme="minorHAnsi" w:cstheme="minorHAnsi"/>
        </w:rPr>
      </w:pPr>
    </w:p>
    <w:p w14:paraId="1A147A24" w14:textId="77777777" w:rsidR="003F2050" w:rsidRPr="00C95105" w:rsidRDefault="003F2050" w:rsidP="003F2050">
      <w:pPr>
        <w:rPr>
          <w:rFonts w:asciiTheme="minorHAnsi" w:hAnsiTheme="minorHAnsi" w:cstheme="minorHAnsi"/>
        </w:rPr>
      </w:pPr>
    </w:p>
    <w:p w14:paraId="3F5090E9" w14:textId="77777777" w:rsidR="003F2050" w:rsidRPr="00C95105" w:rsidRDefault="003F2050" w:rsidP="003F2050">
      <w:pPr>
        <w:rPr>
          <w:rFonts w:asciiTheme="minorHAnsi" w:hAnsiTheme="minorHAnsi" w:cstheme="minorHAnsi"/>
        </w:rPr>
      </w:pPr>
    </w:p>
    <w:p w14:paraId="5A20DC78" w14:textId="77777777" w:rsidR="003F2050" w:rsidRPr="00195692" w:rsidRDefault="003F2050" w:rsidP="003F2050">
      <w:pPr>
        <w:pStyle w:val="Heading1"/>
        <w:spacing w:before="0" w:after="120"/>
        <w:jc w:val="center"/>
        <w:rPr>
          <w:rFonts w:asciiTheme="minorHAnsi" w:hAnsiTheme="minorHAnsi" w:cstheme="minorHAnsi"/>
          <w:b/>
          <w:bCs/>
          <w:color w:val="FFFFFF" w:themeColor="background1"/>
        </w:rPr>
      </w:pPr>
      <w:bookmarkStart w:id="8" w:name="_Toc96957650"/>
      <w:r w:rsidRPr="00195692">
        <w:rPr>
          <w:rFonts w:asciiTheme="minorHAnsi" w:hAnsiTheme="minorHAnsi" w:cstheme="minorHAnsi"/>
          <w:b/>
          <w:bCs/>
          <w:color w:val="FFFFFF" w:themeColor="background1"/>
        </w:rPr>
        <w:lastRenderedPageBreak/>
        <w:t>Executive Summary</w:t>
      </w:r>
      <w:bookmarkEnd w:id="8"/>
    </w:p>
    <w:p w14:paraId="39B6C6E7" w14:textId="6299A476" w:rsidR="003F2050" w:rsidRPr="00C95105" w:rsidRDefault="00195692" w:rsidP="00B257EC">
      <w:pPr>
        <w:rPr>
          <w:sz w:val="22"/>
          <w:szCs w:val="22"/>
        </w:rPr>
      </w:pPr>
      <w:r w:rsidRPr="00C95105">
        <w:rPr>
          <w:noProof/>
        </w:rPr>
        <mc:AlternateContent>
          <mc:Choice Requires="wps">
            <w:drawing>
              <wp:anchor distT="0" distB="0" distL="114300" distR="114300" simplePos="0" relativeHeight="251657216" behindDoc="1" locked="1" layoutInCell="1" allowOverlap="1" wp14:anchorId="3B4736B5" wp14:editId="32C69182">
                <wp:simplePos x="0" y="0"/>
                <wp:positionH relativeFrom="page">
                  <wp:posOffset>-170815</wp:posOffset>
                </wp:positionH>
                <wp:positionV relativeFrom="page">
                  <wp:posOffset>-58420</wp:posOffset>
                </wp:positionV>
                <wp:extent cx="7857490" cy="1387475"/>
                <wp:effectExtent l="0" t="0" r="3810" b="0"/>
                <wp:wrapNone/>
                <wp:docPr id="139"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57490" cy="1387475"/>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7B6A0" id="Divider A BG" o:spid="_x0000_s1026" alt="&quot;&quot;" style="position:absolute;margin-left:-13.45pt;margin-top:-4.6pt;width:618.7pt;height:10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" fillcolor="#1c407f" stroked="f" strokeweight="1pt">
                <o:lock v:ext="edit" aspectratio="t"/>
                <w10:wrap anchorx="page" anchory="page"/>
                <w10:anchorlock/>
              </v:rect>
            </w:pict>
          </mc:Fallback>
        </mc:AlternateContent>
      </w:r>
    </w:p>
    <w:p w14:paraId="33F9678E" w14:textId="77777777" w:rsidR="003F2050" w:rsidRPr="00C95105" w:rsidRDefault="003F2050" w:rsidP="003F2050">
      <w:pPr>
        <w:pStyle w:val="Body"/>
        <w:ind w:firstLine="567"/>
        <w:rPr>
          <w:rFonts w:asciiTheme="minorHAnsi" w:hAnsiTheme="minorHAnsi"/>
        </w:rPr>
      </w:pPr>
      <w:r w:rsidRPr="00C95105">
        <w:rPr>
          <w:rFonts w:asciiTheme="minorHAnsi" w:hAnsiTheme="minorHAnsi"/>
        </w:rPr>
        <w:t>Workplace gender equality is a central topic of academic and policy debate in the public and private sectors – and source of heterogenous views within the community (Evans et al., 2018; Pew Research Center, 2017). In part, this polarisation reflects two major obstacles for policymakers, leaders, and managers seeking to make ethical, evidence-based decisions about the promotion of gender equality in the workplace.</w:t>
      </w:r>
    </w:p>
    <w:p w14:paraId="0206920C" w14:textId="77777777" w:rsidR="003F2050" w:rsidRPr="00C95105" w:rsidRDefault="003F2050" w:rsidP="003F2050">
      <w:pPr>
        <w:pStyle w:val="Body"/>
        <w:ind w:firstLine="567"/>
        <w:rPr>
          <w:rFonts w:asciiTheme="minorHAnsi" w:hAnsiTheme="minorHAnsi"/>
        </w:rPr>
      </w:pPr>
      <w:r w:rsidRPr="00C95105">
        <w:rPr>
          <w:rFonts w:asciiTheme="minorHAnsi" w:hAnsiTheme="minorHAnsi"/>
          <w:i/>
          <w:iCs/>
        </w:rPr>
        <w:t>The first obstacle</w:t>
      </w:r>
      <w:r w:rsidRPr="00C95105">
        <w:rPr>
          <w:rFonts w:asciiTheme="minorHAnsi" w:hAnsiTheme="minorHAnsi"/>
        </w:rPr>
        <w:t xml:space="preserve"> is the lack of a systematic, evidence-based resource about strategies that are effective in achieving workplace gender equality, which can be used for decision-making. </w:t>
      </w:r>
    </w:p>
    <w:p w14:paraId="511D9992" w14:textId="77777777" w:rsidR="003F2050" w:rsidRPr="00C95105" w:rsidRDefault="003F2050" w:rsidP="003F2050">
      <w:pPr>
        <w:pStyle w:val="Body"/>
        <w:ind w:firstLine="567"/>
        <w:rPr>
          <w:rFonts w:asciiTheme="minorHAnsi" w:hAnsiTheme="minorHAnsi"/>
        </w:rPr>
      </w:pPr>
      <w:r w:rsidRPr="00C95105">
        <w:rPr>
          <w:rFonts w:asciiTheme="minorHAnsi" w:hAnsiTheme="minorHAnsi"/>
          <w:i/>
          <w:iCs/>
        </w:rPr>
        <w:t>The second obstacle</w:t>
      </w:r>
      <w:r w:rsidRPr="00C95105">
        <w:rPr>
          <w:rFonts w:asciiTheme="minorHAnsi" w:hAnsiTheme="minorHAnsi"/>
        </w:rPr>
        <w:t xml:space="preserve"> is the lack of evidence-based and philosophically informed discussion about the legitimacy of different strategies implemented to enhance workplace gender equality. </w:t>
      </w:r>
    </w:p>
    <w:p w14:paraId="77994D41" w14:textId="77777777" w:rsidR="003F2050" w:rsidRPr="00C95105" w:rsidRDefault="003F2050" w:rsidP="003F2050">
      <w:pPr>
        <w:pStyle w:val="Body"/>
        <w:ind w:firstLine="567"/>
        <w:rPr>
          <w:rFonts w:asciiTheme="minorHAnsi" w:hAnsiTheme="minorHAnsi"/>
          <w:i/>
          <w:iCs/>
        </w:rPr>
      </w:pPr>
      <w:r w:rsidRPr="00C95105">
        <w:rPr>
          <w:rFonts w:asciiTheme="minorHAnsi" w:hAnsiTheme="minorHAnsi"/>
        </w:rPr>
        <w:t xml:space="preserve">This project addresses these obstacles by systematically synthesising relevant research and providing evidence-based policy and practice recommendations to </w:t>
      </w:r>
      <w:r w:rsidRPr="00C95105">
        <w:rPr>
          <w:rFonts w:asciiTheme="minorHAnsi" w:hAnsiTheme="minorHAnsi"/>
          <w:i/>
          <w:iCs/>
        </w:rPr>
        <w:t xml:space="preserve">expand the evidence base for organisational gender equality. </w:t>
      </w:r>
      <w:r w:rsidRPr="00C95105">
        <w:rPr>
          <w:rFonts w:asciiTheme="minorHAnsi" w:hAnsiTheme="minorHAnsi"/>
        </w:rPr>
        <w:t>More specifically, in this project we:</w:t>
      </w:r>
    </w:p>
    <w:p w14:paraId="4F35B7F0" w14:textId="77777777" w:rsidR="003F2050" w:rsidRPr="00C95105" w:rsidRDefault="003F2050" w:rsidP="00756FF3">
      <w:pPr>
        <w:pStyle w:val="Body"/>
        <w:numPr>
          <w:ilvl w:val="0"/>
          <w:numId w:val="45"/>
        </w:numPr>
        <w:rPr>
          <w:rFonts w:asciiTheme="minorHAnsi" w:hAnsiTheme="minorHAnsi"/>
        </w:rPr>
      </w:pPr>
      <w:r w:rsidRPr="00C95105">
        <w:rPr>
          <w:rFonts w:asciiTheme="minorHAnsi" w:hAnsiTheme="minorHAnsi"/>
        </w:rPr>
        <w:t xml:space="preserve">Present a conceptual framework to classify the many available strategies to promote workplace gender equality and discuss their legitimacy. </w:t>
      </w:r>
    </w:p>
    <w:p w14:paraId="5ADE5FCE" w14:textId="77777777" w:rsidR="003F2050" w:rsidRPr="00C95105" w:rsidRDefault="003F2050" w:rsidP="00756FF3">
      <w:pPr>
        <w:pStyle w:val="Body"/>
        <w:numPr>
          <w:ilvl w:val="0"/>
          <w:numId w:val="45"/>
        </w:numPr>
        <w:rPr>
          <w:rFonts w:asciiTheme="minorHAnsi" w:hAnsiTheme="minorHAnsi"/>
        </w:rPr>
      </w:pPr>
      <w:r w:rsidRPr="00C95105">
        <w:rPr>
          <w:rFonts w:asciiTheme="minorHAnsi" w:hAnsiTheme="minorHAnsi"/>
        </w:rPr>
        <w:t>Produced five novel reviews of the academic literature to systematise evidence on the effectiveness of different strategies in achieving change in the workplace gender equality indicators outlined in the Gender Equality Act 2020 (Vic).</w:t>
      </w:r>
    </w:p>
    <w:p w14:paraId="200E5813" w14:textId="77777777" w:rsidR="003F2050" w:rsidRPr="00C95105" w:rsidRDefault="003F2050" w:rsidP="00756FF3">
      <w:pPr>
        <w:pStyle w:val="Body"/>
        <w:numPr>
          <w:ilvl w:val="0"/>
          <w:numId w:val="45"/>
        </w:numPr>
        <w:rPr>
          <w:rFonts w:asciiTheme="minorHAnsi" w:hAnsiTheme="minorHAnsi"/>
        </w:rPr>
      </w:pPr>
      <w:r w:rsidRPr="00C95105">
        <w:rPr>
          <w:rFonts w:asciiTheme="minorHAnsi" w:hAnsiTheme="minorHAnsi"/>
        </w:rPr>
        <w:t>Hosted a deliberative forum with the Victorian Commission for Gender Equality in the Public Sector and key Victorian Public Sector stakeholders to evaluate, validate and ground the recommendations, to ensure they were fit for purpose.</w:t>
      </w:r>
    </w:p>
    <w:p w14:paraId="61559C81" w14:textId="77777777" w:rsidR="003F2050" w:rsidRPr="00C95105" w:rsidRDefault="003F2050" w:rsidP="003F2050">
      <w:pPr>
        <w:pStyle w:val="Body"/>
        <w:ind w:firstLine="567"/>
        <w:rPr>
          <w:rFonts w:asciiTheme="minorHAnsi" w:hAnsiTheme="minorHAnsi"/>
        </w:rPr>
      </w:pPr>
    </w:p>
    <w:p w14:paraId="2C61E545" w14:textId="77777777" w:rsidR="003F2050" w:rsidRPr="00C95105" w:rsidRDefault="003F2050" w:rsidP="003F2050">
      <w:pPr>
        <w:pStyle w:val="Body"/>
        <w:ind w:firstLine="567"/>
        <w:rPr>
          <w:rFonts w:asciiTheme="minorHAnsi" w:hAnsiTheme="minorHAnsi"/>
        </w:rPr>
      </w:pPr>
      <w:r w:rsidRPr="00C95105">
        <w:rPr>
          <w:rFonts w:asciiTheme="minorHAnsi" w:hAnsiTheme="minorHAnsi"/>
        </w:rPr>
        <w:t xml:space="preserve">The findings from this project are reported here in the form of a volume with six chapters. Chapter 1 contains conceptual dimensions we can use to organise and analyse the legitimacy of strategies to address workplace gender equality. Chapters 2 to 6 present the five systematic reviews we produced. Each of these five chapters includes an executive summary, introduction, methods, findings and recommendations, a roadmap to guide actions, and the set of references cited and reviewed. </w:t>
      </w:r>
    </w:p>
    <w:p w14:paraId="42A54AD4" w14:textId="77777777" w:rsidR="003F2050" w:rsidRPr="00C95105" w:rsidRDefault="003F2050" w:rsidP="003F2050">
      <w:pPr>
        <w:pStyle w:val="Body"/>
        <w:ind w:firstLine="567"/>
        <w:rPr>
          <w:rFonts w:asciiTheme="minorHAnsi" w:hAnsiTheme="minorHAnsi"/>
        </w:rPr>
      </w:pPr>
      <w:r w:rsidRPr="00C95105">
        <w:rPr>
          <w:rFonts w:asciiTheme="minorHAnsi" w:hAnsiTheme="minorHAnsi"/>
        </w:rPr>
        <w:t xml:space="preserve">Below, we provide a summary of the logic behind each of the reviews, along with key insights and recommendations. </w:t>
      </w:r>
    </w:p>
    <w:p w14:paraId="5A347AC9" w14:textId="77777777" w:rsidR="003F2050" w:rsidRPr="00C95105" w:rsidRDefault="003F2050" w:rsidP="003F2050">
      <w:pPr>
        <w:rPr>
          <w:rFonts w:asciiTheme="minorHAnsi" w:hAnsiTheme="minorHAnsi" w:cstheme="minorHAnsi"/>
        </w:rPr>
      </w:pPr>
    </w:p>
    <w:p w14:paraId="2A574DB5" w14:textId="77777777" w:rsidR="003F2050" w:rsidRPr="00C95105" w:rsidRDefault="003F2050" w:rsidP="003F2050">
      <w:pPr>
        <w:pStyle w:val="Heading2"/>
        <w:spacing w:before="0" w:after="120"/>
        <w:rPr>
          <w:rFonts w:asciiTheme="minorHAnsi" w:hAnsiTheme="minorHAnsi" w:cstheme="minorHAnsi"/>
          <w:b/>
          <w:bCs/>
          <w:i/>
          <w:iCs/>
          <w:sz w:val="24"/>
          <w:szCs w:val="24"/>
        </w:rPr>
      </w:pPr>
      <w:bookmarkStart w:id="9" w:name="_Toc96957651"/>
      <w:r w:rsidRPr="00C95105">
        <w:rPr>
          <w:rFonts w:asciiTheme="minorHAnsi" w:hAnsiTheme="minorHAnsi" w:cstheme="minorHAnsi"/>
          <w:b/>
          <w:bCs/>
          <w:i/>
          <w:iCs/>
          <w:sz w:val="24"/>
          <w:szCs w:val="24"/>
        </w:rPr>
        <w:t>Chapter 1 - Framing Gender Equality Positive Actions in the Public Sector</w:t>
      </w:r>
      <w:bookmarkEnd w:id="9"/>
    </w:p>
    <w:p w14:paraId="724CE6AD" w14:textId="77777777" w:rsidR="003F2050" w:rsidRPr="00C95105" w:rsidRDefault="003F2050" w:rsidP="003F205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objective of this narrative review was to provide a set of dimensions along which workplace gender equality interventions could be organised and analysed in terms of their perceived legitimacy. Following Khaitan (2015), we made three distinctions among workplace gender equality strategies: (i) </w:t>
      </w:r>
      <w:r w:rsidRPr="00C95105">
        <w:rPr>
          <w:rFonts w:asciiTheme="minorHAnsi" w:hAnsiTheme="minorHAnsi" w:cstheme="minorHAnsi"/>
          <w:i/>
          <w:iCs/>
          <w:sz w:val="22"/>
          <w:szCs w:val="22"/>
        </w:rPr>
        <w:t>facilitative</w:t>
      </w:r>
      <w:r w:rsidRPr="00C95105">
        <w:rPr>
          <w:rFonts w:asciiTheme="minorHAnsi" w:hAnsiTheme="minorHAnsi" w:cstheme="minorHAnsi"/>
          <w:sz w:val="22"/>
          <w:szCs w:val="22"/>
        </w:rPr>
        <w:t xml:space="preserve"> versus </w:t>
      </w:r>
      <w:r w:rsidRPr="00C95105">
        <w:rPr>
          <w:rFonts w:asciiTheme="minorHAnsi" w:hAnsiTheme="minorHAnsi" w:cstheme="minorHAnsi"/>
          <w:i/>
          <w:iCs/>
          <w:sz w:val="22"/>
          <w:szCs w:val="22"/>
        </w:rPr>
        <w:t>distributive</w:t>
      </w:r>
      <w:r w:rsidRPr="00C95105">
        <w:rPr>
          <w:rFonts w:asciiTheme="minorHAnsi" w:hAnsiTheme="minorHAnsi" w:cstheme="minorHAnsi"/>
          <w:sz w:val="22"/>
          <w:szCs w:val="22"/>
        </w:rPr>
        <w:t xml:space="preserve">; (ii) </w:t>
      </w:r>
      <w:r w:rsidRPr="00C95105">
        <w:rPr>
          <w:rFonts w:asciiTheme="minorHAnsi" w:hAnsiTheme="minorHAnsi" w:cstheme="minorHAnsi"/>
          <w:i/>
          <w:iCs/>
          <w:sz w:val="22"/>
          <w:szCs w:val="22"/>
        </w:rPr>
        <w:t>direct</w:t>
      </w:r>
      <w:r w:rsidRPr="00C95105">
        <w:rPr>
          <w:rFonts w:asciiTheme="minorHAnsi" w:hAnsiTheme="minorHAnsi" w:cstheme="minorHAnsi"/>
          <w:sz w:val="22"/>
          <w:szCs w:val="22"/>
        </w:rPr>
        <w:t xml:space="preserve"> versus </w:t>
      </w:r>
      <w:r w:rsidRPr="00C95105">
        <w:rPr>
          <w:rFonts w:asciiTheme="minorHAnsi" w:hAnsiTheme="minorHAnsi" w:cstheme="minorHAnsi"/>
          <w:i/>
          <w:iCs/>
          <w:sz w:val="22"/>
          <w:szCs w:val="22"/>
        </w:rPr>
        <w:t>indirect</w:t>
      </w:r>
      <w:r w:rsidRPr="00C95105">
        <w:rPr>
          <w:rFonts w:asciiTheme="minorHAnsi" w:hAnsiTheme="minorHAnsi" w:cstheme="minorHAnsi"/>
          <w:sz w:val="22"/>
          <w:szCs w:val="22"/>
        </w:rPr>
        <w:t xml:space="preserve">; and (iii) </w:t>
      </w:r>
      <w:r w:rsidRPr="00C95105">
        <w:rPr>
          <w:rFonts w:asciiTheme="minorHAnsi" w:hAnsiTheme="minorHAnsi" w:cstheme="minorHAnsi"/>
          <w:i/>
          <w:iCs/>
          <w:sz w:val="22"/>
          <w:szCs w:val="22"/>
        </w:rPr>
        <w:t xml:space="preserve">remedial </w:t>
      </w:r>
      <w:r w:rsidRPr="00C95105">
        <w:rPr>
          <w:rFonts w:asciiTheme="minorHAnsi" w:hAnsiTheme="minorHAnsi" w:cstheme="minorHAnsi"/>
          <w:sz w:val="22"/>
          <w:szCs w:val="22"/>
        </w:rPr>
        <w:t xml:space="preserve">versus </w:t>
      </w:r>
      <w:r w:rsidRPr="00C95105">
        <w:rPr>
          <w:rFonts w:asciiTheme="minorHAnsi" w:hAnsiTheme="minorHAnsi" w:cstheme="minorHAnsi"/>
          <w:i/>
          <w:iCs/>
          <w:sz w:val="22"/>
          <w:szCs w:val="22"/>
        </w:rPr>
        <w:t>non-remedial</w:t>
      </w:r>
      <w:r w:rsidRPr="00C95105">
        <w:rPr>
          <w:rFonts w:asciiTheme="minorHAnsi" w:hAnsiTheme="minorHAnsi" w:cstheme="minorHAnsi"/>
          <w:sz w:val="22"/>
          <w:szCs w:val="22"/>
        </w:rPr>
        <w:t xml:space="preserve">. These dimensions were construed as intersecting. For example, a particular measure may be </w:t>
      </w:r>
      <w:r w:rsidRPr="00C95105">
        <w:rPr>
          <w:rFonts w:asciiTheme="minorHAnsi" w:hAnsiTheme="minorHAnsi" w:cstheme="minorHAnsi"/>
          <w:i/>
          <w:iCs/>
          <w:sz w:val="22"/>
          <w:szCs w:val="22"/>
        </w:rPr>
        <w:t>facilitative</w:t>
      </w:r>
      <w:r w:rsidRPr="00C95105">
        <w:rPr>
          <w:rFonts w:asciiTheme="minorHAnsi" w:hAnsiTheme="minorHAnsi" w:cstheme="minorHAnsi"/>
          <w:sz w:val="22"/>
          <w:szCs w:val="22"/>
        </w:rPr>
        <w:t xml:space="preserve">, </w:t>
      </w:r>
      <w:r w:rsidRPr="00C95105">
        <w:rPr>
          <w:rFonts w:asciiTheme="minorHAnsi" w:hAnsiTheme="minorHAnsi" w:cstheme="minorHAnsi"/>
          <w:i/>
          <w:iCs/>
          <w:sz w:val="22"/>
          <w:szCs w:val="22"/>
        </w:rPr>
        <w:t xml:space="preserve">direct, </w:t>
      </w:r>
      <w:r w:rsidRPr="00C95105">
        <w:rPr>
          <w:rFonts w:asciiTheme="minorHAnsi" w:hAnsiTheme="minorHAnsi" w:cstheme="minorHAnsi"/>
          <w:sz w:val="22"/>
          <w:szCs w:val="22"/>
        </w:rPr>
        <w:t xml:space="preserve">and </w:t>
      </w:r>
      <w:r w:rsidRPr="00C95105">
        <w:rPr>
          <w:rFonts w:asciiTheme="minorHAnsi" w:hAnsiTheme="minorHAnsi" w:cstheme="minorHAnsi"/>
          <w:i/>
          <w:iCs/>
          <w:sz w:val="22"/>
          <w:szCs w:val="22"/>
        </w:rPr>
        <w:t>remedial</w:t>
      </w:r>
      <w:r w:rsidRPr="00C95105">
        <w:rPr>
          <w:rFonts w:asciiTheme="minorHAnsi" w:hAnsiTheme="minorHAnsi" w:cstheme="minorHAnsi"/>
          <w:sz w:val="22"/>
          <w:szCs w:val="22"/>
        </w:rPr>
        <w:t xml:space="preserve">. We also contrasted these strategies to </w:t>
      </w:r>
      <w:r w:rsidRPr="00C95105">
        <w:rPr>
          <w:rFonts w:asciiTheme="minorHAnsi" w:hAnsiTheme="minorHAnsi" w:cstheme="minorHAnsi"/>
          <w:i/>
          <w:iCs/>
          <w:sz w:val="22"/>
          <w:szCs w:val="22"/>
        </w:rPr>
        <w:t>universal welfare measures</w:t>
      </w:r>
      <w:r w:rsidRPr="00C95105">
        <w:rPr>
          <w:rFonts w:asciiTheme="minorHAnsi" w:hAnsiTheme="minorHAnsi" w:cstheme="minorHAnsi"/>
          <w:sz w:val="22"/>
          <w:szCs w:val="22"/>
        </w:rPr>
        <w:t xml:space="preserve"> and provided illustrative examples. </w:t>
      </w:r>
    </w:p>
    <w:p w14:paraId="0B3A7775" w14:textId="77777777" w:rsidR="003F2050" w:rsidRPr="00C95105" w:rsidRDefault="003F2050" w:rsidP="003F2050">
      <w:pPr>
        <w:spacing w:after="120"/>
        <w:ind w:firstLine="567"/>
        <w:rPr>
          <w:rFonts w:asciiTheme="minorHAnsi" w:hAnsiTheme="minorHAnsi" w:cstheme="minorBidi"/>
          <w:sz w:val="22"/>
          <w:szCs w:val="22"/>
        </w:rPr>
      </w:pPr>
      <w:r w:rsidRPr="00C95105">
        <w:rPr>
          <w:rFonts w:asciiTheme="minorHAnsi" w:hAnsiTheme="minorHAnsi" w:cstheme="minorBidi"/>
          <w:sz w:val="22"/>
          <w:szCs w:val="22"/>
        </w:rPr>
        <w:t xml:space="preserve">This framework provides a useful tool for classifying different strategies. In particular, locating a specific strategy on these dimensions helps to: draw attention to the potential costs and benefits for the intended beneficiaries as well as other institutional stakeholders; indicate alternatives that might be similarly effective in promoting gender equality while reducing costs (including backlash); </w:t>
      </w:r>
      <w:r w:rsidRPr="00C95105">
        <w:rPr>
          <w:rFonts w:asciiTheme="minorHAnsi" w:hAnsiTheme="minorHAnsi" w:cstheme="minorBidi"/>
          <w:sz w:val="22"/>
          <w:szCs w:val="22"/>
        </w:rPr>
        <w:lastRenderedPageBreak/>
        <w:t>and identifying relevant data for monitoring the effectiveness of, and continuing need for, the strategy.</w:t>
      </w:r>
    </w:p>
    <w:p w14:paraId="5D0579AD" w14:textId="77777777" w:rsidR="003F2050" w:rsidRPr="00C95105" w:rsidRDefault="003F2050" w:rsidP="00B257EC"/>
    <w:p w14:paraId="3619C833" w14:textId="77777777" w:rsidR="003F2050" w:rsidRPr="00C95105" w:rsidRDefault="003F2050" w:rsidP="003F2050">
      <w:pPr>
        <w:pStyle w:val="Heading2"/>
        <w:spacing w:before="0" w:after="120"/>
        <w:rPr>
          <w:rFonts w:asciiTheme="minorHAnsi" w:hAnsiTheme="minorHAnsi" w:cstheme="minorHAnsi"/>
          <w:b/>
          <w:bCs/>
          <w:i/>
          <w:iCs/>
          <w:sz w:val="24"/>
          <w:szCs w:val="24"/>
        </w:rPr>
      </w:pPr>
      <w:bookmarkStart w:id="10" w:name="_Toc96957652"/>
      <w:r w:rsidRPr="00C95105">
        <w:rPr>
          <w:rFonts w:asciiTheme="minorHAnsi" w:hAnsiTheme="minorHAnsi" w:cstheme="minorHAnsi"/>
          <w:b/>
          <w:bCs/>
          <w:i/>
          <w:iCs/>
          <w:sz w:val="24"/>
          <w:szCs w:val="24"/>
        </w:rPr>
        <w:t>Chapter 2 - Using Anonymous Application Procedures to Address Discrimination in Recruitment and Selection</w:t>
      </w:r>
      <w:bookmarkEnd w:id="10"/>
    </w:p>
    <w:p w14:paraId="16222B04" w14:textId="77777777" w:rsidR="003F2050" w:rsidRPr="00C95105" w:rsidRDefault="003F2050" w:rsidP="003F2050">
      <w:pPr>
        <w:spacing w:after="120"/>
        <w:ind w:firstLine="567"/>
        <w:rPr>
          <w:rFonts w:asciiTheme="minorHAnsi" w:hAnsiTheme="minorHAnsi" w:cstheme="minorBidi"/>
          <w:sz w:val="22"/>
          <w:szCs w:val="22"/>
        </w:rPr>
      </w:pPr>
      <w:r w:rsidRPr="00C95105">
        <w:rPr>
          <w:rFonts w:asciiTheme="minorHAnsi" w:hAnsiTheme="minorHAnsi" w:cstheme="minorBidi"/>
          <w:sz w:val="22"/>
          <w:szCs w:val="22"/>
        </w:rPr>
        <w:t xml:space="preserve">The objective of this systematic review was to assess the evidence about the capacity of Anonymous Application Procedures (e.g., CV de-identification) to reduce discrimination towards women and minority groups in personnel recruitment and selection processes. The research indicates that AAP are effective at reducing discrimination towards women and ethnic minority groups at the CV shortlisting/interview invitation phase of the selection process. AAP are also effective at reducing discrimination towards women for job offers but this positive effect on job offers was not observed for ethnic minority groups. </w:t>
      </w:r>
    </w:p>
    <w:p w14:paraId="37D8EDCE" w14:textId="77777777" w:rsidR="003F2050" w:rsidRPr="00C95105" w:rsidRDefault="003F2050" w:rsidP="003F2050">
      <w:pPr>
        <w:spacing w:after="120"/>
        <w:ind w:firstLine="567"/>
        <w:rPr>
          <w:rFonts w:asciiTheme="minorHAnsi" w:hAnsiTheme="minorHAnsi" w:cstheme="minorBidi"/>
          <w:sz w:val="22"/>
          <w:szCs w:val="22"/>
        </w:rPr>
      </w:pPr>
      <w:r w:rsidRPr="00C95105">
        <w:rPr>
          <w:rFonts w:asciiTheme="minorHAnsi" w:hAnsiTheme="minorHAnsi" w:cstheme="minorBidi"/>
          <w:sz w:val="22"/>
          <w:szCs w:val="22"/>
        </w:rPr>
        <w:t>AAP are more cost-effective when (i) there is evidence of discrimination, (ii) there is a critical mass of job-ready candidates from protected categories, (iii) done in large recruitment campaigns, and (iv) anonymisation is effective. In this chapter, we provide recommendations to improve AAP and outline an employment-life-cycle approach to reduce workplace discrimination and enhance inclusion.</w:t>
      </w:r>
    </w:p>
    <w:p w14:paraId="1827B7E7" w14:textId="77777777" w:rsidR="003F2050" w:rsidRPr="00C95105" w:rsidRDefault="003F2050" w:rsidP="003F2050">
      <w:pPr>
        <w:spacing w:after="120"/>
        <w:ind w:firstLine="567"/>
        <w:rPr>
          <w:rFonts w:asciiTheme="minorHAnsi" w:hAnsiTheme="minorHAnsi" w:cstheme="minorHAnsi"/>
        </w:rPr>
      </w:pPr>
    </w:p>
    <w:p w14:paraId="46C6D802" w14:textId="77777777" w:rsidR="003F2050" w:rsidRPr="00C95105" w:rsidRDefault="003F2050" w:rsidP="003F2050">
      <w:pPr>
        <w:pStyle w:val="Heading2"/>
        <w:spacing w:before="0" w:after="120"/>
        <w:rPr>
          <w:rFonts w:asciiTheme="minorHAnsi" w:hAnsiTheme="minorHAnsi" w:cstheme="minorHAnsi"/>
          <w:b/>
          <w:bCs/>
          <w:i/>
          <w:iCs/>
          <w:sz w:val="24"/>
          <w:szCs w:val="24"/>
        </w:rPr>
      </w:pPr>
      <w:bookmarkStart w:id="11" w:name="_Toc96878060"/>
      <w:bookmarkStart w:id="12" w:name="_Toc96878158"/>
      <w:bookmarkStart w:id="13" w:name="_Toc96957653"/>
      <w:r w:rsidRPr="00C95105">
        <w:rPr>
          <w:rFonts w:asciiTheme="minorHAnsi" w:hAnsiTheme="minorHAnsi" w:cstheme="minorHAnsi"/>
          <w:b/>
          <w:bCs/>
          <w:i/>
          <w:iCs/>
          <w:sz w:val="24"/>
          <w:szCs w:val="24"/>
        </w:rPr>
        <w:t>Chapter 3 - Men’s engagement with flexible work: Barriers and facilitators shaping fathers’ uptake of parental leave</w:t>
      </w:r>
      <w:bookmarkEnd w:id="11"/>
      <w:bookmarkEnd w:id="12"/>
      <w:bookmarkEnd w:id="13"/>
    </w:p>
    <w:p w14:paraId="55599C51" w14:textId="77777777" w:rsidR="003F2050" w:rsidRPr="00C95105" w:rsidRDefault="003F2050" w:rsidP="003F2050">
      <w:pPr>
        <w:spacing w:after="120"/>
        <w:ind w:firstLine="567"/>
        <w:rPr>
          <w:rFonts w:asciiTheme="minorHAnsi" w:hAnsiTheme="minorHAnsi" w:cstheme="minorBidi"/>
          <w:sz w:val="22"/>
          <w:szCs w:val="22"/>
        </w:rPr>
      </w:pPr>
      <w:r w:rsidRPr="00C95105">
        <w:rPr>
          <w:rFonts w:asciiTheme="minorHAnsi" w:hAnsiTheme="minorHAnsi" w:cstheme="minorBidi"/>
          <w:sz w:val="22"/>
          <w:szCs w:val="22"/>
        </w:rPr>
        <w:t>The objective of this rapid systematic review was to identify individual, organisational, and societal barriers and facilitators shaping men’s uptake of flexible work. To date, this research has largely focused on men’s uptake of parental leave. The findings highlighted the importance of ameliorating the economic and career costs for fathers who take up parental leave. K</w:t>
      </w:r>
      <w:r w:rsidRPr="00C95105">
        <w:rPr>
          <w:rFonts w:asciiTheme="minorHAnsi" w:eastAsia="Calibri" w:hAnsiTheme="minorHAnsi" w:cstheme="minorBidi"/>
          <w:sz w:val="22"/>
          <w:szCs w:val="22"/>
        </w:rPr>
        <w:t>ey barriers</w:t>
      </w:r>
      <w:r w:rsidRPr="00C95105">
        <w:rPr>
          <w:rFonts w:asciiTheme="minorHAnsi" w:hAnsiTheme="minorHAnsi" w:cstheme="minorBidi"/>
          <w:sz w:val="22"/>
          <w:szCs w:val="22"/>
        </w:rPr>
        <w:t xml:space="preserve"> identified included intrahousehold income inequalities (i.e., men’s greater earning power), masculine norms, and workplace cultures that stigmatise and punish men’s leave-taking. In contrast, dedicated, generous paternity leave reserved for fathers was identified as a key facilitator of uptake, which appears to help trump traditional gender attitudes and set new norms of entitlement for paternity leave. Facilitating flexible work through formal policies and informal practices and norms also appears to be helpful. </w:t>
      </w:r>
    </w:p>
    <w:p w14:paraId="69CEB63A" w14:textId="77777777" w:rsidR="003F2050" w:rsidRPr="00C95105" w:rsidRDefault="003F2050" w:rsidP="003F2050">
      <w:pPr>
        <w:spacing w:after="120"/>
        <w:ind w:firstLine="567"/>
        <w:rPr>
          <w:rFonts w:asciiTheme="minorHAnsi" w:hAnsiTheme="minorHAnsi" w:cstheme="minorBidi"/>
          <w:sz w:val="22"/>
          <w:szCs w:val="22"/>
        </w:rPr>
      </w:pPr>
      <w:r w:rsidRPr="00C95105">
        <w:rPr>
          <w:rFonts w:asciiTheme="minorHAnsi" w:hAnsiTheme="minorHAnsi" w:cstheme="minorBidi"/>
          <w:sz w:val="22"/>
          <w:szCs w:val="22"/>
        </w:rPr>
        <w:t>We recommend that organisations utilise available resources for embedding flexible work policies and practices, while also attending to gendered dynamics in developing strategies. In particular, we suggest that policy makers: (i) use the data they submit as part of their obligations under the Gender Equality Act 2020 (Vic) to identify concerns about flexibility stigma; (ii) align promotion of flexible work and carer leave with Victorian Public Service purpose; (iii) consider whether policies, norms and practices are genuinely a business necessity rather than ‘masculine defaults’; and (iv) create a sense of entitlement to carer leave and work-life balance in men.</w:t>
      </w:r>
    </w:p>
    <w:p w14:paraId="3A31B101" w14:textId="77777777" w:rsidR="003F2050" w:rsidRPr="00C95105" w:rsidRDefault="003F2050" w:rsidP="003F2050">
      <w:pPr>
        <w:spacing w:after="120"/>
        <w:ind w:firstLine="567"/>
        <w:rPr>
          <w:rFonts w:asciiTheme="minorHAnsi" w:hAnsiTheme="minorHAnsi" w:cstheme="minorHAnsi"/>
          <w:sz w:val="22"/>
          <w:szCs w:val="22"/>
        </w:rPr>
      </w:pPr>
    </w:p>
    <w:p w14:paraId="1F60365A" w14:textId="77777777" w:rsidR="003F2050" w:rsidRPr="00C95105" w:rsidRDefault="003F2050" w:rsidP="003F2050">
      <w:pPr>
        <w:pStyle w:val="Heading2"/>
        <w:spacing w:before="0" w:after="120"/>
        <w:rPr>
          <w:rFonts w:asciiTheme="minorHAnsi" w:hAnsiTheme="minorHAnsi" w:cstheme="minorHAnsi"/>
          <w:b/>
          <w:bCs/>
          <w:i/>
          <w:iCs/>
          <w:sz w:val="24"/>
          <w:szCs w:val="24"/>
        </w:rPr>
      </w:pPr>
      <w:bookmarkStart w:id="14" w:name="_Toc96957654"/>
      <w:r w:rsidRPr="00C95105">
        <w:rPr>
          <w:rFonts w:asciiTheme="minorHAnsi" w:hAnsiTheme="minorHAnsi" w:cstheme="minorHAnsi"/>
          <w:b/>
          <w:bCs/>
          <w:i/>
          <w:iCs/>
          <w:sz w:val="24"/>
          <w:szCs w:val="24"/>
        </w:rPr>
        <w:t>Chapter 4 - Addressing Public Sector Drivers of Sexual Harassment</w:t>
      </w:r>
      <w:bookmarkEnd w:id="14"/>
    </w:p>
    <w:p w14:paraId="4911DD02" w14:textId="77777777" w:rsidR="003F2050" w:rsidRPr="00C95105" w:rsidRDefault="003F2050" w:rsidP="003F205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objective of this review was to systematise the available evidence regarding institutional/organisational drivers of sexual harassment in the public sector. We identified both structural factors (i.e., distribution of power and gendered organisation of work) and social factors (i.e., conformity to dominant values, organisational tolerance, and social tolerance) within the public sector that appear to increase the likelihood sexual harassment will occur. </w:t>
      </w:r>
    </w:p>
    <w:p w14:paraId="4D58660D" w14:textId="77777777" w:rsidR="003F2050" w:rsidRPr="00C95105" w:rsidRDefault="003F2050" w:rsidP="003F205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To address these drivers of sexual harassment, we proposed a whole-of-organisation approach with a preventative and management actions focusing on interventions at the </w:t>
      </w:r>
      <w:r w:rsidRPr="00C95105">
        <w:rPr>
          <w:rFonts w:asciiTheme="minorHAnsi" w:hAnsiTheme="minorHAnsi" w:cstheme="minorHAnsi"/>
          <w:sz w:val="22"/>
          <w:szCs w:val="22"/>
        </w:rPr>
        <w:lastRenderedPageBreak/>
        <w:t>organisational (e.g., policy reviews, changes in espoused values, increased gender diversity in teams and leadership), team (e.g., manager training on policy/practices to manage sexual harassment, staff training on respectful relations) and individual levels (e.g., bystander intervention training, socio-emotional training for instigators).</w:t>
      </w:r>
    </w:p>
    <w:p w14:paraId="534FCFC5" w14:textId="77777777" w:rsidR="003F2050" w:rsidRPr="00C95105" w:rsidRDefault="003F2050" w:rsidP="003F2050">
      <w:pPr>
        <w:spacing w:after="120"/>
        <w:rPr>
          <w:rFonts w:asciiTheme="minorHAnsi" w:hAnsiTheme="minorHAnsi" w:cstheme="minorHAnsi"/>
          <w:sz w:val="22"/>
          <w:szCs w:val="22"/>
        </w:rPr>
      </w:pPr>
    </w:p>
    <w:p w14:paraId="37E2AA9C" w14:textId="77777777" w:rsidR="003F2050" w:rsidRPr="00C95105" w:rsidRDefault="003F2050" w:rsidP="003F2050">
      <w:pPr>
        <w:pStyle w:val="Heading2"/>
        <w:spacing w:before="0" w:after="120"/>
        <w:rPr>
          <w:rFonts w:asciiTheme="minorHAnsi" w:hAnsiTheme="minorHAnsi" w:cstheme="minorHAnsi"/>
          <w:b/>
          <w:bCs/>
          <w:i/>
          <w:iCs/>
          <w:sz w:val="24"/>
          <w:szCs w:val="24"/>
        </w:rPr>
      </w:pPr>
      <w:bookmarkStart w:id="15" w:name="_Toc96957655"/>
      <w:r w:rsidRPr="00C95105">
        <w:rPr>
          <w:rFonts w:asciiTheme="minorHAnsi" w:hAnsiTheme="minorHAnsi" w:cstheme="minorHAnsi"/>
          <w:b/>
          <w:bCs/>
          <w:i/>
          <w:iCs/>
          <w:sz w:val="24"/>
          <w:szCs w:val="24"/>
        </w:rPr>
        <w:t>Chapter 5 - Information-Based Approaches to Gender Pay Equity:  Pay Audits, Pay Transparency and Job Evaluation</w:t>
      </w:r>
      <w:bookmarkEnd w:id="15"/>
    </w:p>
    <w:p w14:paraId="0DB7E7AF" w14:textId="77777777" w:rsidR="003F2050" w:rsidRPr="00C95105" w:rsidRDefault="003F2050" w:rsidP="003F2050">
      <w:pPr>
        <w:spacing w:after="120"/>
        <w:ind w:firstLine="567"/>
        <w:rPr>
          <w:rFonts w:asciiTheme="minorHAnsi" w:hAnsiTheme="minorHAnsi" w:cstheme="minorBidi"/>
          <w:sz w:val="22"/>
          <w:szCs w:val="22"/>
        </w:rPr>
      </w:pPr>
      <w:r w:rsidRPr="00C95105">
        <w:rPr>
          <w:rFonts w:asciiTheme="minorHAnsi" w:hAnsiTheme="minorHAnsi" w:cstheme="minorBidi"/>
          <w:sz w:val="22"/>
          <w:szCs w:val="22"/>
        </w:rPr>
        <w:t xml:space="preserve">The objective of this systematic review was to identify ways to improve </w:t>
      </w:r>
      <w:r w:rsidRPr="00C95105">
        <w:rPr>
          <w:rFonts w:asciiTheme="minorHAnsi" w:hAnsiTheme="minorHAnsi" w:cstheme="minorBidi"/>
          <w:i/>
          <w:sz w:val="22"/>
          <w:szCs w:val="22"/>
        </w:rPr>
        <w:t>information quality</w:t>
      </w:r>
      <w:r w:rsidRPr="00C95105">
        <w:rPr>
          <w:rFonts w:asciiTheme="minorHAnsi" w:hAnsiTheme="minorHAnsi" w:cstheme="minorBidi"/>
          <w:sz w:val="22"/>
          <w:szCs w:val="22"/>
        </w:rPr>
        <w:t xml:space="preserve"> and </w:t>
      </w:r>
      <w:r w:rsidRPr="00C95105">
        <w:rPr>
          <w:rFonts w:asciiTheme="minorHAnsi" w:hAnsiTheme="minorHAnsi" w:cstheme="minorBidi"/>
          <w:i/>
          <w:sz w:val="22"/>
          <w:szCs w:val="22"/>
        </w:rPr>
        <w:t>information use</w:t>
      </w:r>
      <w:r w:rsidRPr="00C95105">
        <w:rPr>
          <w:rFonts w:asciiTheme="minorHAnsi" w:hAnsiTheme="minorHAnsi" w:cstheme="minorBidi"/>
          <w:sz w:val="22"/>
          <w:szCs w:val="22"/>
        </w:rPr>
        <w:t xml:space="preserve"> in information-based strategies that are designed to diagnose pay inequity and inform decisions about corrective action (i.e., pay audits, pay transparency, and job evaluation). We found limited evidence of the effectiveness of these strategies in reducing gender pay gaps. This lack of evidence about impact reflects two situations: (i) strategy ineffectiveness in some studies; and (ii) strategy impact not measured in terms of pay in other studies. </w:t>
      </w:r>
    </w:p>
    <w:p w14:paraId="633FE336" w14:textId="77777777" w:rsidR="003F2050" w:rsidRPr="00C95105" w:rsidRDefault="003F2050" w:rsidP="003F2050">
      <w:pPr>
        <w:spacing w:after="120"/>
        <w:ind w:firstLine="567"/>
        <w:rPr>
          <w:rFonts w:asciiTheme="minorHAnsi" w:hAnsiTheme="minorHAnsi" w:cstheme="minorBidi"/>
          <w:sz w:val="22"/>
          <w:szCs w:val="22"/>
        </w:rPr>
      </w:pPr>
      <w:r w:rsidRPr="00C95105">
        <w:rPr>
          <w:rFonts w:asciiTheme="minorHAnsi" w:hAnsiTheme="minorHAnsi" w:cstheme="minorBidi"/>
          <w:sz w:val="22"/>
          <w:szCs w:val="22"/>
        </w:rPr>
        <w:t>We provide a roadmap for action with the objective to facilitate the use of pay equity information to both increase accountability, and support awareness about the causes and consequences of inequity. This includes: (i) actions to support information use –  that is, develop workforce statistical capability, link pay strategies to pay-setting and provide information and education about pay equity to employees; (ii) actions to improve information quality – that is, minimise gender bias in calculations of adjusted pay gaps and maximise the level of detail in information inputs and outputs; and (iii) integration with other information systems and organisational processes – that is, integrate pay-related information systems with pay-setting architecture and embed pay-related information into human resource information systems.</w:t>
      </w:r>
    </w:p>
    <w:p w14:paraId="24FC8920" w14:textId="77777777" w:rsidR="003F2050" w:rsidRPr="00C95105" w:rsidRDefault="003F2050" w:rsidP="003F2050">
      <w:pPr>
        <w:spacing w:after="120"/>
        <w:ind w:firstLine="567"/>
        <w:rPr>
          <w:rFonts w:asciiTheme="minorHAnsi" w:hAnsiTheme="minorHAnsi" w:cstheme="minorHAnsi"/>
          <w:sz w:val="22"/>
          <w:szCs w:val="22"/>
        </w:rPr>
      </w:pPr>
    </w:p>
    <w:p w14:paraId="072569CB" w14:textId="77777777" w:rsidR="003F2050" w:rsidRPr="00C95105" w:rsidRDefault="003F2050" w:rsidP="003F2050">
      <w:pPr>
        <w:pStyle w:val="Heading2"/>
        <w:spacing w:before="0" w:after="120"/>
        <w:rPr>
          <w:rFonts w:asciiTheme="minorHAnsi" w:hAnsiTheme="minorHAnsi" w:cstheme="minorHAnsi"/>
          <w:b/>
          <w:bCs/>
          <w:i/>
          <w:iCs/>
          <w:sz w:val="24"/>
          <w:szCs w:val="24"/>
        </w:rPr>
      </w:pPr>
      <w:bookmarkStart w:id="16" w:name="_Toc96957656"/>
      <w:r w:rsidRPr="00C95105">
        <w:rPr>
          <w:rFonts w:asciiTheme="minorHAnsi" w:hAnsiTheme="minorHAnsi" w:cstheme="minorHAnsi"/>
          <w:b/>
          <w:bCs/>
          <w:i/>
          <w:iCs/>
          <w:sz w:val="24"/>
          <w:szCs w:val="24"/>
        </w:rPr>
        <w:t>Chapter 6 - Gender Targets and Quotas in Leadership Roles: Examining Secondary Gender Equality Outcomes</w:t>
      </w:r>
      <w:bookmarkEnd w:id="16"/>
    </w:p>
    <w:p w14:paraId="41584A11" w14:textId="77777777" w:rsidR="003F2050" w:rsidRPr="00C95105" w:rsidRDefault="003F2050" w:rsidP="003F205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The objective of this review was to systematise and evaluate evidence from academia, industry and government about the impact of leadership gender quotas on the extent of women’s influence, public attitudes, and gender-relevant labour market indicators. The evidence indicates that although quotas are effective in increasing the numbers of women on boards and elected bodies, they do not appear to have any impact on the share of women in senior roles (e.g., board chair, mayor) in the five to ten years after implementation. Gender quotas increase attention to women’s policy interests in parliaments and political parties. Yet, institutional factors, including women’s lack of access to agenda-setting roles, consistently prevent this attention from translating into concrete policy outcomes.</w:t>
      </w:r>
    </w:p>
    <w:p w14:paraId="731E464A" w14:textId="6CCE3CB7" w:rsidR="003F2050" w:rsidRPr="00C95105" w:rsidRDefault="003F2050" w:rsidP="003F205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Quotas have a positive effect on perceptions of the competence and effectiveness of women leaders and attitudes towards gender equality. Importantly, </w:t>
      </w:r>
      <w:r w:rsidR="005B518E">
        <w:rPr>
          <w:rFonts w:asciiTheme="minorHAnsi" w:hAnsiTheme="minorHAnsi" w:cstheme="minorHAnsi"/>
          <w:sz w:val="22"/>
          <w:szCs w:val="22"/>
        </w:rPr>
        <w:t xml:space="preserve">having </w:t>
      </w:r>
      <w:r w:rsidRPr="00C95105">
        <w:rPr>
          <w:rFonts w:asciiTheme="minorHAnsi" w:hAnsiTheme="minorHAnsi" w:cstheme="minorHAnsi"/>
          <w:sz w:val="22"/>
          <w:szCs w:val="22"/>
        </w:rPr>
        <w:t>more women in political power was related to women in the community having higher trust in, and more engagement with, government services. Finally, in the corporate sector, we identify negligeable spill-over effects in terms of more women working for the organisation either full-time or part-time, more women in management roles, or gender pay gaps. To enhance the positive spill-over impacts of gender quotas, we provide recommendations to increase female leaders’ visibility, create intersectional quotas at relevant organisational levels, work on the long-term pipeline of qualified women, address the lack of balance in care responsibilities, and implement strategies to reduce bias in recruitment, selection, project allocations, promotions, and salary decisions.</w:t>
      </w:r>
    </w:p>
    <w:p w14:paraId="6B7B7619" w14:textId="77777777" w:rsidR="003F2050" w:rsidRPr="00C95105" w:rsidRDefault="003F2050" w:rsidP="003F2050">
      <w:pPr>
        <w:pStyle w:val="Heading2"/>
        <w:spacing w:before="0" w:after="120"/>
        <w:rPr>
          <w:rFonts w:asciiTheme="minorHAnsi" w:hAnsiTheme="minorHAnsi" w:cstheme="minorHAnsi"/>
          <w:b/>
          <w:bCs/>
          <w:sz w:val="24"/>
          <w:szCs w:val="24"/>
        </w:rPr>
      </w:pPr>
      <w:bookmarkStart w:id="17" w:name="_Toc96957657"/>
      <w:r w:rsidRPr="00C95105">
        <w:rPr>
          <w:rFonts w:asciiTheme="minorHAnsi" w:hAnsiTheme="minorHAnsi" w:cstheme="minorBidi"/>
          <w:b/>
          <w:sz w:val="24"/>
          <w:szCs w:val="24"/>
        </w:rPr>
        <w:lastRenderedPageBreak/>
        <w:t>References</w:t>
      </w:r>
      <w:bookmarkEnd w:id="17"/>
    </w:p>
    <w:p w14:paraId="7A6E889A" w14:textId="77777777" w:rsidR="003F2050" w:rsidRPr="00C95105" w:rsidRDefault="003F2050" w:rsidP="003F2050">
      <w:pPr>
        <w:pStyle w:val="CommentText"/>
        <w:spacing w:after="120" w:line="259" w:lineRule="auto"/>
        <w:ind w:left="567" w:hanging="567"/>
        <w:rPr>
          <w:rFonts w:asciiTheme="minorHAnsi" w:eastAsia="Calibri" w:hAnsiTheme="minorHAnsi" w:cstheme="minorBidi"/>
          <w:color w:val="000000" w:themeColor="text1"/>
          <w:sz w:val="22"/>
          <w:szCs w:val="22"/>
        </w:rPr>
      </w:pPr>
      <w:r w:rsidRPr="00C95105">
        <w:rPr>
          <w:rFonts w:asciiTheme="minorHAnsi" w:eastAsia="Calibri" w:hAnsiTheme="minorHAnsi" w:cstheme="minorBidi"/>
          <w:color w:val="000000" w:themeColor="text1"/>
          <w:sz w:val="22"/>
          <w:szCs w:val="22"/>
        </w:rPr>
        <w:t xml:space="preserve">Evans, M., Haussegger, V., Halupka, M., &amp; Rowe, P. (2018). </w:t>
      </w:r>
      <w:r w:rsidRPr="00C95105">
        <w:rPr>
          <w:rFonts w:asciiTheme="minorHAnsi" w:eastAsia="Calibri" w:hAnsiTheme="minorHAnsi" w:cstheme="minorBidi"/>
          <w:i/>
          <w:iCs/>
          <w:color w:val="000000" w:themeColor="text1"/>
          <w:sz w:val="22"/>
          <w:szCs w:val="22"/>
        </w:rPr>
        <w:t>From girls to men: Social attitudes to gender equality in Australia</w:t>
      </w:r>
      <w:r w:rsidRPr="00C95105">
        <w:rPr>
          <w:rFonts w:asciiTheme="minorHAnsi" w:eastAsia="Calibri" w:hAnsiTheme="minorHAnsi" w:cstheme="minorBidi"/>
          <w:color w:val="000000" w:themeColor="text1"/>
          <w:sz w:val="22"/>
          <w:szCs w:val="22"/>
        </w:rPr>
        <w:t>. Canberra, Australia: University of Canberra. Retrieved from https://www.5050foundation.edu.au/assets/reports/documents/From-Girls-to-Men.pdf</w:t>
      </w:r>
    </w:p>
    <w:p w14:paraId="7D7B6EF5" w14:textId="77777777" w:rsidR="003F2050" w:rsidRPr="00C95105" w:rsidRDefault="003F2050" w:rsidP="003F2050">
      <w:pPr>
        <w:pStyle w:val="CommentText"/>
        <w:spacing w:after="120"/>
        <w:ind w:left="567" w:hanging="567"/>
        <w:rPr>
          <w:rFonts w:asciiTheme="minorHAnsi" w:eastAsia="Calibri" w:hAnsiTheme="minorHAnsi" w:cstheme="minorBidi"/>
          <w:color w:val="000000" w:themeColor="text1"/>
          <w:sz w:val="22"/>
          <w:szCs w:val="22"/>
        </w:rPr>
      </w:pPr>
      <w:r w:rsidRPr="00C95105">
        <w:rPr>
          <w:rFonts w:asciiTheme="minorHAnsi" w:eastAsia="Calibri" w:hAnsiTheme="minorHAnsi" w:cstheme="minorBidi"/>
          <w:color w:val="000000" w:themeColor="text1"/>
          <w:sz w:val="22"/>
          <w:szCs w:val="22"/>
        </w:rPr>
        <w:t xml:space="preserve">Gender Equality Act 2020 (Vic). Retrieved from </w:t>
      </w:r>
      <w:hyperlink r:id="rId14">
        <w:r w:rsidRPr="00C95105">
          <w:rPr>
            <w:rStyle w:val="Hyperlink"/>
            <w:rFonts w:asciiTheme="minorHAnsi" w:eastAsia="Calibri" w:hAnsiTheme="minorHAnsi" w:cstheme="minorBidi"/>
            <w:sz w:val="22"/>
            <w:szCs w:val="22"/>
          </w:rPr>
          <w:t>https://www.legislation.vic.gov.au/as-made/acts/gender-equality-act-2020</w:t>
        </w:r>
      </w:hyperlink>
    </w:p>
    <w:p w14:paraId="035CA651" w14:textId="77777777" w:rsidR="003F2050" w:rsidRPr="00C95105" w:rsidRDefault="003F2050" w:rsidP="003F2050">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Khaitan, T. (2015). </w:t>
      </w:r>
      <w:r w:rsidRPr="00C95105">
        <w:rPr>
          <w:rFonts w:asciiTheme="minorHAnsi" w:hAnsiTheme="minorHAnsi" w:cstheme="minorHAnsi"/>
          <w:i/>
          <w:iCs/>
          <w:sz w:val="22"/>
          <w:szCs w:val="22"/>
        </w:rPr>
        <w:t>A theory of discrimination law</w:t>
      </w:r>
      <w:r w:rsidRPr="00C95105">
        <w:rPr>
          <w:rFonts w:asciiTheme="minorHAnsi" w:hAnsiTheme="minorHAnsi" w:cstheme="minorHAnsi"/>
          <w:sz w:val="22"/>
          <w:szCs w:val="22"/>
        </w:rPr>
        <w:t>. Oxford, UK: Oxford University Press.</w:t>
      </w:r>
    </w:p>
    <w:p w14:paraId="146527E7" w14:textId="77777777" w:rsidR="003F2050" w:rsidRPr="00C95105" w:rsidRDefault="003F2050" w:rsidP="003F2050">
      <w:pPr>
        <w:pStyle w:val="CommentText"/>
        <w:spacing w:after="120"/>
        <w:ind w:left="567" w:hanging="567"/>
        <w:rPr>
          <w:rFonts w:asciiTheme="minorHAnsi" w:eastAsia="Times" w:hAnsiTheme="minorHAnsi" w:cstheme="minorHAnsi"/>
          <w:sz w:val="22"/>
        </w:rPr>
      </w:pPr>
      <w:r w:rsidRPr="00C95105">
        <w:rPr>
          <w:rFonts w:asciiTheme="minorHAnsi" w:eastAsia="Times" w:hAnsiTheme="minorHAnsi" w:cstheme="minorHAnsi"/>
          <w:sz w:val="22"/>
        </w:rPr>
        <w:t xml:space="preserve">Pew Research Center. (2017). </w:t>
      </w:r>
      <w:r w:rsidRPr="00C95105">
        <w:rPr>
          <w:rFonts w:asciiTheme="minorHAnsi" w:eastAsia="Times" w:hAnsiTheme="minorHAnsi" w:cstheme="minorHAnsi"/>
          <w:i/>
          <w:iCs/>
          <w:sz w:val="22"/>
        </w:rPr>
        <w:t>Wide partisan gaps in U.S. over how far the country has come on gender equality</w:t>
      </w:r>
      <w:r w:rsidRPr="00C95105">
        <w:rPr>
          <w:rFonts w:asciiTheme="minorHAnsi" w:eastAsia="Times" w:hAnsiTheme="minorHAnsi" w:cstheme="minorHAnsi"/>
          <w:sz w:val="22"/>
        </w:rPr>
        <w:t>. Author. Retrieved from https://www.pewresearch.org/social-trends/2017/10/18/wide-partisan-gaps-in-u-s-over-how-far-the-country-has-come-on-gender-equality/</w:t>
      </w:r>
    </w:p>
    <w:p w14:paraId="1C4CD2AC" w14:textId="77777777" w:rsidR="005021D9" w:rsidRPr="00C95105" w:rsidRDefault="005021D9" w:rsidP="005A3CDA">
      <w:pPr>
        <w:pStyle w:val="Heading1"/>
        <w:spacing w:before="0" w:after="120"/>
        <w:rPr>
          <w:rFonts w:asciiTheme="minorHAnsi" w:hAnsiTheme="minorHAnsi" w:cstheme="minorHAnsi"/>
          <w:b/>
          <w:bCs/>
        </w:rPr>
        <w:sectPr w:rsidR="005021D9" w:rsidRPr="00C95105" w:rsidSect="0014022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pPr>
      <w:bookmarkStart w:id="18" w:name="_Toc96859226"/>
    </w:p>
    <w:p w14:paraId="1667D18A" w14:textId="3BECCA34" w:rsidR="00586A12" w:rsidRPr="00195692" w:rsidRDefault="008043EA" w:rsidP="005A3CDA">
      <w:pPr>
        <w:pStyle w:val="Heading1"/>
        <w:spacing w:before="0" w:after="120"/>
        <w:jc w:val="center"/>
        <w:rPr>
          <w:rFonts w:asciiTheme="minorHAnsi" w:hAnsiTheme="minorHAnsi" w:cstheme="minorHAnsi"/>
          <w:b/>
          <w:bCs/>
          <w:color w:val="FFFFFF" w:themeColor="background1"/>
        </w:rPr>
      </w:pPr>
      <w:bookmarkStart w:id="19" w:name="_Toc96957658"/>
      <w:r w:rsidRPr="00195692">
        <w:rPr>
          <w:rFonts w:asciiTheme="minorHAnsi" w:hAnsiTheme="minorHAnsi" w:cstheme="minorHAnsi"/>
          <w:b/>
          <w:bCs/>
          <w:color w:val="FFFFFF" w:themeColor="background1"/>
        </w:rPr>
        <w:lastRenderedPageBreak/>
        <w:t>Chapter 1</w:t>
      </w:r>
      <w:bookmarkStart w:id="20" w:name="_Toc96859227"/>
      <w:bookmarkEnd w:id="18"/>
      <w:r w:rsidR="00F00B58" w:rsidRPr="00195692">
        <w:rPr>
          <w:rFonts w:asciiTheme="minorHAnsi" w:hAnsiTheme="minorHAnsi" w:cstheme="minorHAnsi"/>
          <w:b/>
          <w:bCs/>
          <w:color w:val="FFFFFF" w:themeColor="background1"/>
        </w:rPr>
        <w:t xml:space="preserve"> - </w:t>
      </w:r>
      <w:r w:rsidR="006E17BF" w:rsidRPr="00195692">
        <w:rPr>
          <w:rFonts w:asciiTheme="minorHAnsi" w:hAnsiTheme="minorHAnsi" w:cstheme="minorHAnsi"/>
          <w:color w:val="FFFFFF" w:themeColor="background1"/>
        </w:rPr>
        <w:t>Framing Gender Equality Positive Actions in the Public Sector</w:t>
      </w:r>
      <w:bookmarkEnd w:id="19"/>
      <w:bookmarkEnd w:id="20"/>
    </w:p>
    <w:p w14:paraId="431D6B3A" w14:textId="45615CCE" w:rsidR="00026847" w:rsidRPr="00195692" w:rsidRDefault="00026847" w:rsidP="00B25A4E">
      <w:pPr>
        <w:spacing w:after="120"/>
        <w:jc w:val="center"/>
        <w:rPr>
          <w:rFonts w:asciiTheme="minorHAnsi" w:hAnsiTheme="minorHAnsi" w:cstheme="minorHAnsi"/>
          <w:color w:val="FFFFFF" w:themeColor="background1"/>
          <w:sz w:val="22"/>
          <w:szCs w:val="22"/>
        </w:rPr>
      </w:pPr>
    </w:p>
    <w:p w14:paraId="43322D12" w14:textId="373766BD" w:rsidR="003E033C" w:rsidRPr="00C95105" w:rsidRDefault="003E033C" w:rsidP="003E033C">
      <w:pPr>
        <w:spacing w:after="120"/>
        <w:rPr>
          <w:rFonts w:asciiTheme="minorHAnsi" w:hAnsiTheme="minorHAnsi" w:cstheme="minorHAnsi"/>
          <w:sz w:val="22"/>
          <w:szCs w:val="22"/>
        </w:rPr>
      </w:pPr>
      <w:r w:rsidRPr="00C95105">
        <w:rPr>
          <w:rFonts w:asciiTheme="minorHAnsi" w:hAnsiTheme="minorHAnsi" w:cstheme="minorHAnsi"/>
          <w:i/>
          <w:iCs/>
          <w:sz w:val="22"/>
          <w:szCs w:val="22"/>
        </w:rPr>
        <w:t>Prof Cordelia Fine</w:t>
      </w:r>
      <w:r w:rsidRPr="00C95105">
        <w:rPr>
          <w:rFonts w:asciiTheme="minorHAnsi" w:hAnsiTheme="minorHAnsi" w:cstheme="minorHAnsi"/>
          <w:sz w:val="22"/>
          <w:szCs w:val="22"/>
        </w:rPr>
        <w:t xml:space="preserve">, </w:t>
      </w:r>
      <w:r w:rsidR="00ED7C1A" w:rsidRPr="00C95105">
        <w:rPr>
          <w:rFonts w:asciiTheme="minorHAnsi" w:hAnsiTheme="minorHAnsi" w:cstheme="minorHAnsi"/>
          <w:sz w:val="22"/>
          <w:szCs w:val="22"/>
        </w:rPr>
        <w:t>The University of Melbourne</w:t>
      </w:r>
    </w:p>
    <w:p w14:paraId="58F91899" w14:textId="537128CF" w:rsidR="00ED7C1A" w:rsidRPr="00C95105" w:rsidRDefault="00ED7C1A" w:rsidP="003E033C">
      <w:pPr>
        <w:spacing w:after="120"/>
        <w:rPr>
          <w:rFonts w:asciiTheme="minorHAnsi" w:hAnsiTheme="minorHAnsi" w:cstheme="minorHAnsi"/>
          <w:sz w:val="22"/>
          <w:szCs w:val="22"/>
        </w:rPr>
      </w:pPr>
      <w:r w:rsidRPr="00C95105">
        <w:rPr>
          <w:rFonts w:asciiTheme="minorHAnsi" w:hAnsiTheme="minorHAnsi" w:cstheme="minorHAnsi"/>
          <w:i/>
          <w:iCs/>
          <w:sz w:val="22"/>
          <w:szCs w:val="22"/>
        </w:rPr>
        <w:t>Prof Michelle Ryan</w:t>
      </w:r>
      <w:r w:rsidRPr="00C95105">
        <w:rPr>
          <w:rFonts w:asciiTheme="minorHAnsi" w:hAnsiTheme="minorHAnsi" w:cstheme="minorHAnsi"/>
          <w:sz w:val="22"/>
          <w:szCs w:val="22"/>
        </w:rPr>
        <w:t xml:space="preserve">, </w:t>
      </w:r>
      <w:r w:rsidR="00234213" w:rsidRPr="00C95105">
        <w:rPr>
          <w:rFonts w:asciiTheme="minorHAnsi" w:hAnsiTheme="minorHAnsi" w:cstheme="minorHAnsi"/>
          <w:sz w:val="22"/>
          <w:szCs w:val="22"/>
        </w:rPr>
        <w:t>The Australian National University</w:t>
      </w:r>
    </w:p>
    <w:p w14:paraId="654D33FC" w14:textId="0DAEAE26" w:rsidR="00234213" w:rsidRPr="00C95105" w:rsidRDefault="00234213" w:rsidP="003E033C">
      <w:pPr>
        <w:spacing w:after="120"/>
        <w:rPr>
          <w:rFonts w:asciiTheme="minorHAnsi" w:hAnsiTheme="minorHAnsi" w:cstheme="minorHAnsi"/>
          <w:sz w:val="22"/>
          <w:szCs w:val="22"/>
        </w:rPr>
      </w:pPr>
      <w:r w:rsidRPr="00C95105">
        <w:rPr>
          <w:rFonts w:asciiTheme="minorHAnsi" w:hAnsiTheme="minorHAnsi" w:cstheme="minorHAnsi"/>
          <w:i/>
          <w:iCs/>
          <w:sz w:val="22"/>
          <w:szCs w:val="22"/>
        </w:rPr>
        <w:t>Dr Victor Sojo</w:t>
      </w:r>
      <w:r w:rsidRPr="00C95105">
        <w:rPr>
          <w:rFonts w:asciiTheme="minorHAnsi" w:hAnsiTheme="minorHAnsi" w:cstheme="minorHAnsi"/>
          <w:sz w:val="22"/>
          <w:szCs w:val="22"/>
        </w:rPr>
        <w:t xml:space="preserve">, The University of </w:t>
      </w:r>
      <w:r w:rsidR="00B0626C" w:rsidRPr="00C95105">
        <w:rPr>
          <w:rFonts w:asciiTheme="minorHAnsi" w:hAnsiTheme="minorHAnsi" w:cstheme="minorHAnsi"/>
          <w:sz w:val="22"/>
          <w:szCs w:val="22"/>
        </w:rPr>
        <w:t>Melbourne</w:t>
      </w:r>
      <w:r w:rsidR="00195692" w:rsidRPr="00C95105">
        <w:rPr>
          <w:rFonts w:asciiTheme="minorHAnsi" w:hAnsiTheme="minorHAnsi" w:cstheme="minorHAnsi"/>
          <w:noProof/>
          <w:color w:val="000000" w:themeColor="text1"/>
          <w:sz w:val="28"/>
          <w:szCs w:val="28"/>
        </w:rPr>
        <mc:AlternateContent>
          <mc:Choice Requires="wps">
            <w:drawing>
              <wp:anchor distT="0" distB="0" distL="114300" distR="114300" simplePos="0" relativeHeight="251658263" behindDoc="1" locked="1" layoutInCell="1" allowOverlap="1" wp14:anchorId="015B9E35" wp14:editId="06C8F149">
                <wp:simplePos x="0" y="0"/>
                <wp:positionH relativeFrom="page">
                  <wp:posOffset>-176530</wp:posOffset>
                </wp:positionH>
                <wp:positionV relativeFrom="page">
                  <wp:posOffset>-46990</wp:posOffset>
                </wp:positionV>
                <wp:extent cx="8051800" cy="1638300"/>
                <wp:effectExtent l="0" t="0" r="0" b="0"/>
                <wp:wrapNone/>
                <wp:docPr id="142"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51800" cy="1638300"/>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B09A9" id="Divider A BG" o:spid="_x0000_s1026" alt="&quot;&quot;" style="position:absolute;margin-left:-13.9pt;margin-top:-3.7pt;width:634pt;height:129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" fillcolor="#1c407f" stroked="f" strokeweight="1pt">
                <o:lock v:ext="edit" aspectratio="t"/>
                <w10:wrap anchorx="page" anchory="page"/>
                <w10:anchorlock/>
              </v:rect>
            </w:pict>
          </mc:Fallback>
        </mc:AlternateContent>
      </w:r>
    </w:p>
    <w:p w14:paraId="23EB0B18" w14:textId="77777777" w:rsidR="00E34BEE" w:rsidRPr="00C95105" w:rsidRDefault="00E34BEE" w:rsidP="003E033C">
      <w:pPr>
        <w:spacing w:after="120"/>
        <w:rPr>
          <w:rFonts w:asciiTheme="minorHAnsi" w:hAnsiTheme="minorHAnsi" w:cstheme="minorHAnsi"/>
          <w:sz w:val="22"/>
          <w:szCs w:val="22"/>
        </w:rPr>
      </w:pPr>
    </w:p>
    <w:p w14:paraId="0B560413" w14:textId="116EF8D4" w:rsidR="00B0626C" w:rsidRPr="00C95105" w:rsidRDefault="00E34BEE" w:rsidP="0093280F">
      <w:pPr>
        <w:pStyle w:val="Heading2"/>
        <w:numPr>
          <w:ilvl w:val="1"/>
          <w:numId w:val="7"/>
        </w:numPr>
        <w:spacing w:before="0" w:after="120"/>
        <w:ind w:left="425" w:hanging="425"/>
        <w:rPr>
          <w:rFonts w:asciiTheme="minorHAnsi" w:hAnsiTheme="minorHAnsi" w:cstheme="minorHAnsi"/>
          <w:b/>
          <w:bCs/>
        </w:rPr>
      </w:pPr>
      <w:bookmarkStart w:id="21" w:name="_Toc96859228"/>
      <w:bookmarkStart w:id="22" w:name="_Toc96957659"/>
      <w:r w:rsidRPr="00C95105">
        <w:rPr>
          <w:rFonts w:asciiTheme="minorHAnsi" w:hAnsiTheme="minorHAnsi" w:cstheme="minorHAnsi"/>
          <w:b/>
          <w:bCs/>
        </w:rPr>
        <w:t>Introduction</w:t>
      </w:r>
      <w:bookmarkEnd w:id="21"/>
      <w:bookmarkEnd w:id="22"/>
    </w:p>
    <w:p w14:paraId="27DE5654" w14:textId="143FE51E" w:rsidR="00586A12" w:rsidRPr="00C95105" w:rsidRDefault="00586A12" w:rsidP="00200CE6">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What positive actions should Victorian public sector organisations take to promote workplace gender equality, as required by the Gender Equality Act 2020</w:t>
      </w:r>
      <w:r w:rsidR="00A96B5E" w:rsidRPr="00C95105">
        <w:rPr>
          <w:rFonts w:asciiTheme="minorHAnsi" w:hAnsiTheme="minorHAnsi" w:cstheme="minorHAnsi"/>
          <w:sz w:val="22"/>
          <w:szCs w:val="22"/>
        </w:rPr>
        <w:t xml:space="preserve"> (Vic). </w:t>
      </w:r>
      <w:r w:rsidRPr="00C95105">
        <w:rPr>
          <w:rFonts w:asciiTheme="minorHAnsi" w:hAnsiTheme="minorHAnsi" w:cstheme="minorHAnsi"/>
          <w:sz w:val="22"/>
          <w:szCs w:val="22"/>
        </w:rPr>
        <w:t>The purpose of this report is to help policy makers answer this question for their own organisations, by considering both ‘what works’ and ‘what’s fair’.</w:t>
      </w:r>
    </w:p>
    <w:p w14:paraId="17A29B07" w14:textId="3BFB28E7" w:rsidR="00586A12" w:rsidRPr="00C95105" w:rsidRDefault="00586A12" w:rsidP="00200CE6">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With regards to identifying ‘what works’, we provide four brief reports that offer findings and recommendations based on systematic reviews of specific strategies to promote gender equality: anonymised application procedures; uptake of paternity leave; three gender pay equity strategies (pay audits, pay transparency and job evaluation)</w:t>
      </w:r>
      <w:r w:rsidR="251A9B02" w:rsidRPr="00C95105">
        <w:rPr>
          <w:rFonts w:asciiTheme="minorHAnsi" w:hAnsiTheme="minorHAnsi" w:cstheme="minorHAnsi"/>
          <w:sz w:val="22"/>
          <w:szCs w:val="22"/>
        </w:rPr>
        <w:t>; and</w:t>
      </w:r>
      <w:r w:rsidRPr="00C95105">
        <w:rPr>
          <w:rFonts w:asciiTheme="minorHAnsi" w:hAnsiTheme="minorHAnsi" w:cstheme="minorHAnsi"/>
          <w:sz w:val="22"/>
          <w:szCs w:val="22"/>
        </w:rPr>
        <w:t xml:space="preserve"> gender targets and quotas in </w:t>
      </w:r>
      <w:r w:rsidR="0045714B" w:rsidRPr="00C95105">
        <w:rPr>
          <w:rFonts w:asciiTheme="minorHAnsi" w:hAnsiTheme="minorHAnsi" w:cstheme="minorHAnsi"/>
          <w:sz w:val="22"/>
          <w:szCs w:val="22"/>
        </w:rPr>
        <w:t>leadership.</w:t>
      </w:r>
      <w:r w:rsidRPr="00C95105">
        <w:rPr>
          <w:rFonts w:asciiTheme="minorHAnsi" w:hAnsiTheme="minorHAnsi" w:cstheme="minorHAnsi"/>
          <w:sz w:val="22"/>
          <w:szCs w:val="22"/>
        </w:rPr>
        <w:t xml:space="preserve"> In addition, a fifth report presents findings and recommendation based on a systematic review of the organisational drivers of sexual harassment in the public sector. Initial recommendations derived from all but the gender pay equity review were evaluated and discussed in a deliberative forum with key </w:t>
      </w:r>
      <w:r w:rsidR="00EE6B65" w:rsidRPr="00C95105">
        <w:rPr>
          <w:rFonts w:asciiTheme="minorHAnsi" w:hAnsiTheme="minorHAnsi" w:cstheme="minorHAnsi"/>
          <w:sz w:val="22"/>
          <w:szCs w:val="22"/>
        </w:rPr>
        <w:t xml:space="preserve">Victorian Government </w:t>
      </w:r>
      <w:r w:rsidR="004B0E88" w:rsidRPr="00C95105">
        <w:rPr>
          <w:rFonts w:asciiTheme="minorHAnsi" w:hAnsiTheme="minorHAnsi" w:cstheme="minorHAnsi"/>
          <w:sz w:val="22"/>
          <w:szCs w:val="22"/>
        </w:rPr>
        <w:t>stakeholders and</w:t>
      </w:r>
      <w:r w:rsidRPr="00C95105">
        <w:rPr>
          <w:rFonts w:asciiTheme="minorHAnsi" w:hAnsiTheme="minorHAnsi" w:cstheme="minorHAnsi"/>
          <w:sz w:val="22"/>
          <w:szCs w:val="22"/>
        </w:rPr>
        <w:t xml:space="preserve"> revised in response to this feedback. </w:t>
      </w:r>
    </w:p>
    <w:p w14:paraId="54220C18" w14:textId="77777777" w:rsidR="00586A12" w:rsidRPr="00C95105" w:rsidRDefault="00586A12" w:rsidP="00200CE6">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However, the question of what positive actions </w:t>
      </w:r>
      <w:r w:rsidRPr="00C95105">
        <w:rPr>
          <w:rFonts w:asciiTheme="minorHAnsi" w:hAnsiTheme="minorHAnsi" w:cstheme="minorHAnsi"/>
          <w:i/>
          <w:iCs/>
          <w:sz w:val="22"/>
          <w:szCs w:val="22"/>
        </w:rPr>
        <w:t>should</w:t>
      </w:r>
      <w:r w:rsidRPr="00C95105">
        <w:rPr>
          <w:rFonts w:asciiTheme="minorHAnsi" w:hAnsiTheme="minorHAnsi" w:cstheme="minorHAnsi"/>
          <w:sz w:val="22"/>
          <w:szCs w:val="22"/>
        </w:rPr>
        <w:t xml:space="preserve"> be taken is not just an empirical question, a matter of ‘what works’. It is also an ethical one, a matter of ‘what’s fair’. The purpose of this introduction is therefore to provide some background for thinking about the actual and perceived legitimacy of different positive actions.</w:t>
      </w:r>
    </w:p>
    <w:p w14:paraId="3936E988" w14:textId="2CC0C6C5" w:rsidR="00586A12" w:rsidRPr="00C95105" w:rsidRDefault="00586A12" w:rsidP="00200CE6">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the first section, we put the Gender Equality Act’s gender equality indicators into context – that is, as </w:t>
      </w:r>
      <w:r w:rsidRPr="00C95105">
        <w:rPr>
          <w:rFonts w:asciiTheme="minorHAnsi" w:hAnsiTheme="minorHAnsi" w:cstheme="minorHAnsi"/>
          <w:i/>
          <w:iCs/>
          <w:sz w:val="22"/>
          <w:szCs w:val="22"/>
        </w:rPr>
        <w:t>outcomes</w:t>
      </w:r>
      <w:r w:rsidRPr="00C95105">
        <w:rPr>
          <w:rFonts w:asciiTheme="minorHAnsi" w:hAnsiTheme="minorHAnsi" w:cstheme="minorHAnsi"/>
          <w:sz w:val="22"/>
          <w:szCs w:val="22"/>
        </w:rPr>
        <w:t xml:space="preserve"> brought about by many different factors that are often contested or not fully understood. The second section sets out dimensions along which strategies can vary. We use examples from the systematic reviews to illustrate these dimensions, but they will also be useful for policy makers considering other strategies, and aid in anticipating, understanding and addressing concerns about the legitimacy of different positive actions. </w:t>
      </w:r>
    </w:p>
    <w:p w14:paraId="0AA9E711" w14:textId="77777777" w:rsidR="00586A12" w:rsidRPr="00C95105" w:rsidRDefault="00586A12" w:rsidP="005D5F97">
      <w:pPr>
        <w:spacing w:after="120"/>
        <w:rPr>
          <w:rFonts w:asciiTheme="minorHAnsi" w:hAnsiTheme="minorHAnsi" w:cstheme="minorHAnsi"/>
          <w:sz w:val="22"/>
          <w:szCs w:val="22"/>
        </w:rPr>
      </w:pPr>
    </w:p>
    <w:p w14:paraId="331236CB" w14:textId="479B7E23" w:rsidR="00586A12" w:rsidRPr="00C95105" w:rsidRDefault="0092701F" w:rsidP="0093280F">
      <w:pPr>
        <w:pStyle w:val="Heading2"/>
        <w:numPr>
          <w:ilvl w:val="1"/>
          <w:numId w:val="7"/>
        </w:numPr>
        <w:spacing w:before="0" w:after="120"/>
        <w:ind w:left="425" w:hanging="425"/>
        <w:rPr>
          <w:rFonts w:asciiTheme="minorHAnsi" w:hAnsiTheme="minorHAnsi" w:cstheme="minorHAnsi"/>
          <w:b/>
          <w:bCs/>
        </w:rPr>
      </w:pPr>
      <w:bookmarkStart w:id="23" w:name="_Toc96859229"/>
      <w:r w:rsidRPr="00C95105">
        <w:rPr>
          <w:rFonts w:asciiTheme="minorHAnsi" w:hAnsiTheme="minorHAnsi" w:cstheme="minorHAnsi"/>
          <w:b/>
          <w:bCs/>
        </w:rPr>
        <w:t xml:space="preserve"> </w:t>
      </w:r>
      <w:bookmarkStart w:id="24" w:name="_Toc96957660"/>
      <w:r w:rsidR="008A2BD9" w:rsidRPr="00C95105">
        <w:rPr>
          <w:rFonts w:asciiTheme="minorHAnsi" w:hAnsiTheme="minorHAnsi" w:cstheme="minorHAnsi"/>
          <w:b/>
          <w:bCs/>
        </w:rPr>
        <w:t>The Gender Equality Indicators in Context</w:t>
      </w:r>
      <w:bookmarkEnd w:id="23"/>
      <w:bookmarkEnd w:id="24"/>
    </w:p>
    <w:p w14:paraId="58E7675D" w14:textId="7CA4A864" w:rsidR="00200CE6" w:rsidRPr="00C95105" w:rsidRDefault="00586A12" w:rsidP="00200CE6">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Gender Equality Act </w:t>
      </w:r>
      <w:r w:rsidR="00A96B5E" w:rsidRPr="00C95105">
        <w:rPr>
          <w:rFonts w:asciiTheme="minorHAnsi" w:hAnsiTheme="minorHAnsi" w:cstheme="minorHAnsi"/>
          <w:sz w:val="22"/>
          <w:szCs w:val="22"/>
        </w:rPr>
        <w:t xml:space="preserve">2020 (Vic) </w:t>
      </w:r>
      <w:r w:rsidRPr="00C95105">
        <w:rPr>
          <w:rFonts w:asciiTheme="minorHAnsi" w:hAnsiTheme="minorHAnsi" w:cstheme="minorHAnsi"/>
          <w:sz w:val="22"/>
          <w:szCs w:val="22"/>
        </w:rPr>
        <w:t xml:space="preserve">sets out seven workplace gender equality indicators: gender pay equity; gender composition of all levels of the workforce; gender composition of governing bodies; workplace sexual harassment; recruitment and promotion; gendered work segregation; and leave and flexibility. These are rightly understood as potential </w:t>
      </w:r>
      <w:r w:rsidRPr="00C95105">
        <w:rPr>
          <w:rFonts w:asciiTheme="minorHAnsi" w:hAnsiTheme="minorHAnsi" w:cstheme="minorHAnsi"/>
          <w:i/>
          <w:iCs/>
          <w:sz w:val="22"/>
          <w:szCs w:val="22"/>
        </w:rPr>
        <w:t xml:space="preserve">indicators </w:t>
      </w:r>
      <w:r w:rsidRPr="00C95105">
        <w:rPr>
          <w:rFonts w:asciiTheme="minorHAnsi" w:hAnsiTheme="minorHAnsi" w:cstheme="minorHAnsi"/>
          <w:sz w:val="22"/>
          <w:szCs w:val="22"/>
        </w:rPr>
        <w:t xml:space="preserve">of underlying systemic and unfair </w:t>
      </w:r>
      <w:r w:rsidRPr="00C95105">
        <w:rPr>
          <w:rFonts w:asciiTheme="minorHAnsi" w:hAnsiTheme="minorHAnsi" w:cstheme="minorHAnsi"/>
          <w:i/>
          <w:iCs/>
          <w:sz w:val="22"/>
          <w:szCs w:val="22"/>
        </w:rPr>
        <w:t>causes</w:t>
      </w:r>
      <w:r w:rsidRPr="00C95105">
        <w:rPr>
          <w:rFonts w:asciiTheme="minorHAnsi" w:hAnsiTheme="minorHAnsi" w:cstheme="minorHAnsi"/>
          <w:sz w:val="22"/>
          <w:szCs w:val="22"/>
        </w:rPr>
        <w:t xml:space="preserve"> of differential outcomes that defined entities should seek to redress. The Act also requires organisations to consider how contributing causes may be compounded or differ depending on employees’ other characteristics (race, Aboriginality, religion, ethnicity, disability, age, sexual orientation and gender identity).</w:t>
      </w:r>
    </w:p>
    <w:p w14:paraId="3F0CF928" w14:textId="55262F17" w:rsidR="0054203B" w:rsidRPr="00C95105" w:rsidRDefault="00586A12" w:rsidP="0054203B">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It is worth making this point explicit, because controversies and resistance regarding positive actions to promote gender equality generally do not arise from disagreement over the facts of the gender indicators themselves (e.g., the actual gender composition of a governing body or the magnitude of differences between genders in the uptake of flexible work). Instead, the</w:t>
      </w:r>
      <w:r w:rsidR="00B36991" w:rsidRPr="00C95105">
        <w:rPr>
          <w:rFonts w:asciiTheme="minorHAnsi" w:hAnsiTheme="minorHAnsi" w:cstheme="minorHAnsi"/>
          <w:sz w:val="22"/>
          <w:szCs w:val="22"/>
        </w:rPr>
        <w:t xml:space="preserve"> </w:t>
      </w:r>
      <w:r w:rsidR="00B36991" w:rsidRPr="00C95105">
        <w:rPr>
          <w:rFonts w:asciiTheme="minorHAnsi" w:hAnsiTheme="minorHAnsi" w:cstheme="minorHAnsi"/>
          <w:sz w:val="22"/>
          <w:szCs w:val="22"/>
        </w:rPr>
        <w:lastRenderedPageBreak/>
        <w:t>disagreements</w:t>
      </w:r>
      <w:r w:rsidRPr="00C95105">
        <w:rPr>
          <w:rFonts w:asciiTheme="minorHAnsi" w:hAnsiTheme="minorHAnsi" w:cstheme="minorHAnsi"/>
          <w:sz w:val="22"/>
          <w:szCs w:val="22"/>
        </w:rPr>
        <w:t xml:space="preserve"> stem from different views on ‘what’s fair’. These </w:t>
      </w:r>
      <w:r w:rsidR="00BC0CC7" w:rsidRPr="00C95105">
        <w:rPr>
          <w:rFonts w:asciiTheme="minorHAnsi" w:hAnsiTheme="minorHAnsi" w:cstheme="minorHAnsi"/>
          <w:sz w:val="22"/>
          <w:szCs w:val="22"/>
        </w:rPr>
        <w:t xml:space="preserve">views </w:t>
      </w:r>
      <w:r w:rsidRPr="00C95105">
        <w:rPr>
          <w:rFonts w:asciiTheme="minorHAnsi" w:hAnsiTheme="minorHAnsi" w:cstheme="minorHAnsi"/>
          <w:sz w:val="22"/>
          <w:szCs w:val="22"/>
        </w:rPr>
        <w:t xml:space="preserve">will be based on beliefs and assumptions about </w:t>
      </w:r>
      <w:r w:rsidR="00BC0CC7" w:rsidRPr="00C95105">
        <w:rPr>
          <w:rFonts w:asciiTheme="minorHAnsi" w:hAnsiTheme="minorHAnsi" w:cstheme="minorHAnsi"/>
          <w:sz w:val="22"/>
          <w:szCs w:val="22"/>
        </w:rPr>
        <w:t xml:space="preserve">(i) </w:t>
      </w:r>
      <w:r w:rsidRPr="00C95105">
        <w:rPr>
          <w:rFonts w:asciiTheme="minorHAnsi" w:hAnsiTheme="minorHAnsi" w:cstheme="minorHAnsi"/>
          <w:sz w:val="22"/>
          <w:szCs w:val="22"/>
        </w:rPr>
        <w:t xml:space="preserve">what </w:t>
      </w:r>
      <w:r w:rsidRPr="00C95105">
        <w:rPr>
          <w:rFonts w:asciiTheme="minorHAnsi" w:hAnsiTheme="minorHAnsi" w:cstheme="minorHAnsi"/>
          <w:i/>
          <w:iCs/>
          <w:sz w:val="22"/>
          <w:szCs w:val="22"/>
        </w:rPr>
        <w:t>causes</w:t>
      </w:r>
      <w:r w:rsidRPr="00C95105">
        <w:rPr>
          <w:rFonts w:asciiTheme="minorHAnsi" w:hAnsiTheme="minorHAnsi" w:cstheme="minorHAnsi"/>
          <w:sz w:val="22"/>
          <w:szCs w:val="22"/>
        </w:rPr>
        <w:t xml:space="preserve"> those inequalities, </w:t>
      </w:r>
      <w:r w:rsidR="00BC0CC7" w:rsidRPr="00C95105">
        <w:rPr>
          <w:rFonts w:asciiTheme="minorHAnsi" w:hAnsiTheme="minorHAnsi" w:cstheme="minorHAnsi"/>
          <w:sz w:val="22"/>
          <w:szCs w:val="22"/>
        </w:rPr>
        <w:t xml:space="preserve">(ii) </w:t>
      </w:r>
      <w:r w:rsidRPr="00C95105">
        <w:rPr>
          <w:rFonts w:asciiTheme="minorHAnsi" w:hAnsiTheme="minorHAnsi" w:cstheme="minorHAnsi"/>
          <w:sz w:val="22"/>
          <w:szCs w:val="22"/>
        </w:rPr>
        <w:t>whether those causes represent an injustice or unfairness that should be remedied, and</w:t>
      </w:r>
      <w:r w:rsidR="00853ED4" w:rsidRPr="00C95105">
        <w:rPr>
          <w:rFonts w:asciiTheme="minorHAnsi" w:hAnsiTheme="minorHAnsi" w:cstheme="minorHAnsi"/>
          <w:sz w:val="22"/>
          <w:szCs w:val="22"/>
        </w:rPr>
        <w:t xml:space="preserve"> (iii) </w:t>
      </w:r>
      <w:r w:rsidR="0062471A" w:rsidRPr="00C95105">
        <w:rPr>
          <w:rFonts w:asciiTheme="minorHAnsi" w:hAnsiTheme="minorHAnsi" w:cstheme="minorHAnsi"/>
          <w:sz w:val="22"/>
          <w:szCs w:val="22"/>
        </w:rPr>
        <w:t>considering</w:t>
      </w:r>
      <w:r w:rsidRPr="00C95105">
        <w:rPr>
          <w:rFonts w:asciiTheme="minorHAnsi" w:hAnsiTheme="minorHAnsi" w:cstheme="minorHAnsi"/>
          <w:sz w:val="22"/>
          <w:szCs w:val="22"/>
        </w:rPr>
        <w:t xml:space="preserve"> all organisational stakeholders and values, what steps can justifiably be taken to address the</w:t>
      </w:r>
      <w:r w:rsidR="00AF4CFE" w:rsidRPr="00C95105">
        <w:rPr>
          <w:rFonts w:asciiTheme="minorHAnsi" w:hAnsiTheme="minorHAnsi" w:cstheme="minorHAnsi"/>
          <w:sz w:val="22"/>
          <w:szCs w:val="22"/>
        </w:rPr>
        <w:t>se disparities</w:t>
      </w:r>
      <w:r w:rsidRPr="00C95105">
        <w:rPr>
          <w:rFonts w:asciiTheme="minorHAnsi" w:hAnsiTheme="minorHAnsi" w:cstheme="minorHAnsi"/>
          <w:sz w:val="22"/>
          <w:szCs w:val="22"/>
        </w:rPr>
        <w:t>.</w:t>
      </w:r>
    </w:p>
    <w:p w14:paraId="18CA49B6" w14:textId="0DE0317F" w:rsidR="00586A12" w:rsidRPr="00C95105" w:rsidRDefault="00586A12" w:rsidP="0054203B">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A well-known distinction underlying many such tensions is equality of </w:t>
      </w:r>
      <w:r w:rsidRPr="00C95105">
        <w:rPr>
          <w:rFonts w:asciiTheme="minorHAnsi" w:hAnsiTheme="minorHAnsi" w:cstheme="minorHAnsi"/>
          <w:i/>
          <w:iCs/>
          <w:sz w:val="22"/>
          <w:szCs w:val="22"/>
        </w:rPr>
        <w:t>opportunity</w:t>
      </w:r>
      <w:r w:rsidRPr="00C95105">
        <w:rPr>
          <w:rFonts w:asciiTheme="minorHAnsi" w:hAnsiTheme="minorHAnsi" w:cstheme="minorHAnsi"/>
          <w:sz w:val="22"/>
          <w:szCs w:val="22"/>
        </w:rPr>
        <w:t xml:space="preserve"> versus equality of </w:t>
      </w:r>
      <w:r w:rsidRPr="00C95105">
        <w:rPr>
          <w:rFonts w:asciiTheme="minorHAnsi" w:hAnsiTheme="minorHAnsi" w:cstheme="minorHAnsi"/>
          <w:i/>
          <w:iCs/>
          <w:sz w:val="22"/>
          <w:szCs w:val="22"/>
        </w:rPr>
        <w:t>outcome</w:t>
      </w:r>
      <w:r w:rsidRPr="00C95105">
        <w:rPr>
          <w:rFonts w:asciiTheme="minorHAnsi" w:hAnsiTheme="minorHAnsi" w:cstheme="minorHAnsi"/>
          <w:sz w:val="22"/>
          <w:szCs w:val="22"/>
        </w:rPr>
        <w:t xml:space="preserve">. There is now widespread consensus that gender (and other protected characteristics) should not be a barrier to workplace opportunities. However, the gender indicators represent group-based </w:t>
      </w:r>
      <w:r w:rsidRPr="00C95105">
        <w:rPr>
          <w:rFonts w:asciiTheme="minorHAnsi" w:hAnsiTheme="minorHAnsi" w:cstheme="minorHAnsi"/>
          <w:i/>
          <w:iCs/>
          <w:sz w:val="22"/>
          <w:szCs w:val="22"/>
        </w:rPr>
        <w:t>outcomes</w:t>
      </w:r>
      <w:r w:rsidRPr="00C95105">
        <w:rPr>
          <w:rFonts w:asciiTheme="minorHAnsi" w:hAnsiTheme="minorHAnsi" w:cstheme="minorHAnsi"/>
          <w:sz w:val="22"/>
          <w:szCs w:val="22"/>
        </w:rPr>
        <w:t>, with multifaceted (and often contested) causes. It’s useful to divide these into three kinds of causes (see Figure 1</w:t>
      </w:r>
      <w:r w:rsidR="00A409E9" w:rsidRPr="00C95105">
        <w:rPr>
          <w:rFonts w:asciiTheme="minorHAnsi" w:hAnsiTheme="minorHAnsi" w:cstheme="minorHAnsi"/>
          <w:sz w:val="22"/>
          <w:szCs w:val="22"/>
        </w:rPr>
        <w:t>.1</w:t>
      </w:r>
      <w:r w:rsidRPr="00C95105">
        <w:rPr>
          <w:rFonts w:asciiTheme="minorHAnsi" w:hAnsiTheme="minorHAnsi" w:cstheme="minorHAnsi"/>
          <w:sz w:val="22"/>
          <w:szCs w:val="22"/>
        </w:rPr>
        <w:t xml:space="preserve"> using the gender pay gap as an example):</w:t>
      </w:r>
    </w:p>
    <w:p w14:paraId="237A9BD1" w14:textId="7A978D90" w:rsidR="00586A12" w:rsidRPr="00C95105" w:rsidRDefault="002344F8" w:rsidP="0093280F">
      <w:pPr>
        <w:pStyle w:val="ListParagraph"/>
        <w:numPr>
          <w:ilvl w:val="0"/>
          <w:numId w:val="6"/>
        </w:numPr>
        <w:spacing w:after="120"/>
        <w:ind w:hanging="153"/>
        <w:rPr>
          <w:rFonts w:asciiTheme="minorHAnsi" w:hAnsiTheme="minorHAnsi" w:cstheme="minorHAnsi"/>
          <w:sz w:val="22"/>
          <w:szCs w:val="22"/>
        </w:rPr>
      </w:pPr>
      <w:bookmarkStart w:id="25" w:name="_Toc96866387"/>
      <w:bookmarkStart w:id="26" w:name="_Toc96866589"/>
      <w:bookmarkStart w:id="27" w:name="_Toc96878256"/>
      <w:r w:rsidRPr="00C95105">
        <w:rPr>
          <w:rFonts w:asciiTheme="minorHAnsi" w:hAnsiTheme="minorHAnsi" w:cstheme="minorHAnsi"/>
          <w:i/>
          <w:iCs/>
          <w:sz w:val="22"/>
          <w:szCs w:val="22"/>
        </w:rPr>
        <w:t>Individual gender factors:</w:t>
      </w:r>
      <w:r w:rsidRPr="00C95105">
        <w:rPr>
          <w:rFonts w:asciiTheme="minorHAnsi" w:hAnsiTheme="minorHAnsi" w:cstheme="minorHAnsi"/>
          <w:sz w:val="22"/>
          <w:szCs w:val="22"/>
        </w:rPr>
        <w:t xml:space="preserve"> </w:t>
      </w:r>
      <w:r w:rsidR="00586A12" w:rsidRPr="00C95105">
        <w:rPr>
          <w:rFonts w:asciiTheme="minorHAnsi" w:hAnsiTheme="minorHAnsi" w:cstheme="minorHAnsi"/>
          <w:sz w:val="22"/>
          <w:szCs w:val="22"/>
        </w:rPr>
        <w:t>Systematic gender differences in genuinely free choices (e.g., inherent differences in preferences or values)</w:t>
      </w:r>
      <w:r w:rsidRPr="00C95105">
        <w:rPr>
          <w:rFonts w:asciiTheme="minorHAnsi" w:hAnsiTheme="minorHAnsi" w:cstheme="minorHAnsi"/>
          <w:sz w:val="22"/>
          <w:szCs w:val="22"/>
        </w:rPr>
        <w:t>;</w:t>
      </w:r>
      <w:bookmarkEnd w:id="25"/>
      <w:bookmarkEnd w:id="26"/>
      <w:bookmarkEnd w:id="27"/>
    </w:p>
    <w:p w14:paraId="31B86C74" w14:textId="17C75FD4" w:rsidR="00586A12" w:rsidRPr="00C95105" w:rsidRDefault="002344F8" w:rsidP="0093280F">
      <w:pPr>
        <w:pStyle w:val="ListParagraph"/>
        <w:numPr>
          <w:ilvl w:val="0"/>
          <w:numId w:val="6"/>
        </w:numPr>
        <w:spacing w:after="120"/>
        <w:ind w:hanging="153"/>
        <w:rPr>
          <w:rFonts w:asciiTheme="minorHAnsi" w:hAnsiTheme="minorHAnsi" w:cstheme="minorHAnsi"/>
          <w:sz w:val="22"/>
          <w:szCs w:val="22"/>
        </w:rPr>
      </w:pPr>
      <w:bookmarkStart w:id="28" w:name="_Toc96866388"/>
      <w:bookmarkStart w:id="29" w:name="_Toc96866590"/>
      <w:bookmarkStart w:id="30" w:name="_Toc96878257"/>
      <w:r w:rsidRPr="00C95105">
        <w:rPr>
          <w:rFonts w:asciiTheme="minorHAnsi" w:hAnsiTheme="minorHAnsi" w:cstheme="minorHAnsi"/>
          <w:i/>
          <w:iCs/>
          <w:sz w:val="22"/>
          <w:szCs w:val="22"/>
        </w:rPr>
        <w:t>Non-organisational gender factors:</w:t>
      </w:r>
      <w:r w:rsidRPr="00C95105">
        <w:rPr>
          <w:rFonts w:asciiTheme="minorHAnsi" w:hAnsiTheme="minorHAnsi" w:cstheme="minorHAnsi"/>
          <w:sz w:val="22"/>
          <w:szCs w:val="22"/>
        </w:rPr>
        <w:t xml:space="preserve"> </w:t>
      </w:r>
      <w:r w:rsidR="00586A12" w:rsidRPr="00C95105">
        <w:rPr>
          <w:rFonts w:asciiTheme="minorHAnsi" w:hAnsiTheme="minorHAnsi" w:cstheme="minorHAnsi"/>
          <w:sz w:val="22"/>
          <w:szCs w:val="22"/>
        </w:rPr>
        <w:t xml:space="preserve">Systematic gender differences in choices or outcomes arising from </w:t>
      </w:r>
      <w:r w:rsidR="00310BD5" w:rsidRPr="00C95105">
        <w:rPr>
          <w:rFonts w:asciiTheme="minorHAnsi" w:hAnsiTheme="minorHAnsi" w:cstheme="minorHAnsi"/>
          <w:sz w:val="22"/>
          <w:szCs w:val="22"/>
        </w:rPr>
        <w:t xml:space="preserve">outside-the-organisation social and family conditions </w:t>
      </w:r>
      <w:r w:rsidR="00586A12" w:rsidRPr="00C95105">
        <w:rPr>
          <w:rFonts w:asciiTheme="minorHAnsi" w:hAnsiTheme="minorHAnsi" w:cstheme="minorHAnsi"/>
          <w:sz w:val="22"/>
          <w:szCs w:val="22"/>
        </w:rPr>
        <w:t>(e.g., household division of labour, societal gender norms, childhood gender socialisation);</w:t>
      </w:r>
      <w:bookmarkEnd w:id="28"/>
      <w:bookmarkEnd w:id="29"/>
      <w:bookmarkEnd w:id="30"/>
    </w:p>
    <w:p w14:paraId="0B257B94" w14:textId="5129CFC1" w:rsidR="00586A12" w:rsidRPr="00C95105" w:rsidRDefault="00310BD5" w:rsidP="0093280F">
      <w:pPr>
        <w:pStyle w:val="ListParagraph"/>
        <w:numPr>
          <w:ilvl w:val="0"/>
          <w:numId w:val="6"/>
        </w:numPr>
        <w:spacing w:after="120"/>
        <w:ind w:hanging="153"/>
        <w:rPr>
          <w:rFonts w:asciiTheme="minorHAnsi" w:hAnsiTheme="minorHAnsi" w:cstheme="minorHAnsi"/>
          <w:sz w:val="22"/>
          <w:szCs w:val="22"/>
        </w:rPr>
      </w:pPr>
      <w:bookmarkStart w:id="31" w:name="_Toc96866389"/>
      <w:bookmarkStart w:id="32" w:name="_Toc96866591"/>
      <w:bookmarkStart w:id="33" w:name="_Toc96878258"/>
      <w:r w:rsidRPr="00C95105">
        <w:rPr>
          <w:rFonts w:asciiTheme="minorHAnsi" w:hAnsiTheme="minorHAnsi" w:cstheme="minorHAnsi"/>
          <w:i/>
          <w:iCs/>
          <w:sz w:val="22"/>
          <w:szCs w:val="22"/>
        </w:rPr>
        <w:t>Organisational gender factors</w:t>
      </w:r>
      <w:r w:rsidRPr="00C95105">
        <w:rPr>
          <w:rFonts w:asciiTheme="minorHAnsi" w:hAnsiTheme="minorHAnsi" w:cstheme="minorHAnsi"/>
          <w:sz w:val="22"/>
          <w:szCs w:val="22"/>
        </w:rPr>
        <w:t xml:space="preserve">: </w:t>
      </w:r>
      <w:r w:rsidR="00586A12" w:rsidRPr="00C95105">
        <w:rPr>
          <w:rFonts w:asciiTheme="minorHAnsi" w:hAnsiTheme="minorHAnsi" w:cstheme="minorHAnsi"/>
          <w:sz w:val="22"/>
          <w:szCs w:val="22"/>
        </w:rPr>
        <w:t xml:space="preserve">Systematic gender differences in choices or outcomes arising from </w:t>
      </w:r>
      <w:r w:rsidRPr="00C95105">
        <w:rPr>
          <w:rFonts w:asciiTheme="minorHAnsi" w:hAnsiTheme="minorHAnsi" w:cstheme="minorHAnsi"/>
          <w:sz w:val="22"/>
          <w:szCs w:val="22"/>
        </w:rPr>
        <w:t xml:space="preserve">gendered practices within organisations </w:t>
      </w:r>
      <w:r w:rsidR="00586A12" w:rsidRPr="00C95105">
        <w:rPr>
          <w:rFonts w:asciiTheme="minorHAnsi" w:hAnsiTheme="minorHAnsi" w:cstheme="minorHAnsi"/>
          <w:sz w:val="22"/>
          <w:szCs w:val="22"/>
        </w:rPr>
        <w:t>(e.g., organisational gender norms, prejudice, bias, discrimination and “masculine defaults”).</w:t>
      </w:r>
      <w:bookmarkEnd w:id="31"/>
      <w:bookmarkEnd w:id="32"/>
      <w:bookmarkEnd w:id="33"/>
    </w:p>
    <w:p w14:paraId="4C140CCF" w14:textId="7194CAC3" w:rsidR="007E28E3" w:rsidRPr="00C95105" w:rsidRDefault="007E28E3" w:rsidP="007E28E3">
      <w:pPr>
        <w:spacing w:after="120"/>
        <w:rPr>
          <w:rFonts w:asciiTheme="minorHAnsi" w:hAnsiTheme="minorHAnsi" w:cstheme="minorHAnsi"/>
          <w:sz w:val="22"/>
          <w:szCs w:val="22"/>
        </w:rPr>
      </w:pPr>
    </w:p>
    <w:p w14:paraId="5ABC6805" w14:textId="438022B1" w:rsidR="007E28E3" w:rsidRPr="00C95105" w:rsidRDefault="007E28E3" w:rsidP="00105BC9">
      <w:pPr>
        <w:pStyle w:val="ListParagraph"/>
        <w:ind w:left="0"/>
        <w:rPr>
          <w:rFonts w:asciiTheme="minorHAnsi" w:hAnsiTheme="minorHAnsi" w:cstheme="minorHAnsi"/>
          <w:i/>
          <w:iCs/>
        </w:rPr>
      </w:pPr>
      <w:bookmarkStart w:id="34" w:name="_Toc96866390"/>
      <w:bookmarkStart w:id="35" w:name="_Toc96878259"/>
      <w:r w:rsidRPr="00C95105">
        <w:rPr>
          <w:rFonts w:asciiTheme="minorHAnsi" w:hAnsiTheme="minorHAnsi" w:cstheme="minorHAnsi"/>
          <w:b/>
          <w:bCs/>
          <w:i/>
          <w:iCs/>
        </w:rPr>
        <w:t xml:space="preserve">Figure 1.1. </w:t>
      </w:r>
      <w:r w:rsidRPr="00C95105">
        <w:rPr>
          <w:rFonts w:asciiTheme="minorHAnsi" w:hAnsiTheme="minorHAnsi" w:cstheme="minorHAnsi"/>
          <w:i/>
          <w:iCs/>
        </w:rPr>
        <w:t>Examples of different kinds of (often contested) explanations for the gender pay gap</w:t>
      </w:r>
      <w:bookmarkEnd w:id="34"/>
      <w:bookmarkEnd w:id="35"/>
    </w:p>
    <w:p w14:paraId="7433A022" w14:textId="77777777" w:rsidR="007E28E3" w:rsidRPr="00C95105" w:rsidRDefault="007E28E3" w:rsidP="007E28E3">
      <w:pPr>
        <w:spacing w:after="120"/>
        <w:rPr>
          <w:rFonts w:asciiTheme="minorHAnsi" w:hAnsiTheme="minorHAnsi" w:cstheme="minorHAnsi"/>
          <w:sz w:val="22"/>
          <w:szCs w:val="22"/>
        </w:rPr>
      </w:pPr>
    </w:p>
    <w:p w14:paraId="3802A3A6" w14:textId="34094CB8" w:rsidR="00586A12" w:rsidRPr="00C95105" w:rsidRDefault="00586A12"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 </w:t>
      </w:r>
      <w:r w:rsidR="00722E5F" w:rsidRPr="00C95105">
        <w:rPr>
          <w:rFonts w:asciiTheme="minorHAnsi" w:hAnsiTheme="minorHAnsi" w:cstheme="minorHAnsi"/>
          <w:noProof/>
          <w:sz w:val="22"/>
          <w:szCs w:val="22"/>
          <w14:shadow w14:blurRad="0" w14:dist="0" w14:dir="0" w14:sx="0" w14:sy="0" w14:kx="0" w14:ky="0" w14:algn="ctr">
            <w14:schemeClr w14:val="bg1"/>
          </w14:shadow>
        </w:rPr>
        <w:drawing>
          <wp:inline distT="0" distB="0" distL="0" distR="0" wp14:anchorId="63D1048F" wp14:editId="727F0377">
            <wp:extent cx="5486400" cy="3200400"/>
            <wp:effectExtent l="0" t="0" r="0" b="38100"/>
            <wp:docPr id="1" name="Diagram 1" descr="Hierarchy chart showing contributors to gender pay gap under three streams. They are: Individual gender factors, which included average differences in values / preferences. Non-organisational gender factors, which includes intrahousehold income inequality, gendered educational choices, inadequate child care provision. Organisational gender factors, which includes gender bias in performance evaluation, undervaluing of female dominated jobs, disproportionate penalty for career interruption.&#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9D4B53D" w14:textId="77777777" w:rsidR="00586A12" w:rsidRPr="00C95105" w:rsidRDefault="00586A12" w:rsidP="005D5F97">
      <w:pPr>
        <w:spacing w:after="120"/>
        <w:rPr>
          <w:rFonts w:asciiTheme="minorHAnsi" w:hAnsiTheme="minorHAnsi" w:cstheme="minorHAnsi"/>
          <w:sz w:val="22"/>
          <w:szCs w:val="22"/>
        </w:rPr>
      </w:pPr>
    </w:p>
    <w:p w14:paraId="33ABDEB1" w14:textId="77777777" w:rsidR="006E7B9A" w:rsidRPr="00C95105" w:rsidRDefault="00586A12" w:rsidP="006E7B9A">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Since views on these issues are quite heterogenous among Australians, there will inevitably be differing opinions among workers as to the extent to which disparities on the Act’s gender indicators reflect injustices to be fixed. The exception is workplace sexual harassment, an unambiguously negative outcome for all employees, regardless of gender or other attributes (although there can be disagreement among employees over what constitutes unacceptable or harmful workplace behaviour).</w:t>
      </w:r>
    </w:p>
    <w:p w14:paraId="0DEEE7E3" w14:textId="775681EE" w:rsidR="00586A12" w:rsidRPr="00C95105" w:rsidRDefault="00586A12" w:rsidP="006E7B9A">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lastRenderedPageBreak/>
        <w:t>These three kinds of causal explanations are not mutually exclusive and will often be interrelated. Acknowledging the potential for contributions from individual gender factors and non-organisational gender factors, in addition to potential organisational gender factors, may help diffuse resistance or objections based on assumptions that positive actions are premised on a specific “politically correct” account of why workplace gender inequality exists. In other words, it may be helpful to be clear that the legitimacy of positive actions to address organisational gender factors is compatible with a range of views on why disparities on gender indicators exist.</w:t>
      </w:r>
    </w:p>
    <w:p w14:paraId="4CC387E3" w14:textId="77777777" w:rsidR="00180B0B" w:rsidRPr="00C95105" w:rsidRDefault="00180B0B" w:rsidP="006E7B9A">
      <w:pPr>
        <w:spacing w:after="120"/>
        <w:ind w:firstLine="567"/>
        <w:rPr>
          <w:rFonts w:asciiTheme="minorHAnsi" w:hAnsiTheme="minorHAnsi" w:cstheme="minorHAnsi"/>
          <w:sz w:val="22"/>
          <w:szCs w:val="22"/>
        </w:rPr>
      </w:pPr>
    </w:p>
    <w:p w14:paraId="1779E64F" w14:textId="32285D72" w:rsidR="00586A12" w:rsidRPr="00C95105" w:rsidRDefault="0092701F" w:rsidP="0093280F">
      <w:pPr>
        <w:pStyle w:val="Heading2"/>
        <w:numPr>
          <w:ilvl w:val="1"/>
          <w:numId w:val="7"/>
        </w:numPr>
        <w:spacing w:before="0" w:after="120"/>
        <w:ind w:left="425" w:hanging="425"/>
        <w:rPr>
          <w:rFonts w:asciiTheme="minorHAnsi" w:hAnsiTheme="minorHAnsi" w:cstheme="minorHAnsi"/>
          <w:b/>
          <w:bCs/>
        </w:rPr>
      </w:pPr>
      <w:bookmarkStart w:id="36" w:name="_Toc96859230"/>
      <w:r w:rsidRPr="00C95105">
        <w:rPr>
          <w:rFonts w:asciiTheme="minorHAnsi" w:hAnsiTheme="minorHAnsi" w:cstheme="minorHAnsi"/>
          <w:b/>
          <w:bCs/>
        </w:rPr>
        <w:t xml:space="preserve"> </w:t>
      </w:r>
      <w:bookmarkStart w:id="37" w:name="_Toc96957661"/>
      <w:r w:rsidR="0056003C" w:rsidRPr="00C95105">
        <w:rPr>
          <w:rFonts w:asciiTheme="minorHAnsi" w:hAnsiTheme="minorHAnsi" w:cstheme="minorHAnsi"/>
          <w:b/>
          <w:bCs/>
        </w:rPr>
        <w:t>Strategy</w:t>
      </w:r>
      <w:r w:rsidR="00180B0B" w:rsidRPr="00C95105">
        <w:rPr>
          <w:rFonts w:asciiTheme="minorHAnsi" w:hAnsiTheme="minorHAnsi" w:cstheme="minorHAnsi"/>
          <w:b/>
          <w:bCs/>
        </w:rPr>
        <w:t xml:space="preserve"> </w:t>
      </w:r>
      <w:r w:rsidR="0056003C" w:rsidRPr="00C95105">
        <w:rPr>
          <w:rFonts w:asciiTheme="minorHAnsi" w:hAnsiTheme="minorHAnsi" w:cstheme="minorHAnsi"/>
          <w:b/>
          <w:bCs/>
        </w:rPr>
        <w:t>Dimensions</w:t>
      </w:r>
      <w:bookmarkEnd w:id="36"/>
      <w:bookmarkEnd w:id="37"/>
    </w:p>
    <w:p w14:paraId="12CE2857" w14:textId="27E967C0" w:rsidR="0056003C" w:rsidRPr="00C95105" w:rsidRDefault="00586A12" w:rsidP="0056003C">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Positive actions to promote gender equality vary along a number of overlapping dimensions (see Khaitan, 2015), including </w:t>
      </w:r>
      <w:r w:rsidRPr="00C95105">
        <w:rPr>
          <w:rFonts w:asciiTheme="minorHAnsi" w:hAnsiTheme="minorHAnsi" w:cstheme="minorHAnsi"/>
          <w:i/>
          <w:iCs/>
          <w:sz w:val="22"/>
          <w:szCs w:val="22"/>
        </w:rPr>
        <w:t>facilitative</w:t>
      </w:r>
      <w:r w:rsidRPr="00C95105">
        <w:rPr>
          <w:rFonts w:asciiTheme="minorHAnsi" w:hAnsiTheme="minorHAnsi" w:cstheme="minorHAnsi"/>
          <w:sz w:val="22"/>
          <w:szCs w:val="22"/>
        </w:rPr>
        <w:t xml:space="preserve"> versus </w:t>
      </w:r>
      <w:r w:rsidRPr="00C95105">
        <w:rPr>
          <w:rFonts w:asciiTheme="minorHAnsi" w:hAnsiTheme="minorHAnsi" w:cstheme="minorHAnsi"/>
          <w:i/>
          <w:iCs/>
          <w:sz w:val="22"/>
          <w:szCs w:val="22"/>
        </w:rPr>
        <w:t>distributive</w:t>
      </w:r>
      <w:r w:rsidRPr="00C95105">
        <w:rPr>
          <w:rFonts w:asciiTheme="minorHAnsi" w:hAnsiTheme="minorHAnsi" w:cstheme="minorHAnsi"/>
          <w:sz w:val="22"/>
          <w:szCs w:val="22"/>
        </w:rPr>
        <w:t xml:space="preserve">; </w:t>
      </w:r>
      <w:r w:rsidRPr="00C95105">
        <w:rPr>
          <w:rFonts w:asciiTheme="minorHAnsi" w:hAnsiTheme="minorHAnsi" w:cstheme="minorHAnsi"/>
          <w:i/>
          <w:iCs/>
          <w:sz w:val="22"/>
          <w:szCs w:val="22"/>
        </w:rPr>
        <w:t>direct</w:t>
      </w:r>
      <w:r w:rsidRPr="00C95105">
        <w:rPr>
          <w:rFonts w:asciiTheme="minorHAnsi" w:hAnsiTheme="minorHAnsi" w:cstheme="minorHAnsi"/>
          <w:sz w:val="22"/>
          <w:szCs w:val="22"/>
        </w:rPr>
        <w:t xml:space="preserve"> versus </w:t>
      </w:r>
      <w:r w:rsidRPr="00C95105">
        <w:rPr>
          <w:rFonts w:asciiTheme="minorHAnsi" w:hAnsiTheme="minorHAnsi" w:cstheme="minorHAnsi"/>
          <w:i/>
          <w:iCs/>
          <w:sz w:val="22"/>
          <w:szCs w:val="22"/>
        </w:rPr>
        <w:t>indirect</w:t>
      </w:r>
      <w:r w:rsidRPr="00C95105">
        <w:rPr>
          <w:rFonts w:asciiTheme="minorHAnsi" w:hAnsiTheme="minorHAnsi" w:cstheme="minorHAnsi"/>
          <w:sz w:val="22"/>
          <w:szCs w:val="22"/>
        </w:rPr>
        <w:t xml:space="preserve">; and </w:t>
      </w:r>
      <w:r w:rsidRPr="00C95105">
        <w:rPr>
          <w:rFonts w:asciiTheme="minorHAnsi" w:hAnsiTheme="minorHAnsi" w:cstheme="minorHAnsi"/>
          <w:i/>
          <w:iCs/>
          <w:sz w:val="22"/>
          <w:szCs w:val="22"/>
        </w:rPr>
        <w:t xml:space="preserve">remedial </w:t>
      </w:r>
      <w:r w:rsidRPr="00C95105">
        <w:rPr>
          <w:rFonts w:asciiTheme="minorHAnsi" w:hAnsiTheme="minorHAnsi" w:cstheme="minorHAnsi"/>
          <w:sz w:val="22"/>
          <w:szCs w:val="22"/>
        </w:rPr>
        <w:t xml:space="preserve">and </w:t>
      </w:r>
      <w:r w:rsidRPr="00C95105">
        <w:rPr>
          <w:rFonts w:asciiTheme="minorHAnsi" w:hAnsiTheme="minorHAnsi" w:cstheme="minorHAnsi"/>
          <w:i/>
          <w:iCs/>
          <w:sz w:val="22"/>
          <w:szCs w:val="22"/>
        </w:rPr>
        <w:t>non-remedial</w:t>
      </w:r>
      <w:r w:rsidRPr="00C95105">
        <w:rPr>
          <w:rFonts w:asciiTheme="minorHAnsi" w:hAnsiTheme="minorHAnsi" w:cstheme="minorHAnsi"/>
          <w:sz w:val="22"/>
          <w:szCs w:val="22"/>
        </w:rPr>
        <w:t xml:space="preserve">. The dimensions are cross-cutting: for example, a particular measure may be </w:t>
      </w:r>
      <w:r w:rsidRPr="00C95105">
        <w:rPr>
          <w:rFonts w:asciiTheme="minorHAnsi" w:hAnsiTheme="minorHAnsi" w:cstheme="minorHAnsi"/>
          <w:i/>
          <w:iCs/>
          <w:sz w:val="22"/>
          <w:szCs w:val="22"/>
        </w:rPr>
        <w:t>facilitative</w:t>
      </w:r>
      <w:r w:rsidRPr="00C95105">
        <w:rPr>
          <w:rFonts w:asciiTheme="minorHAnsi" w:hAnsiTheme="minorHAnsi" w:cstheme="minorHAnsi"/>
          <w:sz w:val="22"/>
          <w:szCs w:val="22"/>
        </w:rPr>
        <w:t xml:space="preserve">, </w:t>
      </w:r>
      <w:r w:rsidRPr="00C95105">
        <w:rPr>
          <w:rFonts w:asciiTheme="minorHAnsi" w:hAnsiTheme="minorHAnsi" w:cstheme="minorHAnsi"/>
          <w:i/>
          <w:iCs/>
          <w:sz w:val="22"/>
          <w:szCs w:val="22"/>
        </w:rPr>
        <w:t xml:space="preserve">direct </w:t>
      </w:r>
      <w:r w:rsidRPr="00C95105">
        <w:rPr>
          <w:rFonts w:asciiTheme="minorHAnsi" w:hAnsiTheme="minorHAnsi" w:cstheme="minorHAnsi"/>
          <w:sz w:val="22"/>
          <w:szCs w:val="22"/>
        </w:rPr>
        <w:t xml:space="preserve">and </w:t>
      </w:r>
      <w:r w:rsidRPr="00C95105">
        <w:rPr>
          <w:rFonts w:asciiTheme="minorHAnsi" w:hAnsiTheme="minorHAnsi" w:cstheme="minorHAnsi"/>
          <w:i/>
          <w:iCs/>
          <w:sz w:val="22"/>
          <w:szCs w:val="22"/>
        </w:rPr>
        <w:t>remedial</w:t>
      </w:r>
      <w:r w:rsidRPr="00C95105">
        <w:rPr>
          <w:rFonts w:asciiTheme="minorHAnsi" w:hAnsiTheme="minorHAnsi" w:cstheme="minorHAnsi"/>
          <w:sz w:val="22"/>
          <w:szCs w:val="22"/>
        </w:rPr>
        <w:t xml:space="preserve">. In addition, positive action strategies to promote gender equality can also be contrasted with </w:t>
      </w:r>
      <w:r w:rsidRPr="00C95105">
        <w:rPr>
          <w:rFonts w:asciiTheme="minorHAnsi" w:hAnsiTheme="minorHAnsi" w:cstheme="minorHAnsi"/>
          <w:i/>
          <w:iCs/>
          <w:sz w:val="22"/>
          <w:szCs w:val="22"/>
        </w:rPr>
        <w:t>universal welfare measures</w:t>
      </w:r>
      <w:r w:rsidRPr="00C95105">
        <w:rPr>
          <w:rFonts w:asciiTheme="minorHAnsi" w:hAnsiTheme="minorHAnsi" w:cstheme="minorHAnsi"/>
          <w:sz w:val="22"/>
          <w:szCs w:val="22"/>
        </w:rPr>
        <w:t>, which may nonetheless be especially beneficial for certain protected groups (e.g., income support, minimum wage, superannuation payments that are not contingent on paid employment).</w:t>
      </w:r>
    </w:p>
    <w:p w14:paraId="0DE9C254" w14:textId="77777777" w:rsidR="00CB3047" w:rsidRPr="00C95105" w:rsidRDefault="00CB3047" w:rsidP="0056003C">
      <w:pPr>
        <w:spacing w:after="120"/>
        <w:ind w:firstLine="567"/>
        <w:rPr>
          <w:rFonts w:asciiTheme="minorHAnsi" w:hAnsiTheme="minorHAnsi" w:cstheme="minorHAnsi"/>
          <w:sz w:val="22"/>
          <w:szCs w:val="22"/>
        </w:rPr>
      </w:pPr>
    </w:p>
    <w:p w14:paraId="7544C7C7" w14:textId="6A588FE4" w:rsidR="00F35B76" w:rsidRPr="00C95105" w:rsidRDefault="00586A12" w:rsidP="0093280F">
      <w:pPr>
        <w:pStyle w:val="Heading3"/>
        <w:numPr>
          <w:ilvl w:val="2"/>
          <w:numId w:val="7"/>
        </w:numPr>
        <w:spacing w:before="0" w:after="120"/>
        <w:ind w:left="567" w:hanging="567"/>
        <w:rPr>
          <w:rFonts w:asciiTheme="minorHAnsi" w:hAnsiTheme="minorHAnsi" w:cstheme="minorHAnsi"/>
          <w:b/>
          <w:bCs/>
          <w:i/>
          <w:iCs/>
          <w:color w:val="2F5496" w:themeColor="accent1" w:themeShade="BF"/>
          <w:sz w:val="22"/>
          <w:szCs w:val="22"/>
        </w:rPr>
      </w:pPr>
      <w:bookmarkStart w:id="38" w:name="_Toc96859231"/>
      <w:bookmarkStart w:id="39" w:name="_Toc96957662"/>
      <w:r w:rsidRPr="00C95105">
        <w:rPr>
          <w:rFonts w:asciiTheme="minorHAnsi" w:hAnsiTheme="minorHAnsi" w:cstheme="minorHAnsi"/>
          <w:b/>
          <w:bCs/>
          <w:i/>
          <w:iCs/>
          <w:color w:val="2F5496" w:themeColor="accent1" w:themeShade="BF"/>
          <w:sz w:val="22"/>
          <w:szCs w:val="22"/>
        </w:rPr>
        <w:t>Facilitative</w:t>
      </w:r>
      <w:r w:rsidR="00BD1E28" w:rsidRPr="00C95105">
        <w:rPr>
          <w:rFonts w:asciiTheme="minorHAnsi" w:hAnsiTheme="minorHAnsi" w:cstheme="minorHAnsi"/>
          <w:b/>
          <w:bCs/>
          <w:i/>
          <w:iCs/>
          <w:color w:val="2F5496" w:themeColor="accent1" w:themeShade="BF"/>
          <w:sz w:val="22"/>
          <w:szCs w:val="22"/>
        </w:rPr>
        <w:t xml:space="preserve"> </w:t>
      </w:r>
      <w:r w:rsidR="003540B1" w:rsidRPr="00C95105">
        <w:rPr>
          <w:rFonts w:asciiTheme="minorHAnsi" w:hAnsiTheme="minorHAnsi" w:cstheme="minorHAnsi"/>
          <w:b/>
          <w:bCs/>
          <w:i/>
          <w:iCs/>
          <w:color w:val="2F5496" w:themeColor="accent1" w:themeShade="BF"/>
          <w:sz w:val="22"/>
          <w:szCs w:val="22"/>
        </w:rPr>
        <w:t>v</w:t>
      </w:r>
      <w:r w:rsidR="00BD1E28" w:rsidRPr="00C95105">
        <w:rPr>
          <w:rFonts w:asciiTheme="minorHAnsi" w:hAnsiTheme="minorHAnsi" w:cstheme="minorHAnsi"/>
          <w:b/>
          <w:bCs/>
          <w:i/>
          <w:iCs/>
          <w:color w:val="2F5496" w:themeColor="accent1" w:themeShade="BF"/>
          <w:sz w:val="22"/>
          <w:szCs w:val="22"/>
        </w:rPr>
        <w:t xml:space="preserve">ersus </w:t>
      </w:r>
      <w:r w:rsidR="003540B1" w:rsidRPr="00C95105">
        <w:rPr>
          <w:rFonts w:asciiTheme="minorHAnsi" w:hAnsiTheme="minorHAnsi" w:cstheme="minorHAnsi"/>
          <w:b/>
          <w:bCs/>
          <w:i/>
          <w:iCs/>
          <w:color w:val="2F5496" w:themeColor="accent1" w:themeShade="BF"/>
          <w:sz w:val="22"/>
          <w:szCs w:val="22"/>
        </w:rPr>
        <w:t>Distribute M</w:t>
      </w:r>
      <w:r w:rsidRPr="00C95105">
        <w:rPr>
          <w:rFonts w:asciiTheme="minorHAnsi" w:hAnsiTheme="minorHAnsi" w:cstheme="minorHAnsi"/>
          <w:b/>
          <w:bCs/>
          <w:i/>
          <w:iCs/>
          <w:color w:val="2F5496" w:themeColor="accent1" w:themeShade="BF"/>
          <w:sz w:val="22"/>
          <w:szCs w:val="22"/>
        </w:rPr>
        <w:t>easures</w:t>
      </w:r>
      <w:bookmarkEnd w:id="38"/>
      <w:bookmarkEnd w:id="39"/>
      <w:r w:rsidRPr="00C95105">
        <w:rPr>
          <w:rFonts w:asciiTheme="minorHAnsi" w:hAnsiTheme="minorHAnsi" w:cstheme="minorHAnsi"/>
          <w:b/>
          <w:bCs/>
          <w:i/>
          <w:iCs/>
          <w:color w:val="2F5496" w:themeColor="accent1" w:themeShade="BF"/>
          <w:sz w:val="22"/>
          <w:szCs w:val="22"/>
        </w:rPr>
        <w:t xml:space="preserve"> </w:t>
      </w:r>
    </w:p>
    <w:p w14:paraId="1EE6490E" w14:textId="45313645" w:rsidR="00586A12" w:rsidRPr="00C95105" w:rsidRDefault="003540B1" w:rsidP="00CB3047">
      <w:pPr>
        <w:spacing w:after="120"/>
        <w:ind w:firstLine="567"/>
        <w:rPr>
          <w:rFonts w:asciiTheme="minorHAnsi" w:hAnsiTheme="minorHAnsi" w:cstheme="minorHAnsi"/>
          <w:sz w:val="22"/>
          <w:szCs w:val="22"/>
        </w:rPr>
      </w:pPr>
      <w:r w:rsidRPr="00C95105">
        <w:rPr>
          <w:rFonts w:asciiTheme="minorHAnsi" w:hAnsiTheme="minorHAnsi" w:cstheme="minorHAnsi"/>
          <w:b/>
          <w:bCs/>
          <w:i/>
          <w:iCs/>
          <w:sz w:val="22"/>
          <w:szCs w:val="22"/>
        </w:rPr>
        <w:t>Facilitative measures</w:t>
      </w:r>
      <w:r w:rsidRPr="00C95105">
        <w:rPr>
          <w:rFonts w:asciiTheme="minorHAnsi" w:hAnsiTheme="minorHAnsi" w:cstheme="minorHAnsi"/>
          <w:sz w:val="22"/>
          <w:szCs w:val="22"/>
        </w:rPr>
        <w:t xml:space="preserve"> </w:t>
      </w:r>
      <w:r w:rsidR="00586A12" w:rsidRPr="00C95105">
        <w:rPr>
          <w:rFonts w:asciiTheme="minorHAnsi" w:hAnsiTheme="minorHAnsi" w:cstheme="minorHAnsi"/>
          <w:sz w:val="22"/>
          <w:szCs w:val="22"/>
        </w:rPr>
        <w:t xml:space="preserve">target organisational gender factors that are known, assumed or suspected to give rise to gender-based structural constraints (such as bias, discrimination, prejudice, stigmatisation, masculine defaults, etc.). They aim to create an environment </w:t>
      </w:r>
      <w:r w:rsidR="3F59942D" w:rsidRPr="00C95105">
        <w:rPr>
          <w:rFonts w:asciiTheme="minorHAnsi" w:hAnsiTheme="minorHAnsi" w:cstheme="minorHAnsi"/>
          <w:sz w:val="22"/>
          <w:szCs w:val="22"/>
        </w:rPr>
        <w:t>that</w:t>
      </w:r>
      <w:r w:rsidR="00586A12" w:rsidRPr="00C95105">
        <w:rPr>
          <w:rFonts w:asciiTheme="minorHAnsi" w:hAnsiTheme="minorHAnsi" w:cstheme="minorHAnsi"/>
          <w:sz w:val="22"/>
          <w:szCs w:val="22"/>
        </w:rPr>
        <w:t xml:space="preserve"> facilitates the disadvantaged group accruing a particular workplace benefit (such as a higher wage or uptake of carer’s leave). For example:</w:t>
      </w:r>
    </w:p>
    <w:p w14:paraId="038D7216" w14:textId="114C3D3D"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40" w:name="_Toc96866391"/>
      <w:bookmarkStart w:id="41" w:name="_Toc96866593"/>
      <w:bookmarkStart w:id="42" w:name="_Toc96878260"/>
      <w:r w:rsidRPr="00C95105">
        <w:rPr>
          <w:rFonts w:asciiTheme="minorHAnsi" w:hAnsiTheme="minorHAnsi" w:cstheme="minorHAnsi"/>
          <w:sz w:val="22"/>
          <w:szCs w:val="22"/>
        </w:rPr>
        <w:t xml:space="preserve">Pay transparency measures (see </w:t>
      </w:r>
      <w:r w:rsidR="00D248B4" w:rsidRPr="00C95105">
        <w:rPr>
          <w:rFonts w:asciiTheme="minorHAnsi" w:hAnsiTheme="minorHAnsi" w:cstheme="minorHAnsi"/>
          <w:sz w:val="22"/>
          <w:szCs w:val="22"/>
        </w:rPr>
        <w:t>Chapter 5</w:t>
      </w:r>
      <w:r w:rsidR="00880B7A" w:rsidRPr="00C95105">
        <w:rPr>
          <w:rFonts w:asciiTheme="minorHAnsi" w:hAnsiTheme="minorHAnsi" w:cstheme="minorHAnsi"/>
          <w:sz w:val="22"/>
          <w:szCs w:val="22"/>
        </w:rPr>
        <w:t xml:space="preserve"> - Information-based approaches to gender pay equity</w:t>
      </w:r>
      <w:r w:rsidRPr="00C95105">
        <w:rPr>
          <w:rFonts w:asciiTheme="minorHAnsi" w:hAnsiTheme="minorHAnsi" w:cstheme="minorHAnsi"/>
          <w:sz w:val="22"/>
          <w:szCs w:val="22"/>
        </w:rPr>
        <w:t>)</w:t>
      </w:r>
      <w:r w:rsidR="00D55B0D" w:rsidRPr="00C95105">
        <w:rPr>
          <w:rFonts w:asciiTheme="minorHAnsi" w:hAnsiTheme="minorHAnsi" w:cstheme="minorHAnsi"/>
          <w:sz w:val="22"/>
          <w:szCs w:val="22"/>
        </w:rPr>
        <w:t>;</w:t>
      </w:r>
      <w:bookmarkEnd w:id="40"/>
      <w:bookmarkEnd w:id="41"/>
      <w:bookmarkEnd w:id="42"/>
    </w:p>
    <w:p w14:paraId="645E5ADB" w14:textId="2B38CD4E"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43" w:name="_Toc96866392"/>
      <w:bookmarkStart w:id="44" w:name="_Toc96866594"/>
      <w:bookmarkStart w:id="45" w:name="_Toc96878261"/>
      <w:r w:rsidRPr="00C95105">
        <w:rPr>
          <w:rFonts w:asciiTheme="minorHAnsi" w:hAnsiTheme="minorHAnsi" w:cstheme="minorHAnsi"/>
          <w:sz w:val="22"/>
          <w:szCs w:val="22"/>
        </w:rPr>
        <w:t xml:space="preserve">A campaign promoting parental leave for fathers (see </w:t>
      </w:r>
      <w:r w:rsidR="00880B7A" w:rsidRPr="00C95105">
        <w:rPr>
          <w:rFonts w:asciiTheme="minorHAnsi" w:hAnsiTheme="minorHAnsi" w:cstheme="minorHAnsi"/>
          <w:sz w:val="22"/>
          <w:szCs w:val="22"/>
        </w:rPr>
        <w:t>Chapter 3</w:t>
      </w:r>
      <w:r w:rsidR="00027067" w:rsidRPr="00C95105">
        <w:rPr>
          <w:rFonts w:asciiTheme="minorHAnsi" w:hAnsiTheme="minorHAnsi" w:cstheme="minorHAnsi"/>
          <w:sz w:val="22"/>
          <w:szCs w:val="22"/>
        </w:rPr>
        <w:t xml:space="preserve"> - Men’s engagement with flexible work</w:t>
      </w:r>
      <w:r w:rsidRPr="00C95105">
        <w:rPr>
          <w:rFonts w:asciiTheme="minorHAnsi" w:hAnsiTheme="minorHAnsi" w:cstheme="minorHAnsi"/>
          <w:sz w:val="22"/>
          <w:szCs w:val="22"/>
        </w:rPr>
        <w:t>)</w:t>
      </w:r>
      <w:r w:rsidR="00D55B0D" w:rsidRPr="00C95105">
        <w:rPr>
          <w:rFonts w:asciiTheme="minorHAnsi" w:hAnsiTheme="minorHAnsi" w:cstheme="minorHAnsi"/>
          <w:sz w:val="22"/>
          <w:szCs w:val="22"/>
        </w:rPr>
        <w:t>.</w:t>
      </w:r>
      <w:bookmarkEnd w:id="43"/>
      <w:bookmarkEnd w:id="44"/>
      <w:bookmarkEnd w:id="45"/>
    </w:p>
    <w:p w14:paraId="12D06B7D" w14:textId="2B798B71" w:rsidR="00586A12" w:rsidRPr="00C95105" w:rsidRDefault="00586A12" w:rsidP="00720F8B">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Such measures are less likely to elicit fears that they will violate tenets of fairness or merit. For these measures, any objections are more likely to take the form of concerns that the measures are unnecessary (e.g., because no bias exists in recruitment committees) and/or ineffective and therefore a waste of resources, or other conflicting values (e.g., privacy issues arising from transparency measures). Policy makers can anticipate and respond to such concerns by carefully considering the evidence as to whether there is genuinely a constraint on the basis of gender (including intersectional considerations), </w:t>
      </w:r>
      <w:r w:rsidR="0C60C1BC" w:rsidRPr="00C95105">
        <w:rPr>
          <w:rFonts w:asciiTheme="minorHAnsi" w:hAnsiTheme="minorHAnsi" w:cstheme="minorHAnsi"/>
          <w:sz w:val="22"/>
          <w:szCs w:val="22"/>
        </w:rPr>
        <w:t>including drawing</w:t>
      </w:r>
      <w:r w:rsidRPr="00C95105">
        <w:rPr>
          <w:rFonts w:asciiTheme="minorHAnsi" w:hAnsiTheme="minorHAnsi" w:cstheme="minorHAnsi"/>
          <w:sz w:val="22"/>
          <w:szCs w:val="22"/>
        </w:rPr>
        <w:t xml:space="preserve"> on analysis of workforce data and employee experience data. In addition, they can make a commitment to monitoring the effectiveness and necessity of the </w:t>
      </w:r>
      <w:r w:rsidR="00445C85" w:rsidRPr="00C95105">
        <w:rPr>
          <w:rFonts w:asciiTheme="minorHAnsi" w:hAnsiTheme="minorHAnsi" w:cstheme="minorHAnsi"/>
          <w:sz w:val="22"/>
          <w:szCs w:val="22"/>
        </w:rPr>
        <w:t>measure or</w:t>
      </w:r>
      <w:r w:rsidRPr="00C95105">
        <w:rPr>
          <w:rFonts w:asciiTheme="minorHAnsi" w:hAnsiTheme="minorHAnsi" w:cstheme="minorHAnsi"/>
          <w:sz w:val="22"/>
          <w:szCs w:val="22"/>
        </w:rPr>
        <w:t xml:space="preserve"> piloting it before full implementation.</w:t>
      </w:r>
    </w:p>
    <w:p w14:paraId="60B84B69" w14:textId="48932856" w:rsidR="00586A12" w:rsidRPr="00C95105" w:rsidRDefault="00586A12" w:rsidP="003540B1">
      <w:pPr>
        <w:spacing w:after="120"/>
        <w:ind w:firstLine="567"/>
        <w:rPr>
          <w:rFonts w:asciiTheme="minorHAnsi" w:hAnsiTheme="minorHAnsi" w:cstheme="minorHAnsi"/>
          <w:b/>
          <w:bCs/>
          <w:i/>
          <w:iCs/>
          <w:color w:val="2F5496" w:themeColor="accent1" w:themeShade="BF"/>
          <w:sz w:val="22"/>
          <w:szCs w:val="22"/>
        </w:rPr>
      </w:pPr>
      <w:r w:rsidRPr="00C95105">
        <w:rPr>
          <w:rFonts w:asciiTheme="minorHAnsi" w:hAnsiTheme="minorHAnsi" w:cstheme="minorHAnsi"/>
          <w:b/>
          <w:bCs/>
          <w:i/>
          <w:iCs/>
          <w:sz w:val="22"/>
          <w:szCs w:val="22"/>
        </w:rPr>
        <w:t>Distributive measures</w:t>
      </w:r>
      <w:r w:rsidRPr="00C95105">
        <w:rPr>
          <w:rFonts w:asciiTheme="minorHAnsi" w:hAnsiTheme="minorHAnsi" w:cstheme="minorHAnsi"/>
          <w:b/>
          <w:bCs/>
          <w:i/>
          <w:iCs/>
          <w:color w:val="2F5496" w:themeColor="accent1" w:themeShade="BF"/>
          <w:sz w:val="22"/>
          <w:szCs w:val="22"/>
        </w:rPr>
        <w:t xml:space="preserve"> </w:t>
      </w:r>
      <w:r w:rsidRPr="00C95105">
        <w:rPr>
          <w:rFonts w:asciiTheme="minorHAnsi" w:hAnsiTheme="minorHAnsi" w:cstheme="minorHAnsi"/>
          <w:sz w:val="22"/>
          <w:szCs w:val="22"/>
        </w:rPr>
        <w:t>allocate the workplace good itself (in contrast to creating a facilitative environment). For example:</w:t>
      </w:r>
    </w:p>
    <w:p w14:paraId="1931F368" w14:textId="232706B3"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46" w:name="_Toc96866393"/>
      <w:bookmarkStart w:id="47" w:name="_Toc96866595"/>
      <w:bookmarkStart w:id="48" w:name="_Toc96878262"/>
      <w:r w:rsidRPr="00C95105">
        <w:rPr>
          <w:rFonts w:asciiTheme="minorHAnsi" w:hAnsiTheme="minorHAnsi" w:cstheme="minorHAnsi"/>
          <w:sz w:val="22"/>
          <w:szCs w:val="22"/>
        </w:rPr>
        <w:t xml:space="preserve">Gender quotas </w:t>
      </w:r>
      <w:r w:rsidR="00AB47B8" w:rsidRPr="00C95105">
        <w:rPr>
          <w:rFonts w:asciiTheme="minorHAnsi" w:hAnsiTheme="minorHAnsi" w:cstheme="minorHAnsi"/>
          <w:sz w:val="22"/>
          <w:szCs w:val="22"/>
        </w:rPr>
        <w:t xml:space="preserve">for leadership roles, intersectional or otherwise </w:t>
      </w:r>
      <w:r w:rsidRPr="00C95105">
        <w:rPr>
          <w:rFonts w:asciiTheme="minorHAnsi" w:hAnsiTheme="minorHAnsi" w:cstheme="minorHAnsi"/>
          <w:sz w:val="22"/>
          <w:szCs w:val="22"/>
        </w:rPr>
        <w:t xml:space="preserve">(see </w:t>
      </w:r>
      <w:r w:rsidR="000E0DB7" w:rsidRPr="00C95105">
        <w:rPr>
          <w:rFonts w:asciiTheme="minorHAnsi" w:hAnsiTheme="minorHAnsi" w:cstheme="minorHAnsi"/>
          <w:sz w:val="22"/>
          <w:szCs w:val="22"/>
        </w:rPr>
        <w:t>Chapter 6 - Gender targets and quotas in leadership roles</w:t>
      </w:r>
      <w:r w:rsidRPr="00C95105">
        <w:rPr>
          <w:rFonts w:asciiTheme="minorHAnsi" w:hAnsiTheme="minorHAnsi" w:cstheme="minorHAnsi"/>
          <w:sz w:val="22"/>
          <w:szCs w:val="22"/>
        </w:rPr>
        <w:t>)</w:t>
      </w:r>
      <w:r w:rsidR="00D55B0D" w:rsidRPr="00C95105">
        <w:rPr>
          <w:rFonts w:asciiTheme="minorHAnsi" w:hAnsiTheme="minorHAnsi" w:cstheme="minorHAnsi"/>
          <w:sz w:val="22"/>
          <w:szCs w:val="22"/>
        </w:rPr>
        <w:t>.</w:t>
      </w:r>
      <w:bookmarkEnd w:id="46"/>
      <w:bookmarkEnd w:id="47"/>
      <w:bookmarkEnd w:id="48"/>
    </w:p>
    <w:p w14:paraId="6B96985A" w14:textId="11CC2CA8" w:rsidR="003540B1" w:rsidRPr="00C95105" w:rsidRDefault="409C6B70" w:rsidP="00AB47B8">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Distributive measures</w:t>
      </w:r>
      <w:r w:rsidR="36187EE3" w:rsidRPr="00C95105">
        <w:rPr>
          <w:rFonts w:asciiTheme="minorHAnsi" w:hAnsiTheme="minorHAnsi" w:cstheme="minorHAnsi"/>
          <w:sz w:val="22"/>
          <w:szCs w:val="22"/>
        </w:rPr>
        <w:t>,</w:t>
      </w:r>
      <w:r w:rsidR="239152EC" w:rsidRPr="00C95105">
        <w:rPr>
          <w:rFonts w:asciiTheme="minorHAnsi" w:hAnsiTheme="minorHAnsi" w:cstheme="minorHAnsi"/>
          <w:sz w:val="22"/>
          <w:szCs w:val="22"/>
        </w:rPr>
        <w:t xml:space="preserve"> </w:t>
      </w:r>
      <w:r w:rsidRPr="00C95105">
        <w:rPr>
          <w:rFonts w:asciiTheme="minorHAnsi" w:hAnsiTheme="minorHAnsi" w:cstheme="minorHAnsi"/>
          <w:sz w:val="22"/>
          <w:szCs w:val="22"/>
        </w:rPr>
        <w:t xml:space="preserve">particularly strong ones, carry a high risk of stigmatising beneficiaries, although there is evidence that this reduces over time (see Morgenroth &amp; Ryan, 2018). However, as Khaitan (2015) points out, for state institutions, issues of representation and democratic participation are key to the legitimacy of a public institution, and thus “the identity of individual members does become a legitimate merit-related concern.” (p. 227). Moreover, there is evidence that distributive measures that effectively diversify the composition of groups can help ameliorate </w:t>
      </w:r>
      <w:r w:rsidRPr="00C95105">
        <w:rPr>
          <w:rFonts w:asciiTheme="minorHAnsi" w:hAnsiTheme="minorHAnsi" w:cstheme="minorHAnsi"/>
          <w:sz w:val="22"/>
          <w:szCs w:val="22"/>
        </w:rPr>
        <w:lastRenderedPageBreak/>
        <w:t xml:space="preserve">biased attitudes towards women and minority groups in the long term (Eagly &amp; Koenig, 2021; Levine &amp; Ancheta, 2013; Murray, 2010). Gender representation may also help to reduce androcentrism in products and services (see Fine, Sojo &amp; Lawford-Smith, 2020), relevant to the Act’s aim to promote gender equality in the policies, programs and services of defined entities.  </w:t>
      </w:r>
    </w:p>
    <w:p w14:paraId="6D420033" w14:textId="64B3489A" w:rsidR="003540B1" w:rsidRPr="00C95105" w:rsidRDefault="003540B1" w:rsidP="003540B1">
      <w:pPr>
        <w:spacing w:after="120"/>
        <w:rPr>
          <w:rFonts w:asciiTheme="minorHAnsi" w:hAnsiTheme="minorHAnsi" w:cstheme="minorHAnsi"/>
          <w:sz w:val="22"/>
          <w:szCs w:val="22"/>
        </w:rPr>
      </w:pPr>
    </w:p>
    <w:p w14:paraId="732ED339" w14:textId="673CD287" w:rsidR="003540B1" w:rsidRPr="00C95105" w:rsidRDefault="003540B1" w:rsidP="0093280F">
      <w:pPr>
        <w:pStyle w:val="Heading3"/>
        <w:numPr>
          <w:ilvl w:val="2"/>
          <w:numId w:val="7"/>
        </w:numPr>
        <w:spacing w:before="0" w:after="120"/>
        <w:ind w:left="567" w:hanging="567"/>
        <w:rPr>
          <w:rFonts w:asciiTheme="minorHAnsi" w:hAnsiTheme="minorHAnsi" w:cstheme="minorHAnsi"/>
          <w:b/>
          <w:bCs/>
          <w:i/>
          <w:iCs/>
          <w:color w:val="2F5496" w:themeColor="accent1" w:themeShade="BF"/>
          <w:sz w:val="22"/>
          <w:szCs w:val="22"/>
        </w:rPr>
      </w:pPr>
      <w:bookmarkStart w:id="49" w:name="_Toc96859232"/>
      <w:bookmarkStart w:id="50" w:name="_Toc96957663"/>
      <w:r w:rsidRPr="00C95105">
        <w:rPr>
          <w:rFonts w:asciiTheme="minorHAnsi" w:hAnsiTheme="minorHAnsi" w:cstheme="minorHAnsi"/>
          <w:b/>
          <w:bCs/>
          <w:i/>
          <w:iCs/>
          <w:color w:val="2F5496" w:themeColor="accent1" w:themeShade="BF"/>
          <w:sz w:val="22"/>
          <w:szCs w:val="22"/>
        </w:rPr>
        <w:t>Direct versus Indirect Measures</w:t>
      </w:r>
      <w:bookmarkEnd w:id="49"/>
      <w:bookmarkEnd w:id="50"/>
      <w:r w:rsidRPr="00C95105">
        <w:rPr>
          <w:rFonts w:asciiTheme="minorHAnsi" w:hAnsiTheme="minorHAnsi" w:cstheme="minorHAnsi"/>
          <w:b/>
          <w:bCs/>
          <w:i/>
          <w:iCs/>
          <w:color w:val="2F5496" w:themeColor="accent1" w:themeShade="BF"/>
          <w:sz w:val="22"/>
          <w:szCs w:val="22"/>
        </w:rPr>
        <w:t xml:space="preserve"> </w:t>
      </w:r>
    </w:p>
    <w:p w14:paraId="1FE2C258" w14:textId="0B5F9774" w:rsidR="00586A12" w:rsidRPr="00C95105" w:rsidRDefault="00586A12" w:rsidP="00AB47B8">
      <w:pPr>
        <w:spacing w:after="120"/>
        <w:ind w:firstLine="567"/>
        <w:rPr>
          <w:rFonts w:asciiTheme="minorHAnsi" w:hAnsiTheme="minorHAnsi" w:cstheme="minorHAnsi"/>
          <w:sz w:val="22"/>
          <w:szCs w:val="22"/>
        </w:rPr>
      </w:pPr>
      <w:r w:rsidRPr="00C95105">
        <w:rPr>
          <w:rFonts w:asciiTheme="minorHAnsi" w:hAnsiTheme="minorHAnsi" w:cstheme="minorHAnsi"/>
          <w:b/>
          <w:bCs/>
          <w:i/>
          <w:iCs/>
          <w:sz w:val="22"/>
          <w:szCs w:val="22"/>
        </w:rPr>
        <w:t>Direct measures</w:t>
      </w:r>
      <w:r w:rsidRPr="00C95105">
        <w:rPr>
          <w:rFonts w:asciiTheme="minorHAnsi" w:hAnsiTheme="minorHAnsi" w:cstheme="minorHAnsi"/>
          <w:sz w:val="22"/>
          <w:szCs w:val="22"/>
        </w:rPr>
        <w:t xml:space="preserve"> target the relevant gender group directly. For example:</w:t>
      </w:r>
    </w:p>
    <w:p w14:paraId="594676D8" w14:textId="34D60A27"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51" w:name="_Toc96866394"/>
      <w:bookmarkStart w:id="52" w:name="_Toc96866596"/>
      <w:bookmarkStart w:id="53" w:name="_Toc96878263"/>
      <w:r w:rsidRPr="00C95105">
        <w:rPr>
          <w:rFonts w:asciiTheme="minorHAnsi" w:hAnsiTheme="minorHAnsi" w:cstheme="minorHAnsi"/>
          <w:sz w:val="22"/>
          <w:szCs w:val="22"/>
        </w:rPr>
        <w:t>Targeted recruitment via signalling interest for women in job advertisements</w:t>
      </w:r>
      <w:r w:rsidR="003540B1" w:rsidRPr="00C95105">
        <w:rPr>
          <w:rFonts w:asciiTheme="minorHAnsi" w:hAnsiTheme="minorHAnsi" w:cstheme="minorHAnsi"/>
          <w:sz w:val="22"/>
          <w:szCs w:val="22"/>
        </w:rPr>
        <w:t xml:space="preserve"> (see Chapter 2 - </w:t>
      </w:r>
      <w:r w:rsidR="00D55B0D" w:rsidRPr="00C95105">
        <w:rPr>
          <w:rFonts w:asciiTheme="minorHAnsi" w:hAnsiTheme="minorHAnsi" w:cstheme="minorHAnsi"/>
          <w:sz w:val="22"/>
          <w:szCs w:val="22"/>
        </w:rPr>
        <w:t>Using Anonymous Application Procedures to Address Discrimination in Recruitment and Selection);</w:t>
      </w:r>
      <w:bookmarkEnd w:id="51"/>
      <w:bookmarkEnd w:id="52"/>
      <w:bookmarkEnd w:id="53"/>
    </w:p>
    <w:p w14:paraId="7F4A243E" w14:textId="12504E77"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54" w:name="_Toc96866395"/>
      <w:bookmarkStart w:id="55" w:name="_Toc96866597"/>
      <w:bookmarkStart w:id="56" w:name="_Toc96878264"/>
      <w:r w:rsidRPr="00C95105">
        <w:rPr>
          <w:rFonts w:asciiTheme="minorHAnsi" w:hAnsiTheme="minorHAnsi" w:cstheme="minorHAnsi"/>
          <w:sz w:val="22"/>
          <w:szCs w:val="22"/>
        </w:rPr>
        <w:t xml:space="preserve">Using partnerships with women’s associations to promote jobs to a female demographic (see </w:t>
      </w:r>
      <w:r w:rsidR="00D55B0D" w:rsidRPr="00C95105">
        <w:rPr>
          <w:rFonts w:asciiTheme="minorHAnsi" w:hAnsiTheme="minorHAnsi" w:cstheme="minorHAnsi"/>
          <w:sz w:val="22"/>
          <w:szCs w:val="22"/>
        </w:rPr>
        <w:t>Chapter 2</w:t>
      </w:r>
      <w:r w:rsidRPr="00C95105">
        <w:rPr>
          <w:rFonts w:asciiTheme="minorHAnsi" w:hAnsiTheme="minorHAnsi" w:cstheme="minorHAnsi"/>
          <w:sz w:val="22"/>
          <w:szCs w:val="22"/>
        </w:rPr>
        <w:t>)</w:t>
      </w:r>
      <w:r w:rsidR="00D55B0D" w:rsidRPr="00C95105">
        <w:rPr>
          <w:rFonts w:asciiTheme="minorHAnsi" w:hAnsiTheme="minorHAnsi" w:cstheme="minorHAnsi"/>
          <w:sz w:val="22"/>
          <w:szCs w:val="22"/>
        </w:rPr>
        <w:t>;</w:t>
      </w:r>
      <w:bookmarkEnd w:id="54"/>
      <w:bookmarkEnd w:id="55"/>
      <w:bookmarkEnd w:id="56"/>
    </w:p>
    <w:p w14:paraId="5A5D4E51" w14:textId="2DDEEBF8"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57" w:name="_Toc96866396"/>
      <w:bookmarkStart w:id="58" w:name="_Toc96866598"/>
      <w:bookmarkStart w:id="59" w:name="_Toc96878265"/>
      <w:r w:rsidRPr="00C95105">
        <w:rPr>
          <w:rFonts w:asciiTheme="minorHAnsi" w:hAnsiTheme="minorHAnsi" w:cstheme="minorHAnsi"/>
          <w:sz w:val="22"/>
          <w:szCs w:val="22"/>
        </w:rPr>
        <w:t xml:space="preserve">Gender quotas (see </w:t>
      </w:r>
      <w:r w:rsidR="00D55B0D" w:rsidRPr="00C95105">
        <w:rPr>
          <w:rFonts w:asciiTheme="minorHAnsi" w:hAnsiTheme="minorHAnsi" w:cstheme="minorHAnsi"/>
          <w:sz w:val="22"/>
          <w:szCs w:val="22"/>
        </w:rPr>
        <w:t>Chapter 6</w:t>
      </w:r>
      <w:r w:rsidRPr="00C95105">
        <w:rPr>
          <w:rFonts w:asciiTheme="minorHAnsi" w:hAnsiTheme="minorHAnsi" w:cstheme="minorHAnsi"/>
          <w:sz w:val="22"/>
          <w:szCs w:val="22"/>
        </w:rPr>
        <w:t>)</w:t>
      </w:r>
      <w:r w:rsidR="00D55B0D" w:rsidRPr="00C95105">
        <w:rPr>
          <w:rFonts w:asciiTheme="minorHAnsi" w:hAnsiTheme="minorHAnsi" w:cstheme="minorHAnsi"/>
          <w:sz w:val="22"/>
          <w:szCs w:val="22"/>
        </w:rPr>
        <w:t>.</w:t>
      </w:r>
      <w:bookmarkEnd w:id="57"/>
      <w:bookmarkEnd w:id="58"/>
      <w:bookmarkEnd w:id="59"/>
    </w:p>
    <w:p w14:paraId="48925390" w14:textId="77777777" w:rsidR="00586A12" w:rsidRPr="00C95105" w:rsidRDefault="00586A12" w:rsidP="002E55D6">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As such, they single out a particular group, which may carry costs in terms of backlash and resentment, particularly if also a distributive measure (such as gender quotas).</w:t>
      </w:r>
    </w:p>
    <w:p w14:paraId="309CA8DC" w14:textId="77777777" w:rsidR="00586A12" w:rsidRPr="00C95105" w:rsidRDefault="00586A12" w:rsidP="00083057">
      <w:pPr>
        <w:spacing w:after="120"/>
        <w:ind w:firstLine="567"/>
        <w:rPr>
          <w:rFonts w:asciiTheme="minorHAnsi" w:hAnsiTheme="minorHAnsi" w:cstheme="minorHAnsi"/>
          <w:sz w:val="22"/>
          <w:szCs w:val="22"/>
        </w:rPr>
      </w:pPr>
      <w:r w:rsidRPr="00C95105">
        <w:rPr>
          <w:rFonts w:asciiTheme="minorHAnsi" w:hAnsiTheme="minorHAnsi" w:cstheme="minorHAnsi"/>
          <w:b/>
          <w:bCs/>
          <w:i/>
          <w:iCs/>
          <w:sz w:val="22"/>
          <w:szCs w:val="22"/>
        </w:rPr>
        <w:t>Indirect measures</w:t>
      </w:r>
      <w:r w:rsidRPr="00C95105">
        <w:rPr>
          <w:rFonts w:asciiTheme="minorHAnsi" w:hAnsiTheme="minorHAnsi" w:cstheme="minorHAnsi"/>
          <w:sz w:val="22"/>
          <w:szCs w:val="22"/>
        </w:rPr>
        <w:t xml:space="preserve"> choose a different (non-protected) attribute as the basis for selection as a potential beneficiary, where that attribute is a reasonable proxy for the protected attribute. For example:</w:t>
      </w:r>
    </w:p>
    <w:p w14:paraId="0506C8D5" w14:textId="71459F16"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60" w:name="_Toc96866397"/>
      <w:bookmarkStart w:id="61" w:name="_Toc96866599"/>
      <w:bookmarkStart w:id="62" w:name="_Toc96878266"/>
      <w:r w:rsidRPr="00C95105">
        <w:rPr>
          <w:rFonts w:asciiTheme="minorHAnsi" w:hAnsiTheme="minorHAnsi" w:cstheme="minorHAnsi"/>
          <w:sz w:val="22"/>
          <w:szCs w:val="22"/>
        </w:rPr>
        <w:t>A policy improving the work conditions of part-time roles</w:t>
      </w:r>
      <w:r w:rsidR="00997450" w:rsidRPr="00C95105">
        <w:rPr>
          <w:rFonts w:asciiTheme="minorHAnsi" w:hAnsiTheme="minorHAnsi" w:cstheme="minorHAnsi"/>
          <w:sz w:val="22"/>
          <w:szCs w:val="22"/>
        </w:rPr>
        <w:t>;</w:t>
      </w:r>
      <w:bookmarkEnd w:id="60"/>
      <w:bookmarkEnd w:id="61"/>
      <w:bookmarkEnd w:id="62"/>
    </w:p>
    <w:p w14:paraId="444E02B1" w14:textId="16F4F246"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63" w:name="_Toc96866398"/>
      <w:bookmarkStart w:id="64" w:name="_Toc96866600"/>
      <w:bookmarkStart w:id="65" w:name="_Toc96878267"/>
      <w:r w:rsidRPr="00C95105">
        <w:rPr>
          <w:rFonts w:asciiTheme="minorHAnsi" w:hAnsiTheme="minorHAnsi" w:cstheme="minorHAnsi"/>
          <w:sz w:val="22"/>
          <w:szCs w:val="22"/>
        </w:rPr>
        <w:t>Providing financial incentives to all employees returning from extended parental leave</w:t>
      </w:r>
      <w:r w:rsidR="00997450" w:rsidRPr="00C95105">
        <w:rPr>
          <w:rFonts w:asciiTheme="minorHAnsi" w:hAnsiTheme="minorHAnsi" w:cstheme="minorHAnsi"/>
          <w:sz w:val="22"/>
          <w:szCs w:val="22"/>
        </w:rPr>
        <w:t>.</w:t>
      </w:r>
      <w:bookmarkEnd w:id="63"/>
      <w:bookmarkEnd w:id="64"/>
      <w:bookmarkEnd w:id="65"/>
    </w:p>
    <w:p w14:paraId="7FCA06A8" w14:textId="027971B0" w:rsidR="00586A12" w:rsidRPr="00C95105" w:rsidRDefault="00586A12" w:rsidP="0064243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These </w:t>
      </w:r>
      <w:r w:rsidR="00642435" w:rsidRPr="00C95105">
        <w:rPr>
          <w:rFonts w:asciiTheme="minorHAnsi" w:hAnsiTheme="minorHAnsi" w:cstheme="minorHAnsi"/>
          <w:sz w:val="22"/>
          <w:szCs w:val="22"/>
        </w:rPr>
        <w:t xml:space="preserve">measures </w:t>
      </w:r>
      <w:r w:rsidRPr="00C95105">
        <w:rPr>
          <w:rFonts w:asciiTheme="minorHAnsi" w:hAnsiTheme="minorHAnsi" w:cstheme="minorHAnsi"/>
          <w:sz w:val="22"/>
          <w:szCs w:val="22"/>
        </w:rPr>
        <w:t>may be less likely to elicit backlash or stigmatisation, since they are open to anyone with the relevant characteristic, regardless of gender, race or other socially salient group membership. These measures might also lead to innovative ways of managing all employees.</w:t>
      </w:r>
    </w:p>
    <w:p w14:paraId="080B0E5C" w14:textId="77777777" w:rsidR="00C86B7C" w:rsidRPr="00C95105" w:rsidRDefault="00C86B7C" w:rsidP="00642435">
      <w:pPr>
        <w:spacing w:after="120"/>
        <w:ind w:firstLine="567"/>
        <w:rPr>
          <w:rFonts w:asciiTheme="minorHAnsi" w:hAnsiTheme="minorHAnsi" w:cstheme="minorHAnsi"/>
          <w:sz w:val="22"/>
          <w:szCs w:val="22"/>
        </w:rPr>
      </w:pPr>
    </w:p>
    <w:p w14:paraId="3B491904" w14:textId="190215E8" w:rsidR="00C86B7C" w:rsidRPr="00C95105" w:rsidRDefault="00C86B7C" w:rsidP="0093280F">
      <w:pPr>
        <w:pStyle w:val="Heading3"/>
        <w:numPr>
          <w:ilvl w:val="2"/>
          <w:numId w:val="7"/>
        </w:numPr>
        <w:spacing w:before="0" w:after="120"/>
        <w:ind w:left="567" w:hanging="567"/>
        <w:rPr>
          <w:rFonts w:asciiTheme="minorHAnsi" w:hAnsiTheme="minorHAnsi" w:cstheme="minorHAnsi"/>
          <w:b/>
          <w:bCs/>
          <w:i/>
          <w:iCs/>
          <w:color w:val="2F5496" w:themeColor="accent1" w:themeShade="BF"/>
          <w:sz w:val="22"/>
          <w:szCs w:val="22"/>
        </w:rPr>
      </w:pPr>
      <w:bookmarkStart w:id="66" w:name="_Toc96859233"/>
      <w:bookmarkStart w:id="67" w:name="_Toc96957664"/>
      <w:r w:rsidRPr="00C95105">
        <w:rPr>
          <w:rFonts w:asciiTheme="minorHAnsi" w:hAnsiTheme="minorHAnsi" w:cstheme="minorHAnsi"/>
          <w:b/>
          <w:bCs/>
          <w:i/>
          <w:iCs/>
          <w:color w:val="2F5496" w:themeColor="accent1" w:themeShade="BF"/>
          <w:sz w:val="22"/>
          <w:szCs w:val="22"/>
        </w:rPr>
        <w:t xml:space="preserve">Remedial </w:t>
      </w:r>
      <w:r w:rsidR="00D46DC2" w:rsidRPr="00C95105">
        <w:rPr>
          <w:rFonts w:asciiTheme="minorHAnsi" w:hAnsiTheme="minorHAnsi" w:cstheme="minorHAnsi"/>
          <w:b/>
          <w:bCs/>
          <w:i/>
          <w:iCs/>
          <w:color w:val="2F5496" w:themeColor="accent1" w:themeShade="BF"/>
          <w:sz w:val="22"/>
          <w:szCs w:val="22"/>
        </w:rPr>
        <w:t xml:space="preserve">versus Non-remedial </w:t>
      </w:r>
      <w:r w:rsidRPr="00C95105">
        <w:rPr>
          <w:rFonts w:asciiTheme="minorHAnsi" w:hAnsiTheme="minorHAnsi" w:cstheme="minorHAnsi"/>
          <w:b/>
          <w:bCs/>
          <w:i/>
          <w:iCs/>
          <w:color w:val="2F5496" w:themeColor="accent1" w:themeShade="BF"/>
          <w:sz w:val="22"/>
          <w:szCs w:val="22"/>
        </w:rPr>
        <w:t>Measures</w:t>
      </w:r>
      <w:bookmarkEnd w:id="66"/>
      <w:bookmarkEnd w:id="67"/>
    </w:p>
    <w:p w14:paraId="046E4A61" w14:textId="77777777" w:rsidR="00586A12" w:rsidRPr="00C95105" w:rsidRDefault="00586A12" w:rsidP="00642435">
      <w:pPr>
        <w:spacing w:after="120"/>
        <w:ind w:firstLine="567"/>
        <w:rPr>
          <w:rFonts w:asciiTheme="minorHAnsi" w:hAnsiTheme="minorHAnsi" w:cstheme="minorHAnsi"/>
          <w:sz w:val="22"/>
          <w:szCs w:val="22"/>
        </w:rPr>
      </w:pPr>
      <w:r w:rsidRPr="00C95105">
        <w:rPr>
          <w:rFonts w:asciiTheme="minorHAnsi" w:hAnsiTheme="minorHAnsi" w:cstheme="minorHAnsi"/>
          <w:b/>
          <w:bCs/>
          <w:i/>
          <w:iCs/>
          <w:sz w:val="22"/>
          <w:szCs w:val="22"/>
        </w:rPr>
        <w:t>Remedial measures</w:t>
      </w:r>
      <w:r w:rsidRPr="00C95105">
        <w:rPr>
          <w:rFonts w:asciiTheme="minorHAnsi" w:hAnsiTheme="minorHAnsi" w:cstheme="minorHAnsi"/>
          <w:sz w:val="22"/>
          <w:szCs w:val="22"/>
        </w:rPr>
        <w:t xml:space="preserve"> seek to undo either historical or continuing harms of discrimination. In the latter case, this includes efforts to change policies or practices (e.g., for recruitment or promotion) that appear neutral, but that mask dominant masculine norms. For example:</w:t>
      </w:r>
    </w:p>
    <w:p w14:paraId="16281BB8" w14:textId="0D96D236"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68" w:name="_Toc96866399"/>
      <w:bookmarkStart w:id="69" w:name="_Toc96866601"/>
      <w:bookmarkStart w:id="70" w:name="_Toc96878268"/>
      <w:r w:rsidRPr="00C95105">
        <w:rPr>
          <w:rFonts w:asciiTheme="minorHAnsi" w:hAnsiTheme="minorHAnsi" w:cstheme="minorHAnsi"/>
          <w:sz w:val="22"/>
          <w:szCs w:val="22"/>
        </w:rPr>
        <w:t xml:space="preserve">Job evaluation to establish comparable worth (see </w:t>
      </w:r>
      <w:r w:rsidR="002C3D65" w:rsidRPr="00C95105">
        <w:rPr>
          <w:rFonts w:asciiTheme="minorHAnsi" w:hAnsiTheme="minorHAnsi" w:cstheme="minorHAnsi"/>
          <w:sz w:val="22"/>
          <w:szCs w:val="22"/>
        </w:rPr>
        <w:t>Chapter 5</w:t>
      </w:r>
      <w:r w:rsidRPr="00C95105">
        <w:rPr>
          <w:rFonts w:asciiTheme="minorHAnsi" w:hAnsiTheme="minorHAnsi" w:cstheme="minorHAnsi"/>
          <w:sz w:val="22"/>
          <w:szCs w:val="22"/>
        </w:rPr>
        <w:t>)</w:t>
      </w:r>
      <w:r w:rsidR="00997450" w:rsidRPr="00C95105">
        <w:rPr>
          <w:rFonts w:asciiTheme="minorHAnsi" w:hAnsiTheme="minorHAnsi" w:cstheme="minorHAnsi"/>
          <w:sz w:val="22"/>
          <w:szCs w:val="22"/>
        </w:rPr>
        <w:t>;</w:t>
      </w:r>
      <w:bookmarkEnd w:id="68"/>
      <w:bookmarkEnd w:id="69"/>
      <w:bookmarkEnd w:id="70"/>
    </w:p>
    <w:p w14:paraId="1BBC2954" w14:textId="6E0B226D" w:rsidR="00586A12" w:rsidRPr="00C95105" w:rsidRDefault="00586A12" w:rsidP="0093280F">
      <w:pPr>
        <w:pStyle w:val="ListParagraph"/>
        <w:numPr>
          <w:ilvl w:val="0"/>
          <w:numId w:val="1"/>
        </w:numPr>
        <w:spacing w:after="120"/>
        <w:ind w:left="567" w:hanging="207"/>
        <w:rPr>
          <w:rFonts w:asciiTheme="minorHAnsi" w:hAnsiTheme="minorHAnsi" w:cstheme="minorHAnsi"/>
          <w:sz w:val="22"/>
          <w:szCs w:val="22"/>
        </w:rPr>
      </w:pPr>
      <w:bookmarkStart w:id="71" w:name="_Toc96866400"/>
      <w:bookmarkStart w:id="72" w:name="_Toc96866602"/>
      <w:bookmarkStart w:id="73" w:name="_Toc96878269"/>
      <w:r w:rsidRPr="00C95105">
        <w:rPr>
          <w:rFonts w:asciiTheme="minorHAnsi" w:hAnsiTheme="minorHAnsi" w:cstheme="minorHAnsi"/>
          <w:sz w:val="22"/>
          <w:szCs w:val="22"/>
        </w:rPr>
        <w:t xml:space="preserve">Flexible work policies (see </w:t>
      </w:r>
      <w:r w:rsidR="00997450" w:rsidRPr="00C95105">
        <w:rPr>
          <w:rFonts w:asciiTheme="minorHAnsi" w:hAnsiTheme="minorHAnsi" w:cstheme="minorHAnsi"/>
          <w:sz w:val="22"/>
          <w:szCs w:val="22"/>
        </w:rPr>
        <w:t>Chapter 3</w:t>
      </w:r>
      <w:r w:rsidRPr="00C95105">
        <w:rPr>
          <w:rFonts w:asciiTheme="minorHAnsi" w:hAnsiTheme="minorHAnsi" w:cstheme="minorHAnsi"/>
          <w:sz w:val="22"/>
          <w:szCs w:val="22"/>
        </w:rPr>
        <w:t>)</w:t>
      </w:r>
      <w:r w:rsidR="00997450" w:rsidRPr="00C95105">
        <w:rPr>
          <w:rFonts w:asciiTheme="minorHAnsi" w:hAnsiTheme="minorHAnsi" w:cstheme="minorHAnsi"/>
          <w:sz w:val="22"/>
          <w:szCs w:val="22"/>
        </w:rPr>
        <w:t>.</w:t>
      </w:r>
      <w:bookmarkEnd w:id="71"/>
      <w:bookmarkEnd w:id="72"/>
      <w:bookmarkEnd w:id="73"/>
    </w:p>
    <w:p w14:paraId="1C8A39EF" w14:textId="0BF18CA6" w:rsidR="00586A12" w:rsidRPr="00C95105" w:rsidRDefault="00586A12" w:rsidP="00AE32B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Policies to ameliorate organisational cultures that are especially hostile to women or gender/sexual minorities (e.g., sexual harassment), such as bystander training to identify and respond to sexual harassment</w:t>
      </w:r>
      <w:r w:rsidR="000072CC" w:rsidRPr="00C95105">
        <w:rPr>
          <w:rFonts w:asciiTheme="minorHAnsi" w:hAnsiTheme="minorHAnsi" w:cstheme="minorHAnsi"/>
          <w:sz w:val="22"/>
          <w:szCs w:val="22"/>
        </w:rPr>
        <w:t xml:space="preserve"> (see Chapter 4 - </w:t>
      </w:r>
      <w:r w:rsidR="007E0D9F" w:rsidRPr="00C95105">
        <w:rPr>
          <w:rFonts w:asciiTheme="minorHAnsi" w:hAnsiTheme="minorHAnsi" w:cstheme="minorHAnsi"/>
          <w:sz w:val="22"/>
          <w:szCs w:val="22"/>
        </w:rPr>
        <w:t>Addressing Public Sector Drivers of Sexual Harassment)</w:t>
      </w:r>
      <w:r w:rsidRPr="00C95105">
        <w:rPr>
          <w:rFonts w:asciiTheme="minorHAnsi" w:hAnsiTheme="minorHAnsi" w:cstheme="minorHAnsi"/>
          <w:sz w:val="22"/>
          <w:szCs w:val="22"/>
        </w:rPr>
        <w:t xml:space="preserve">, could also be considered remedial measures. </w:t>
      </w:r>
    </w:p>
    <w:p w14:paraId="4CAD69C9" w14:textId="1EEFDF5A" w:rsidR="00AA6608" w:rsidRPr="00C95105" w:rsidRDefault="00AA6608" w:rsidP="00AE32B0">
      <w:pPr>
        <w:spacing w:after="120"/>
        <w:ind w:firstLine="567"/>
        <w:rPr>
          <w:rFonts w:asciiTheme="minorHAnsi" w:hAnsiTheme="minorHAnsi" w:cstheme="minorHAnsi"/>
          <w:sz w:val="22"/>
          <w:szCs w:val="22"/>
        </w:rPr>
      </w:pPr>
      <w:r w:rsidRPr="00C95105">
        <w:rPr>
          <w:rFonts w:asciiTheme="minorHAnsi" w:hAnsiTheme="minorHAnsi" w:cstheme="minorHAnsi"/>
          <w:b/>
          <w:bCs/>
          <w:i/>
          <w:iCs/>
          <w:sz w:val="22"/>
          <w:szCs w:val="22"/>
        </w:rPr>
        <w:t>Non-remedial measures</w:t>
      </w:r>
      <w:r w:rsidR="00F32D6B" w:rsidRPr="00C95105">
        <w:rPr>
          <w:rFonts w:asciiTheme="minorHAnsi" w:hAnsiTheme="minorHAnsi" w:cstheme="minorHAnsi"/>
          <w:sz w:val="22"/>
          <w:szCs w:val="22"/>
        </w:rPr>
        <w:t xml:space="preserve"> focus on present and future </w:t>
      </w:r>
      <w:r w:rsidR="009B2A4C" w:rsidRPr="00C95105">
        <w:rPr>
          <w:rFonts w:asciiTheme="minorHAnsi" w:hAnsiTheme="minorHAnsi" w:cstheme="minorHAnsi"/>
          <w:sz w:val="22"/>
          <w:szCs w:val="22"/>
        </w:rPr>
        <w:t>conditions of disadvantaged groups</w:t>
      </w:r>
      <w:r w:rsidR="00683012" w:rsidRPr="00C95105">
        <w:rPr>
          <w:rFonts w:asciiTheme="minorHAnsi" w:hAnsiTheme="minorHAnsi" w:cstheme="minorHAnsi"/>
          <w:sz w:val="22"/>
          <w:szCs w:val="22"/>
        </w:rPr>
        <w:t xml:space="preserve"> </w:t>
      </w:r>
      <w:r w:rsidR="00F32D6B" w:rsidRPr="00C95105">
        <w:rPr>
          <w:rFonts w:asciiTheme="minorHAnsi" w:hAnsiTheme="minorHAnsi" w:cstheme="minorHAnsi"/>
          <w:sz w:val="22"/>
          <w:szCs w:val="22"/>
        </w:rPr>
        <w:t xml:space="preserve">and seek to create equal conditions </w:t>
      </w:r>
      <w:r w:rsidR="000B01DA" w:rsidRPr="00C95105">
        <w:rPr>
          <w:rFonts w:asciiTheme="minorHAnsi" w:hAnsiTheme="minorHAnsi" w:cstheme="minorHAnsi"/>
          <w:sz w:val="22"/>
          <w:szCs w:val="22"/>
        </w:rPr>
        <w:t xml:space="preserve">without directly redressing previous </w:t>
      </w:r>
      <w:r w:rsidR="4FD7589A" w:rsidRPr="00C95105">
        <w:rPr>
          <w:rFonts w:asciiTheme="minorHAnsi" w:hAnsiTheme="minorHAnsi" w:cstheme="minorHAnsi"/>
          <w:sz w:val="22"/>
          <w:szCs w:val="22"/>
        </w:rPr>
        <w:t xml:space="preserve">or current </w:t>
      </w:r>
      <w:r w:rsidR="000B01DA" w:rsidRPr="00C95105">
        <w:rPr>
          <w:rFonts w:asciiTheme="minorHAnsi" w:hAnsiTheme="minorHAnsi" w:cstheme="minorHAnsi"/>
          <w:sz w:val="22"/>
          <w:szCs w:val="22"/>
        </w:rPr>
        <w:t>injustices.</w:t>
      </w:r>
    </w:p>
    <w:p w14:paraId="31E45EDB" w14:textId="7FCFCD11" w:rsidR="00D71BD2" w:rsidRPr="00C95105" w:rsidRDefault="00D71BD2" w:rsidP="0093280F">
      <w:pPr>
        <w:pStyle w:val="ListParagraph"/>
        <w:numPr>
          <w:ilvl w:val="0"/>
          <w:numId w:val="1"/>
        </w:numPr>
        <w:spacing w:after="120"/>
        <w:ind w:left="567" w:hanging="207"/>
        <w:rPr>
          <w:rFonts w:asciiTheme="minorHAnsi" w:hAnsiTheme="minorHAnsi" w:cstheme="minorHAnsi"/>
          <w:sz w:val="22"/>
          <w:szCs w:val="22"/>
        </w:rPr>
      </w:pPr>
      <w:bookmarkStart w:id="74" w:name="_Toc96866401"/>
      <w:bookmarkStart w:id="75" w:name="_Toc96866603"/>
      <w:bookmarkStart w:id="76" w:name="_Toc96878270"/>
      <w:r w:rsidRPr="00C95105">
        <w:rPr>
          <w:rFonts w:asciiTheme="minorHAnsi" w:hAnsiTheme="minorHAnsi" w:cstheme="minorHAnsi"/>
          <w:sz w:val="22"/>
          <w:szCs w:val="22"/>
        </w:rPr>
        <w:t>Anonymous Application Procedures (see Chapter 2);</w:t>
      </w:r>
      <w:bookmarkEnd w:id="74"/>
      <w:bookmarkEnd w:id="75"/>
      <w:bookmarkEnd w:id="76"/>
    </w:p>
    <w:p w14:paraId="7CC300B0" w14:textId="5B8CC7CF" w:rsidR="00D71BD2" w:rsidRDefault="00D71BD2" w:rsidP="00D71BD2">
      <w:pPr>
        <w:spacing w:after="120"/>
        <w:rPr>
          <w:rFonts w:asciiTheme="minorHAnsi" w:hAnsiTheme="minorHAnsi" w:cstheme="minorBidi"/>
          <w:sz w:val="22"/>
          <w:szCs w:val="22"/>
        </w:rPr>
      </w:pPr>
    </w:p>
    <w:p w14:paraId="7F0CC816" w14:textId="5B8CC7CF" w:rsidR="008021DD" w:rsidRDefault="008021DD" w:rsidP="00D71BD2">
      <w:pPr>
        <w:spacing w:after="120"/>
        <w:rPr>
          <w:rFonts w:asciiTheme="minorHAnsi" w:hAnsiTheme="minorHAnsi" w:cstheme="minorBidi"/>
          <w:sz w:val="22"/>
          <w:szCs w:val="22"/>
        </w:rPr>
      </w:pPr>
    </w:p>
    <w:p w14:paraId="5C63E592" w14:textId="5B8CC7CF" w:rsidR="008021DD" w:rsidRPr="00C95105" w:rsidRDefault="008021DD" w:rsidP="00D71BD2">
      <w:pPr>
        <w:spacing w:after="120"/>
        <w:rPr>
          <w:rFonts w:asciiTheme="minorHAnsi" w:hAnsiTheme="minorHAnsi" w:cstheme="minorBidi"/>
          <w:sz w:val="22"/>
          <w:szCs w:val="22"/>
        </w:rPr>
      </w:pPr>
    </w:p>
    <w:p w14:paraId="08804ACA" w14:textId="32A8E549" w:rsidR="009257B2" w:rsidRPr="00C95105" w:rsidRDefault="009257B2" w:rsidP="0093280F">
      <w:pPr>
        <w:pStyle w:val="Heading2"/>
        <w:numPr>
          <w:ilvl w:val="1"/>
          <w:numId w:val="7"/>
        </w:numPr>
        <w:spacing w:before="0" w:after="120"/>
        <w:ind w:left="425" w:hanging="425"/>
        <w:rPr>
          <w:rFonts w:asciiTheme="minorHAnsi" w:hAnsiTheme="minorHAnsi" w:cstheme="minorHAnsi"/>
          <w:b/>
          <w:bCs/>
        </w:rPr>
      </w:pPr>
      <w:bookmarkStart w:id="77" w:name="_Toc96859234"/>
      <w:bookmarkStart w:id="78" w:name="_Toc96957665"/>
      <w:r w:rsidRPr="00C95105">
        <w:rPr>
          <w:rFonts w:asciiTheme="minorHAnsi" w:hAnsiTheme="minorHAnsi" w:cstheme="minorHAnsi"/>
          <w:b/>
          <w:bCs/>
        </w:rPr>
        <w:lastRenderedPageBreak/>
        <w:t>Further considerations</w:t>
      </w:r>
      <w:bookmarkEnd w:id="77"/>
      <w:bookmarkEnd w:id="78"/>
    </w:p>
    <w:p w14:paraId="7DDD450F" w14:textId="4EC360DE" w:rsidR="00586A12" w:rsidRPr="00C95105" w:rsidRDefault="00586A12" w:rsidP="00AE32B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Challenges to entrenched norms may be strongly resisted. Pointing to successful organisations that have changed their policies and practices with positive effects, or data indicating a better correspondence between the new proposed practice or criteria and genuine </w:t>
      </w:r>
      <w:r w:rsidR="000C31D4" w:rsidRPr="00C95105">
        <w:rPr>
          <w:rFonts w:asciiTheme="minorHAnsi" w:hAnsiTheme="minorHAnsi" w:cstheme="minorHAnsi"/>
          <w:sz w:val="22"/>
          <w:szCs w:val="22"/>
        </w:rPr>
        <w:t>merit,</w:t>
      </w:r>
      <w:r w:rsidRPr="00C95105">
        <w:rPr>
          <w:rFonts w:asciiTheme="minorHAnsi" w:hAnsiTheme="minorHAnsi" w:cstheme="minorHAnsi"/>
          <w:sz w:val="22"/>
          <w:szCs w:val="22"/>
        </w:rPr>
        <w:t xml:space="preserve"> as well as benefits to all employees (e.g., more respectful culture or better work-life balance for all employees)</w:t>
      </w:r>
      <w:r w:rsidR="000C31D4" w:rsidRPr="00C95105">
        <w:rPr>
          <w:rFonts w:asciiTheme="minorHAnsi" w:hAnsiTheme="minorHAnsi" w:cstheme="minorHAnsi"/>
          <w:sz w:val="22"/>
          <w:szCs w:val="22"/>
        </w:rPr>
        <w:t>,</w:t>
      </w:r>
      <w:r w:rsidRPr="00C95105">
        <w:rPr>
          <w:rFonts w:asciiTheme="minorHAnsi" w:hAnsiTheme="minorHAnsi" w:cstheme="minorHAnsi"/>
          <w:sz w:val="22"/>
          <w:szCs w:val="22"/>
        </w:rPr>
        <w:t xml:space="preserve"> may be helpful.    </w:t>
      </w:r>
    </w:p>
    <w:p w14:paraId="2CAF5C58" w14:textId="7EB860CF" w:rsidR="00586A12" w:rsidRPr="00C95105" w:rsidRDefault="00586A12" w:rsidP="00CB07D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considering or designing positive actions, policy makers should bear in mind that there may be tangible and/or expressive costs to strategies that involve singling out women or intersectional gender groups for workplace benefits: both to other employees, and the intended beneficiaries. They may nonetheless be justified</w:t>
      </w:r>
      <w:r w:rsidR="00ED4F6F" w:rsidRPr="00C95105">
        <w:rPr>
          <w:rFonts w:asciiTheme="minorHAnsi" w:hAnsiTheme="minorHAnsi" w:cstheme="minorHAnsi"/>
          <w:sz w:val="22"/>
          <w:szCs w:val="22"/>
        </w:rPr>
        <w:t xml:space="preserve">. </w:t>
      </w:r>
      <w:r w:rsidR="00687866" w:rsidRPr="00C95105">
        <w:rPr>
          <w:rFonts w:asciiTheme="minorHAnsi" w:hAnsiTheme="minorHAnsi" w:cstheme="minorHAnsi"/>
          <w:sz w:val="22"/>
          <w:szCs w:val="22"/>
        </w:rPr>
        <w:t>Nevertheless</w:t>
      </w:r>
      <w:r w:rsidR="00ED4F6F" w:rsidRPr="00C95105">
        <w:rPr>
          <w:rFonts w:asciiTheme="minorHAnsi" w:hAnsiTheme="minorHAnsi" w:cstheme="minorHAnsi"/>
          <w:sz w:val="22"/>
          <w:szCs w:val="22"/>
        </w:rPr>
        <w:t xml:space="preserve">, </w:t>
      </w:r>
      <w:r w:rsidRPr="00C95105">
        <w:rPr>
          <w:rFonts w:asciiTheme="minorHAnsi" w:hAnsiTheme="minorHAnsi" w:cstheme="minorHAnsi"/>
          <w:i/>
          <w:iCs/>
          <w:sz w:val="22"/>
          <w:szCs w:val="22"/>
        </w:rPr>
        <w:t>all else being equal in terms of effectiveness in promoting gender equality</w:t>
      </w:r>
      <w:r w:rsidRPr="00C95105">
        <w:rPr>
          <w:rFonts w:asciiTheme="minorHAnsi" w:hAnsiTheme="minorHAnsi" w:cstheme="minorHAnsi"/>
          <w:sz w:val="22"/>
          <w:szCs w:val="22"/>
        </w:rPr>
        <w:t xml:space="preserve">, universal measures are preferable to positive actions, indirect measures are preferable to direct measures, and facilitative measures are preferable to distributive ones </w:t>
      </w:r>
      <w:r w:rsidR="00062EDB" w:rsidRPr="00C95105">
        <w:rPr>
          <w:rFonts w:asciiTheme="minorHAnsi" w:hAnsiTheme="minorHAnsi" w:cstheme="minorHAnsi"/>
          <w:sz w:val="22"/>
          <w:szCs w:val="22"/>
        </w:rPr>
        <w:t xml:space="preserve">to </w:t>
      </w:r>
      <w:r w:rsidR="000151CD" w:rsidRPr="00C95105">
        <w:rPr>
          <w:rFonts w:asciiTheme="minorHAnsi" w:hAnsiTheme="minorHAnsi" w:cstheme="minorHAnsi"/>
          <w:sz w:val="22"/>
          <w:szCs w:val="22"/>
        </w:rPr>
        <w:t>support</w:t>
      </w:r>
      <w:r w:rsidR="009D1B56" w:rsidRPr="00C95105">
        <w:rPr>
          <w:rFonts w:asciiTheme="minorHAnsi" w:hAnsiTheme="minorHAnsi" w:cstheme="minorHAnsi"/>
          <w:sz w:val="22"/>
          <w:szCs w:val="22"/>
        </w:rPr>
        <w:t xml:space="preserve"> uptake and </w:t>
      </w:r>
      <w:r w:rsidR="00062EDB" w:rsidRPr="00C95105">
        <w:rPr>
          <w:rFonts w:asciiTheme="minorHAnsi" w:hAnsiTheme="minorHAnsi" w:cstheme="minorHAnsi"/>
          <w:sz w:val="22"/>
          <w:szCs w:val="22"/>
        </w:rPr>
        <w:t xml:space="preserve">prevent backlash </w:t>
      </w:r>
      <w:r w:rsidRPr="00C95105">
        <w:rPr>
          <w:rFonts w:asciiTheme="minorHAnsi" w:hAnsiTheme="minorHAnsi" w:cstheme="minorHAnsi"/>
          <w:sz w:val="22"/>
          <w:szCs w:val="22"/>
        </w:rPr>
        <w:t>(Khaitan, 2015).</w:t>
      </w:r>
      <w:r w:rsidR="00686BF7" w:rsidRPr="00C95105">
        <w:rPr>
          <w:rFonts w:asciiTheme="minorHAnsi" w:hAnsiTheme="minorHAnsi" w:cstheme="minorHAnsi"/>
          <w:sz w:val="22"/>
          <w:szCs w:val="22"/>
        </w:rPr>
        <w:t xml:space="preserve"> However, this analysis should not deter officials from implementing distributive or direct measures. Such measures might require other risk-mitigation strategies to prevent and manage resistance to change and backlash (VicHealth, 2018).</w:t>
      </w:r>
    </w:p>
    <w:p w14:paraId="5E76543D" w14:textId="2A5864F6" w:rsidR="00586A12" w:rsidRPr="00C95105" w:rsidRDefault="009D1B56" w:rsidP="005D5F97">
      <w:pPr>
        <w:spacing w:after="120"/>
        <w:rPr>
          <w:rFonts w:asciiTheme="minorHAnsi" w:hAnsiTheme="minorHAnsi" w:cstheme="minorHAnsi"/>
          <w:sz w:val="22"/>
          <w:szCs w:val="22"/>
        </w:rPr>
      </w:pPr>
      <w:r w:rsidRPr="00C95105">
        <w:rPr>
          <w:rFonts w:asciiTheme="minorHAnsi" w:hAnsiTheme="minorHAnsi" w:cstheme="minorHAnsi"/>
          <w:sz w:val="22"/>
          <w:szCs w:val="22"/>
        </w:rPr>
        <w:tab/>
        <w:t xml:space="preserve">In the following </w:t>
      </w:r>
      <w:r w:rsidR="00882CDE" w:rsidRPr="00C95105">
        <w:rPr>
          <w:rFonts w:asciiTheme="minorHAnsi" w:hAnsiTheme="minorHAnsi" w:cstheme="minorHAnsi"/>
          <w:sz w:val="22"/>
          <w:szCs w:val="22"/>
        </w:rPr>
        <w:t>5 chapters</w:t>
      </w:r>
      <w:r w:rsidR="00687866" w:rsidRPr="00C95105">
        <w:rPr>
          <w:rFonts w:asciiTheme="minorHAnsi" w:hAnsiTheme="minorHAnsi" w:cstheme="minorHAnsi"/>
          <w:sz w:val="22"/>
          <w:szCs w:val="22"/>
        </w:rPr>
        <w:t xml:space="preserve">, </w:t>
      </w:r>
      <w:r w:rsidR="00882CDE" w:rsidRPr="00C95105">
        <w:rPr>
          <w:rFonts w:asciiTheme="minorHAnsi" w:hAnsiTheme="minorHAnsi" w:cstheme="minorHAnsi"/>
          <w:sz w:val="22"/>
          <w:szCs w:val="22"/>
        </w:rPr>
        <w:t>we dive into each of the systematic reviews we produced. Each of these chapters covers the logic behind the reviews, t</w:t>
      </w:r>
      <w:r w:rsidR="004E358C" w:rsidRPr="00C95105">
        <w:rPr>
          <w:rFonts w:asciiTheme="minorHAnsi" w:hAnsiTheme="minorHAnsi" w:cstheme="minorHAnsi"/>
          <w:sz w:val="22"/>
          <w:szCs w:val="22"/>
        </w:rPr>
        <w:t xml:space="preserve">he methods used, key findings and their associated implications, followed by a roadmap to action. </w:t>
      </w:r>
      <w:r w:rsidR="00001C6D" w:rsidRPr="00C95105">
        <w:rPr>
          <w:rFonts w:asciiTheme="minorHAnsi" w:hAnsiTheme="minorHAnsi" w:cstheme="minorHAnsi"/>
          <w:sz w:val="22"/>
          <w:szCs w:val="22"/>
        </w:rPr>
        <w:t>We hope these reviews help guide positive action</w:t>
      </w:r>
      <w:r w:rsidR="000467B5" w:rsidRPr="00C95105">
        <w:rPr>
          <w:rFonts w:asciiTheme="minorHAnsi" w:hAnsiTheme="minorHAnsi" w:cstheme="minorHAnsi"/>
          <w:sz w:val="22"/>
          <w:szCs w:val="22"/>
        </w:rPr>
        <w:t>.</w:t>
      </w:r>
    </w:p>
    <w:p w14:paraId="1C260524" w14:textId="77777777" w:rsidR="000467B5" w:rsidRPr="00C95105" w:rsidRDefault="000467B5" w:rsidP="005D5F97">
      <w:pPr>
        <w:spacing w:after="120"/>
        <w:rPr>
          <w:rFonts w:asciiTheme="minorHAnsi" w:hAnsiTheme="minorHAnsi" w:cstheme="minorHAnsi"/>
          <w:sz w:val="22"/>
          <w:szCs w:val="22"/>
        </w:rPr>
      </w:pPr>
    </w:p>
    <w:p w14:paraId="7C8A91CE" w14:textId="571F50BC" w:rsidR="00586A12" w:rsidRPr="00C95105" w:rsidRDefault="00586A12" w:rsidP="0093280F">
      <w:pPr>
        <w:pStyle w:val="Heading2"/>
        <w:numPr>
          <w:ilvl w:val="1"/>
          <w:numId w:val="7"/>
        </w:numPr>
        <w:spacing w:before="0" w:after="120"/>
        <w:ind w:left="425" w:hanging="425"/>
        <w:rPr>
          <w:rFonts w:asciiTheme="minorHAnsi" w:hAnsiTheme="minorHAnsi" w:cstheme="minorHAnsi"/>
          <w:b/>
          <w:bCs/>
        </w:rPr>
      </w:pPr>
      <w:bookmarkStart w:id="79" w:name="_Toc96859235"/>
      <w:bookmarkStart w:id="80" w:name="_Toc96957666"/>
      <w:r w:rsidRPr="00C95105">
        <w:rPr>
          <w:rFonts w:asciiTheme="minorHAnsi" w:hAnsiTheme="minorHAnsi" w:cstheme="minorHAnsi"/>
          <w:b/>
          <w:bCs/>
        </w:rPr>
        <w:t>References:</w:t>
      </w:r>
      <w:bookmarkEnd w:id="79"/>
      <w:bookmarkEnd w:id="80"/>
    </w:p>
    <w:p w14:paraId="6B089062" w14:textId="77777777" w:rsidR="00586A12" w:rsidRPr="00C95105" w:rsidRDefault="409C6B70" w:rsidP="60DD2AB3">
      <w:pPr>
        <w:spacing w:after="120" w:line="259" w:lineRule="auto"/>
        <w:ind w:left="567" w:hanging="567"/>
        <w:rPr>
          <w:rFonts w:asciiTheme="minorHAnsi" w:hAnsiTheme="minorHAnsi" w:cstheme="minorHAnsi"/>
        </w:rPr>
      </w:pPr>
      <w:r w:rsidRPr="00C95105">
        <w:rPr>
          <w:rFonts w:asciiTheme="minorHAnsi" w:hAnsiTheme="minorHAnsi" w:cstheme="minorHAnsi"/>
          <w:sz w:val="22"/>
          <w:szCs w:val="22"/>
        </w:rPr>
        <w:t xml:space="preserve">Eagly, A. H., &amp; Koenig, A. M. (2021). The vicious cycle linking stereotypes and social roles. </w:t>
      </w:r>
      <w:r w:rsidRPr="00C95105">
        <w:rPr>
          <w:rFonts w:asciiTheme="minorHAnsi" w:hAnsiTheme="minorHAnsi" w:cstheme="minorHAnsi"/>
          <w:i/>
          <w:iCs/>
          <w:sz w:val="22"/>
          <w:szCs w:val="22"/>
        </w:rPr>
        <w:t>Current Directions in Psychological Science, 30</w:t>
      </w:r>
      <w:r w:rsidRPr="00C95105">
        <w:rPr>
          <w:rFonts w:asciiTheme="minorHAnsi" w:hAnsiTheme="minorHAnsi" w:cstheme="minorHAnsi"/>
          <w:sz w:val="22"/>
          <w:szCs w:val="22"/>
        </w:rPr>
        <w:t xml:space="preserve">(4), 343–350. </w:t>
      </w:r>
      <w:hyperlink r:id="rId26">
        <w:r w:rsidRPr="00C95105">
          <w:rPr>
            <w:rFonts w:asciiTheme="minorHAnsi" w:hAnsiTheme="minorHAnsi" w:cstheme="minorHAnsi"/>
            <w:sz w:val="22"/>
            <w:szCs w:val="22"/>
          </w:rPr>
          <w:t>https://doi.org/10.1177/09637214211013775</w:t>
        </w:r>
      </w:hyperlink>
    </w:p>
    <w:p w14:paraId="3623B082" w14:textId="01B75424" w:rsidR="60DD2AB3" w:rsidRPr="00C95105" w:rsidRDefault="60DD2AB3" w:rsidP="60DD2AB3">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Fine, C., Sojo, V., &amp; Lawford-Smith, H. Why does workplace gender diversity matter? Justice, organizational benefits, and policy. </w:t>
      </w:r>
      <w:r w:rsidRPr="00C95105">
        <w:rPr>
          <w:rFonts w:asciiTheme="minorHAnsi" w:hAnsiTheme="minorHAnsi" w:cstheme="minorHAnsi"/>
          <w:i/>
          <w:iCs/>
          <w:sz w:val="22"/>
          <w:szCs w:val="22"/>
        </w:rPr>
        <w:t xml:space="preserve">Social Issues and Policy Review </w:t>
      </w:r>
      <w:r w:rsidRPr="00C95105">
        <w:rPr>
          <w:rFonts w:asciiTheme="minorHAnsi" w:hAnsiTheme="minorHAnsi" w:cstheme="minorHAnsi"/>
          <w:sz w:val="22"/>
          <w:szCs w:val="22"/>
        </w:rPr>
        <w:t>14(1): 36-72. doi:101111/sipr.12064.</w:t>
      </w:r>
    </w:p>
    <w:p w14:paraId="3B197F9E" w14:textId="77777777" w:rsidR="00034201" w:rsidRPr="00C95105" w:rsidRDefault="00034201" w:rsidP="00034201">
      <w:pPr>
        <w:pStyle w:val="CommentText"/>
        <w:spacing w:after="120"/>
        <w:ind w:left="567" w:hanging="567"/>
        <w:rPr>
          <w:rFonts w:asciiTheme="minorHAnsi" w:eastAsia="Calibr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Gender Equality Act 2020 (Vic). Retrieved from https://www.legislation.vic.gov.au/as-made/acts/gender-equality-act-2020</w:t>
      </w:r>
    </w:p>
    <w:p w14:paraId="4297E5E1" w14:textId="2BFCC710" w:rsidR="00586A12" w:rsidRPr="00C95105" w:rsidRDefault="00586A12" w:rsidP="007C2042">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Khaitan, T. (2015). </w:t>
      </w:r>
      <w:r w:rsidRPr="00C95105">
        <w:rPr>
          <w:rFonts w:asciiTheme="minorHAnsi" w:hAnsiTheme="minorHAnsi" w:cstheme="minorHAnsi"/>
          <w:i/>
          <w:iCs/>
          <w:sz w:val="22"/>
          <w:szCs w:val="22"/>
        </w:rPr>
        <w:t>A theory of discrimination law</w:t>
      </w:r>
      <w:r w:rsidRPr="00C95105">
        <w:rPr>
          <w:rFonts w:asciiTheme="minorHAnsi" w:hAnsiTheme="minorHAnsi" w:cstheme="minorHAnsi"/>
          <w:sz w:val="22"/>
          <w:szCs w:val="22"/>
        </w:rPr>
        <w:t>. Oxford, UK: Oxford University Press.</w:t>
      </w:r>
    </w:p>
    <w:p w14:paraId="585AC054" w14:textId="77777777" w:rsidR="00586A12" w:rsidRPr="00C95105" w:rsidRDefault="00586A12" w:rsidP="007C2042">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Levine, F. J., &amp; Ancheta, A. N. (2013). The AERA et al. Amicus Brief in Fisher v. University of Texas at Austin: Scientific organizations serving society. </w:t>
      </w:r>
      <w:r w:rsidRPr="00C95105">
        <w:rPr>
          <w:rFonts w:asciiTheme="minorHAnsi" w:hAnsiTheme="minorHAnsi" w:cstheme="minorHAnsi"/>
          <w:i/>
          <w:iCs/>
          <w:sz w:val="22"/>
          <w:szCs w:val="22"/>
        </w:rPr>
        <w:t>Educational Researcher, 42</w:t>
      </w:r>
      <w:r w:rsidRPr="00C95105">
        <w:rPr>
          <w:rFonts w:asciiTheme="minorHAnsi" w:hAnsiTheme="minorHAnsi" w:cstheme="minorHAnsi"/>
          <w:sz w:val="22"/>
          <w:szCs w:val="22"/>
        </w:rPr>
        <w:t>(3), 166–171. https://doi.org/10.3102/0013189X13486765</w:t>
      </w:r>
    </w:p>
    <w:p w14:paraId="2C913D52" w14:textId="77777777" w:rsidR="00586A12" w:rsidRPr="00C95105" w:rsidRDefault="00586A12" w:rsidP="007C2042">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Morgenroth, T., &amp; Ryan, M. K. (2018). Quotas and affirmative action: Understanding group‐based outcomes and attitudes. </w:t>
      </w:r>
      <w:r w:rsidRPr="00C95105">
        <w:rPr>
          <w:rFonts w:asciiTheme="minorHAnsi" w:hAnsiTheme="minorHAnsi" w:cstheme="minorHAnsi"/>
          <w:i/>
          <w:iCs/>
          <w:sz w:val="22"/>
          <w:szCs w:val="22"/>
        </w:rPr>
        <w:t>Social and Personality Psychology Compass, 12</w:t>
      </w:r>
      <w:r w:rsidRPr="00C95105">
        <w:rPr>
          <w:rFonts w:asciiTheme="minorHAnsi" w:hAnsiTheme="minorHAnsi" w:cstheme="minorHAnsi"/>
          <w:sz w:val="22"/>
          <w:szCs w:val="22"/>
        </w:rPr>
        <w:t>(3), e12374. https://doi.org/10.1111/spc3.12374</w:t>
      </w:r>
    </w:p>
    <w:p w14:paraId="0FFB98F2" w14:textId="0FAFB060" w:rsidR="006F5FF3" w:rsidRPr="00C95105" w:rsidRDefault="00586A12" w:rsidP="006F5FF3">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Murray, R. (2010). Second Among unequals? A study of whether France's “Quota Women” are up to the job. </w:t>
      </w:r>
      <w:r w:rsidRPr="00C95105">
        <w:rPr>
          <w:rFonts w:asciiTheme="minorHAnsi" w:hAnsiTheme="minorHAnsi" w:cstheme="minorHAnsi"/>
          <w:i/>
          <w:iCs/>
          <w:sz w:val="22"/>
          <w:szCs w:val="22"/>
        </w:rPr>
        <w:t>Politics &amp; Gender, 6</w:t>
      </w:r>
      <w:r w:rsidRPr="00C95105">
        <w:rPr>
          <w:rFonts w:asciiTheme="minorHAnsi" w:hAnsiTheme="minorHAnsi" w:cstheme="minorHAnsi"/>
          <w:sz w:val="22"/>
          <w:szCs w:val="22"/>
        </w:rPr>
        <w:t>(1), 93-118. doi:10.1017/S1743923X09990523</w:t>
      </w:r>
    </w:p>
    <w:p w14:paraId="5DB13F35" w14:textId="6CA67E1B" w:rsidR="006F5FF3" w:rsidRPr="00C95105" w:rsidRDefault="006F5FF3" w:rsidP="006F5FF3">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VicHealth 2018, (</w:t>
      </w:r>
      <w:r w:rsidRPr="00C95105">
        <w:rPr>
          <w:rFonts w:asciiTheme="minorHAnsi" w:hAnsiTheme="minorHAnsi" w:cstheme="minorHAnsi"/>
          <w:i/>
          <w:iCs/>
          <w:sz w:val="22"/>
          <w:szCs w:val="22"/>
        </w:rPr>
        <w:t>En)countering resistance: Strategies to respond to resistance to gender equality initiatives</w:t>
      </w:r>
      <w:r w:rsidRPr="00C95105">
        <w:rPr>
          <w:rFonts w:asciiTheme="minorHAnsi" w:hAnsiTheme="minorHAnsi" w:cstheme="minorHAnsi"/>
          <w:sz w:val="22"/>
          <w:szCs w:val="22"/>
        </w:rPr>
        <w:t xml:space="preserve">. Melbourne: Victorian Health Promotion Foundation. </w:t>
      </w:r>
    </w:p>
    <w:p w14:paraId="7634CB45" w14:textId="77777777" w:rsidR="006F5FF3" w:rsidRPr="00C95105" w:rsidRDefault="006F5FF3" w:rsidP="007C2042">
      <w:pPr>
        <w:spacing w:after="120"/>
        <w:ind w:left="567" w:hanging="567"/>
        <w:rPr>
          <w:rFonts w:asciiTheme="minorHAnsi" w:hAnsiTheme="minorHAnsi" w:cstheme="minorHAnsi"/>
          <w:sz w:val="22"/>
          <w:szCs w:val="22"/>
        </w:rPr>
      </w:pPr>
    </w:p>
    <w:p w14:paraId="1436EC54" w14:textId="77777777" w:rsidR="008C77C2" w:rsidRPr="00C95105" w:rsidRDefault="008C77C2" w:rsidP="006F5FF3">
      <w:pPr>
        <w:spacing w:after="120"/>
        <w:ind w:left="567" w:hanging="567"/>
        <w:rPr>
          <w:rFonts w:asciiTheme="minorHAnsi" w:hAnsiTheme="minorHAnsi" w:cstheme="minorHAnsi"/>
          <w:sz w:val="22"/>
          <w:szCs w:val="22"/>
        </w:rPr>
        <w:sectPr w:rsidR="008C77C2" w:rsidRPr="00C95105" w:rsidSect="005021D9">
          <w:headerReference w:type="even" r:id="rId27"/>
          <w:headerReference w:type="default" r:id="rId28"/>
          <w:footerReference w:type="default" r:id="rId29"/>
          <w:headerReference w:type="first" r:id="rId30"/>
          <w:footerReference w:type="first" r:id="rId31"/>
          <w:pgSz w:w="11906" w:h="16838"/>
          <w:pgMar w:top="1440" w:right="1440" w:bottom="1440" w:left="1440" w:header="708" w:footer="708" w:gutter="0"/>
          <w:cols w:space="708"/>
          <w:docGrid w:linePitch="360"/>
        </w:sectPr>
      </w:pPr>
    </w:p>
    <w:p w14:paraId="63397F93" w14:textId="673AECDB" w:rsidR="009072A2" w:rsidRPr="00A54CE0" w:rsidRDefault="00103C5E" w:rsidP="008463B5">
      <w:pPr>
        <w:pStyle w:val="Heading1"/>
        <w:spacing w:before="0" w:after="120"/>
        <w:jc w:val="center"/>
        <w:rPr>
          <w:rFonts w:asciiTheme="minorHAnsi" w:hAnsiTheme="minorHAnsi" w:cstheme="minorHAnsi"/>
          <w:b/>
          <w:bCs/>
          <w:color w:val="FFFFFF" w:themeColor="background1"/>
        </w:rPr>
      </w:pPr>
      <w:bookmarkStart w:id="81" w:name="_Toc96957667"/>
      <w:r w:rsidRPr="00A54CE0">
        <w:rPr>
          <w:rFonts w:asciiTheme="minorHAnsi" w:hAnsiTheme="minorHAnsi" w:cstheme="minorHAnsi"/>
          <w:b/>
          <w:bCs/>
          <w:color w:val="FFFFFF" w:themeColor="background1"/>
        </w:rPr>
        <w:lastRenderedPageBreak/>
        <w:t>Chapter 2</w:t>
      </w:r>
      <w:r w:rsidR="00B25A4E" w:rsidRPr="00A54CE0">
        <w:rPr>
          <w:rFonts w:asciiTheme="minorHAnsi" w:hAnsiTheme="minorHAnsi" w:cstheme="minorHAnsi"/>
          <w:b/>
          <w:bCs/>
          <w:color w:val="FFFFFF" w:themeColor="background1"/>
        </w:rPr>
        <w:t xml:space="preserve"> - </w:t>
      </w:r>
      <w:r w:rsidR="009072A2" w:rsidRPr="00A54CE0">
        <w:rPr>
          <w:rFonts w:asciiTheme="minorHAnsi" w:hAnsiTheme="minorHAnsi" w:cstheme="minorHAnsi"/>
          <w:color w:val="FFFFFF" w:themeColor="background1"/>
        </w:rPr>
        <w:t>Using Anonymous Application Procedures to Address Discrimination in Recruitment and Selection</w:t>
      </w:r>
      <w:bookmarkEnd w:id="81"/>
    </w:p>
    <w:p w14:paraId="162486A9" w14:textId="77777777" w:rsidR="00A578BA" w:rsidRPr="00A54CE0" w:rsidRDefault="00A578BA" w:rsidP="005D5F97">
      <w:pPr>
        <w:spacing w:after="120"/>
        <w:jc w:val="center"/>
        <w:rPr>
          <w:rFonts w:asciiTheme="minorHAnsi" w:hAnsiTheme="minorHAnsi" w:cstheme="minorHAnsi"/>
          <w:b/>
          <w:bCs/>
          <w:color w:val="FFFFFF" w:themeColor="background1"/>
          <w:sz w:val="22"/>
          <w:szCs w:val="22"/>
        </w:rPr>
      </w:pPr>
    </w:p>
    <w:p w14:paraId="5C4F27D6" w14:textId="55E32243" w:rsidR="0044315C" w:rsidRPr="00C95105" w:rsidRDefault="0044315C" w:rsidP="005D5F97">
      <w:pPr>
        <w:spacing w:after="120"/>
        <w:rPr>
          <w:rFonts w:asciiTheme="minorHAnsi" w:hAnsiTheme="minorHAnsi" w:cstheme="minorHAnsi"/>
          <w:sz w:val="22"/>
          <w:szCs w:val="22"/>
        </w:rPr>
      </w:pPr>
      <w:r w:rsidRPr="00C95105">
        <w:rPr>
          <w:rFonts w:asciiTheme="minorHAnsi" w:hAnsiTheme="minorHAnsi" w:cstheme="minorHAnsi"/>
          <w:i/>
          <w:iCs/>
          <w:sz w:val="22"/>
          <w:szCs w:val="22"/>
        </w:rPr>
        <w:t>Dr Victor Sojo</w:t>
      </w:r>
      <w:r w:rsidRPr="00C95105">
        <w:rPr>
          <w:rFonts w:asciiTheme="minorHAnsi" w:hAnsiTheme="minorHAnsi" w:cstheme="minorHAnsi"/>
          <w:sz w:val="22"/>
          <w:szCs w:val="22"/>
        </w:rPr>
        <w:t>, The University of Melbourne</w:t>
      </w:r>
    </w:p>
    <w:p w14:paraId="27D1E9A1" w14:textId="27E8523E" w:rsidR="0044315C" w:rsidRPr="00C95105" w:rsidRDefault="0044315C" w:rsidP="005D5F97">
      <w:pPr>
        <w:spacing w:after="120"/>
        <w:rPr>
          <w:rFonts w:asciiTheme="minorHAnsi" w:hAnsiTheme="minorHAnsi" w:cstheme="minorHAnsi"/>
          <w:sz w:val="22"/>
          <w:szCs w:val="22"/>
        </w:rPr>
      </w:pPr>
      <w:r w:rsidRPr="00C95105">
        <w:rPr>
          <w:rFonts w:asciiTheme="minorHAnsi" w:hAnsiTheme="minorHAnsi" w:cstheme="minorHAnsi"/>
          <w:i/>
          <w:iCs/>
          <w:sz w:val="22"/>
          <w:szCs w:val="22"/>
        </w:rPr>
        <w:t>Dr Melissa Wheeler</w:t>
      </w:r>
      <w:r w:rsidRPr="00C95105">
        <w:rPr>
          <w:rFonts w:asciiTheme="minorHAnsi" w:hAnsiTheme="minorHAnsi" w:cstheme="minorHAnsi"/>
          <w:sz w:val="22"/>
          <w:szCs w:val="22"/>
        </w:rPr>
        <w:t>, Swinburne University of Technology</w:t>
      </w:r>
    </w:p>
    <w:p w14:paraId="41764E38" w14:textId="6AC0F19F" w:rsidR="0044315C" w:rsidRPr="00C95105" w:rsidRDefault="0044315C" w:rsidP="005D5F97">
      <w:pPr>
        <w:spacing w:after="120"/>
        <w:rPr>
          <w:rFonts w:asciiTheme="minorHAnsi" w:hAnsiTheme="minorHAnsi" w:cstheme="minorHAnsi"/>
          <w:sz w:val="22"/>
          <w:szCs w:val="22"/>
        </w:rPr>
      </w:pPr>
      <w:r w:rsidRPr="00C95105">
        <w:rPr>
          <w:rFonts w:asciiTheme="minorHAnsi" w:hAnsiTheme="minorHAnsi" w:cstheme="minorHAnsi"/>
          <w:i/>
          <w:iCs/>
          <w:sz w:val="22"/>
          <w:szCs w:val="22"/>
        </w:rPr>
        <w:t xml:space="preserve">PhD Candidate </w:t>
      </w:r>
      <w:r w:rsidR="008A2D51" w:rsidRPr="00C95105">
        <w:rPr>
          <w:rFonts w:asciiTheme="minorHAnsi" w:hAnsiTheme="minorHAnsi" w:cstheme="minorHAnsi"/>
          <w:i/>
          <w:iCs/>
          <w:sz w:val="22"/>
          <w:szCs w:val="22"/>
        </w:rPr>
        <w:t xml:space="preserve">Lindsie </w:t>
      </w:r>
      <w:r w:rsidR="006E184F" w:rsidRPr="00C95105">
        <w:rPr>
          <w:rFonts w:asciiTheme="minorHAnsi" w:hAnsiTheme="minorHAnsi" w:cstheme="minorHAnsi"/>
          <w:i/>
          <w:iCs/>
          <w:sz w:val="22"/>
          <w:szCs w:val="22"/>
        </w:rPr>
        <w:t xml:space="preserve">Catherine </w:t>
      </w:r>
      <w:r w:rsidR="008A2D51" w:rsidRPr="00C95105">
        <w:rPr>
          <w:rFonts w:asciiTheme="minorHAnsi" w:hAnsiTheme="minorHAnsi" w:cstheme="minorHAnsi"/>
          <w:i/>
          <w:iCs/>
          <w:sz w:val="22"/>
          <w:szCs w:val="22"/>
        </w:rPr>
        <w:t>Arthur</w:t>
      </w:r>
      <w:r w:rsidR="008A2D51" w:rsidRPr="00C95105">
        <w:rPr>
          <w:rFonts w:asciiTheme="minorHAnsi" w:hAnsiTheme="minorHAnsi" w:cstheme="minorHAnsi"/>
          <w:sz w:val="22"/>
          <w:szCs w:val="22"/>
        </w:rPr>
        <w:t>, The University of Melbourne</w:t>
      </w:r>
      <w:r w:rsidR="00A54CE0" w:rsidRPr="00C95105">
        <w:rPr>
          <w:rFonts w:asciiTheme="minorHAnsi" w:hAnsiTheme="minorHAnsi" w:cstheme="minorHAnsi"/>
          <w:noProof/>
          <w:color w:val="000000" w:themeColor="text1"/>
          <w:sz w:val="28"/>
          <w:szCs w:val="28"/>
        </w:rPr>
        <mc:AlternateContent>
          <mc:Choice Requires="wps">
            <w:drawing>
              <wp:anchor distT="0" distB="0" distL="114300" distR="114300" simplePos="0" relativeHeight="251658264" behindDoc="1" locked="1" layoutInCell="1" allowOverlap="1" wp14:anchorId="07025C3F" wp14:editId="724011B6">
                <wp:simplePos x="0" y="0"/>
                <wp:positionH relativeFrom="page">
                  <wp:posOffset>-412750</wp:posOffset>
                </wp:positionH>
                <wp:positionV relativeFrom="page">
                  <wp:posOffset>-58420</wp:posOffset>
                </wp:positionV>
                <wp:extent cx="8476615" cy="1650365"/>
                <wp:effectExtent l="0" t="0" r="0" b="635"/>
                <wp:wrapNone/>
                <wp:docPr id="143"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476615" cy="1650365"/>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C6A17" id="Divider A BG" o:spid="_x0000_s1026" alt="&quot;&quot;" style="position:absolute;margin-left:-32.5pt;margin-top:-4.6pt;width:667.45pt;height:129.9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" fillcolor="#1c407f" stroked="f" strokeweight="1pt">
                <o:lock v:ext="edit" aspectratio="t"/>
                <w10:wrap anchorx="page" anchory="page"/>
                <w10:anchorlock/>
              </v:rect>
            </w:pict>
          </mc:Fallback>
        </mc:AlternateContent>
      </w:r>
    </w:p>
    <w:p w14:paraId="418A2988" w14:textId="25B89E98" w:rsidR="008A2D51" w:rsidRPr="00C95105" w:rsidRDefault="00D14E13" w:rsidP="005D5F97">
      <w:pPr>
        <w:spacing w:after="120"/>
        <w:rPr>
          <w:rFonts w:asciiTheme="minorHAnsi" w:hAnsiTheme="minorHAnsi" w:cstheme="minorHAnsi"/>
          <w:sz w:val="22"/>
          <w:szCs w:val="22"/>
        </w:rPr>
      </w:pPr>
      <w:r w:rsidRPr="00C95105">
        <w:rPr>
          <w:rFonts w:asciiTheme="minorHAnsi" w:hAnsiTheme="minorHAnsi" w:cstheme="minorHAnsi"/>
          <w:i/>
          <w:iCs/>
          <w:sz w:val="22"/>
          <w:szCs w:val="22"/>
        </w:rPr>
        <w:t>Dr</w:t>
      </w:r>
      <w:r w:rsidR="008A2D51" w:rsidRPr="00C95105">
        <w:rPr>
          <w:rFonts w:asciiTheme="minorHAnsi" w:hAnsiTheme="minorHAnsi" w:cstheme="minorHAnsi"/>
          <w:i/>
          <w:iCs/>
          <w:sz w:val="22"/>
          <w:szCs w:val="22"/>
        </w:rPr>
        <w:t xml:space="preserve"> Melanie McGrath</w:t>
      </w:r>
      <w:r w:rsidR="008A2D51" w:rsidRPr="00C95105">
        <w:rPr>
          <w:rFonts w:asciiTheme="minorHAnsi" w:hAnsiTheme="minorHAnsi" w:cstheme="minorHAnsi"/>
          <w:sz w:val="22"/>
          <w:szCs w:val="22"/>
        </w:rPr>
        <w:t>, The University of Melbourne</w:t>
      </w:r>
    </w:p>
    <w:p w14:paraId="2C58F0E8" w14:textId="77777777" w:rsidR="0044315C" w:rsidRPr="00C95105" w:rsidRDefault="0044315C" w:rsidP="005D5F97">
      <w:pPr>
        <w:spacing w:after="120"/>
        <w:rPr>
          <w:rFonts w:asciiTheme="minorHAnsi" w:hAnsiTheme="minorHAnsi" w:cstheme="minorHAnsi"/>
          <w:sz w:val="22"/>
          <w:szCs w:val="22"/>
        </w:rPr>
      </w:pPr>
    </w:p>
    <w:p w14:paraId="70B3A5C2" w14:textId="1FCCAE29" w:rsidR="006E2893" w:rsidRPr="00C95105" w:rsidRDefault="00AB386C" w:rsidP="0093280F">
      <w:pPr>
        <w:pStyle w:val="Heading2"/>
        <w:numPr>
          <w:ilvl w:val="1"/>
          <w:numId w:val="8"/>
        </w:numPr>
        <w:spacing w:before="0" w:after="120"/>
        <w:ind w:left="426" w:hanging="426"/>
        <w:rPr>
          <w:rFonts w:asciiTheme="minorHAnsi" w:hAnsiTheme="minorHAnsi" w:cstheme="minorHAnsi"/>
          <w:b/>
          <w:bCs/>
        </w:rPr>
      </w:pPr>
      <w:bookmarkStart w:id="82" w:name="_Toc96957668"/>
      <w:r w:rsidRPr="00C95105">
        <w:rPr>
          <w:rFonts w:asciiTheme="minorHAnsi" w:hAnsiTheme="minorHAnsi" w:cstheme="minorHAnsi"/>
          <w:b/>
          <w:bCs/>
        </w:rPr>
        <w:t xml:space="preserve">Executive </w:t>
      </w:r>
      <w:r w:rsidR="008A2D51" w:rsidRPr="00C95105">
        <w:rPr>
          <w:rFonts w:asciiTheme="minorHAnsi" w:hAnsiTheme="minorHAnsi" w:cstheme="minorHAnsi"/>
          <w:b/>
          <w:bCs/>
        </w:rPr>
        <w:t>S</w:t>
      </w:r>
      <w:r w:rsidRPr="00C95105">
        <w:rPr>
          <w:rFonts w:asciiTheme="minorHAnsi" w:hAnsiTheme="minorHAnsi" w:cstheme="minorHAnsi"/>
          <w:b/>
          <w:bCs/>
        </w:rPr>
        <w:t>ummary</w:t>
      </w:r>
      <w:bookmarkEnd w:id="82"/>
      <w:r w:rsidR="00337B5E" w:rsidRPr="00C95105">
        <w:rPr>
          <w:rFonts w:asciiTheme="minorHAnsi" w:hAnsiTheme="minorHAnsi" w:cstheme="minorHAnsi"/>
          <w:b/>
          <w:bCs/>
        </w:rPr>
        <w:tab/>
      </w:r>
    </w:p>
    <w:p w14:paraId="734C295D" w14:textId="014BEEF9" w:rsidR="004855E6" w:rsidRPr="00C95105" w:rsidRDefault="004855E6" w:rsidP="00103C5E">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We conducted a systematic review </w:t>
      </w:r>
      <w:r w:rsidR="00E33CC4" w:rsidRPr="00C95105">
        <w:rPr>
          <w:rFonts w:asciiTheme="minorHAnsi" w:hAnsiTheme="minorHAnsi" w:cstheme="minorHAnsi"/>
          <w:sz w:val="22"/>
          <w:szCs w:val="22"/>
        </w:rPr>
        <w:t xml:space="preserve">of </w:t>
      </w:r>
      <w:r w:rsidR="005251AB" w:rsidRPr="00C95105">
        <w:rPr>
          <w:rFonts w:asciiTheme="minorHAnsi" w:hAnsiTheme="minorHAnsi" w:cstheme="minorHAnsi"/>
          <w:sz w:val="22"/>
          <w:szCs w:val="22"/>
        </w:rPr>
        <w:t xml:space="preserve">research about the </w:t>
      </w:r>
      <w:r w:rsidR="00CB0B8E" w:rsidRPr="00C95105">
        <w:rPr>
          <w:rFonts w:asciiTheme="minorHAnsi" w:hAnsiTheme="minorHAnsi" w:cstheme="minorHAnsi"/>
          <w:sz w:val="22"/>
          <w:szCs w:val="22"/>
        </w:rPr>
        <w:t>capacity</w:t>
      </w:r>
      <w:r w:rsidR="005251AB" w:rsidRPr="00C95105">
        <w:rPr>
          <w:rFonts w:asciiTheme="minorHAnsi" w:hAnsiTheme="minorHAnsi" w:cstheme="minorHAnsi"/>
          <w:sz w:val="22"/>
          <w:szCs w:val="22"/>
        </w:rPr>
        <w:t xml:space="preserve"> of </w:t>
      </w:r>
      <w:r w:rsidR="1D4E8CB2" w:rsidRPr="00C95105">
        <w:rPr>
          <w:rFonts w:asciiTheme="minorHAnsi" w:hAnsiTheme="minorHAnsi" w:cstheme="minorHAnsi"/>
          <w:sz w:val="22"/>
          <w:szCs w:val="22"/>
        </w:rPr>
        <w:t>A</w:t>
      </w:r>
      <w:r w:rsidR="005251AB" w:rsidRPr="00C95105">
        <w:rPr>
          <w:rFonts w:asciiTheme="minorHAnsi" w:hAnsiTheme="minorHAnsi" w:cstheme="minorHAnsi"/>
          <w:sz w:val="22"/>
          <w:szCs w:val="22"/>
        </w:rPr>
        <w:t xml:space="preserve">nonymous </w:t>
      </w:r>
      <w:r w:rsidR="408B6DA1" w:rsidRPr="00C95105">
        <w:rPr>
          <w:rFonts w:asciiTheme="minorHAnsi" w:hAnsiTheme="minorHAnsi" w:cstheme="minorHAnsi"/>
          <w:sz w:val="22"/>
          <w:szCs w:val="22"/>
        </w:rPr>
        <w:t>A</w:t>
      </w:r>
      <w:r w:rsidR="005251AB" w:rsidRPr="00C95105">
        <w:rPr>
          <w:rFonts w:asciiTheme="minorHAnsi" w:hAnsiTheme="minorHAnsi" w:cstheme="minorHAnsi"/>
          <w:sz w:val="22"/>
          <w:szCs w:val="22"/>
        </w:rPr>
        <w:t xml:space="preserve">pplication </w:t>
      </w:r>
      <w:r w:rsidR="49BA7F86" w:rsidRPr="00C95105">
        <w:rPr>
          <w:rFonts w:asciiTheme="minorHAnsi" w:hAnsiTheme="minorHAnsi" w:cstheme="minorHAnsi"/>
          <w:sz w:val="22"/>
          <w:szCs w:val="22"/>
        </w:rPr>
        <w:t>P</w:t>
      </w:r>
      <w:r w:rsidR="005251AB" w:rsidRPr="00C95105">
        <w:rPr>
          <w:rFonts w:asciiTheme="minorHAnsi" w:hAnsiTheme="minorHAnsi" w:cstheme="minorHAnsi"/>
          <w:sz w:val="22"/>
          <w:szCs w:val="22"/>
        </w:rPr>
        <w:t>rocedures (AAP)</w:t>
      </w:r>
      <w:r w:rsidR="00680945" w:rsidRPr="00C95105">
        <w:rPr>
          <w:rFonts w:asciiTheme="minorHAnsi" w:hAnsiTheme="minorHAnsi" w:cstheme="minorHAnsi"/>
          <w:sz w:val="22"/>
          <w:szCs w:val="22"/>
        </w:rPr>
        <w:t>, also known as CV de-identification,</w:t>
      </w:r>
      <w:r w:rsidR="00CB0B8E" w:rsidRPr="00C95105">
        <w:rPr>
          <w:rFonts w:asciiTheme="minorHAnsi" w:hAnsiTheme="minorHAnsi" w:cstheme="minorHAnsi"/>
          <w:sz w:val="22"/>
          <w:szCs w:val="22"/>
        </w:rPr>
        <w:t xml:space="preserve"> to reduce discrimination towards women and minority groups in </w:t>
      </w:r>
      <w:r w:rsidR="00421C91" w:rsidRPr="00C95105">
        <w:rPr>
          <w:rFonts w:asciiTheme="minorHAnsi" w:hAnsiTheme="minorHAnsi" w:cstheme="minorHAnsi"/>
          <w:sz w:val="22"/>
          <w:szCs w:val="22"/>
        </w:rPr>
        <w:t xml:space="preserve">personnel </w:t>
      </w:r>
      <w:r w:rsidR="00CB0B8E" w:rsidRPr="00C95105">
        <w:rPr>
          <w:rFonts w:asciiTheme="minorHAnsi" w:hAnsiTheme="minorHAnsi" w:cstheme="minorHAnsi"/>
          <w:sz w:val="22"/>
          <w:szCs w:val="22"/>
        </w:rPr>
        <w:t xml:space="preserve">recruitment and selection processes. </w:t>
      </w:r>
    </w:p>
    <w:p w14:paraId="7AC6CC31" w14:textId="39584918" w:rsidR="00B86F64" w:rsidRPr="00C95105" w:rsidRDefault="00B86F64" w:rsidP="00103C5E">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After a systematic search and </w:t>
      </w:r>
      <w:r w:rsidR="00333549" w:rsidRPr="00C95105">
        <w:rPr>
          <w:rFonts w:asciiTheme="minorHAnsi" w:hAnsiTheme="minorHAnsi" w:cstheme="minorHAnsi"/>
          <w:sz w:val="22"/>
          <w:szCs w:val="22"/>
        </w:rPr>
        <w:t xml:space="preserve">selection of relevant </w:t>
      </w:r>
      <w:r w:rsidR="006A226B" w:rsidRPr="00C95105">
        <w:rPr>
          <w:rFonts w:asciiTheme="minorHAnsi" w:hAnsiTheme="minorHAnsi" w:cstheme="minorHAnsi"/>
          <w:sz w:val="22"/>
          <w:szCs w:val="22"/>
        </w:rPr>
        <w:t xml:space="preserve">peer-reviewed and industry/government </w:t>
      </w:r>
      <w:r w:rsidR="00333549" w:rsidRPr="00C95105">
        <w:rPr>
          <w:rFonts w:asciiTheme="minorHAnsi" w:hAnsiTheme="minorHAnsi" w:cstheme="minorHAnsi"/>
          <w:sz w:val="22"/>
          <w:szCs w:val="22"/>
        </w:rPr>
        <w:t xml:space="preserve">literature, we </w:t>
      </w:r>
      <w:r w:rsidR="000433AD" w:rsidRPr="00C95105">
        <w:rPr>
          <w:rFonts w:asciiTheme="minorHAnsi" w:hAnsiTheme="minorHAnsi" w:cstheme="minorHAnsi"/>
          <w:sz w:val="22"/>
          <w:szCs w:val="22"/>
        </w:rPr>
        <w:t xml:space="preserve">systematically </w:t>
      </w:r>
      <w:r w:rsidR="00333549" w:rsidRPr="00C95105">
        <w:rPr>
          <w:rFonts w:asciiTheme="minorHAnsi" w:hAnsiTheme="minorHAnsi" w:cstheme="minorHAnsi"/>
          <w:sz w:val="22"/>
          <w:szCs w:val="22"/>
        </w:rPr>
        <w:t xml:space="preserve">analysed </w:t>
      </w:r>
      <w:r w:rsidR="000762E4" w:rsidRPr="00C95105">
        <w:rPr>
          <w:rFonts w:asciiTheme="minorHAnsi" w:hAnsiTheme="minorHAnsi" w:cstheme="minorHAnsi"/>
          <w:sz w:val="22"/>
          <w:szCs w:val="22"/>
        </w:rPr>
        <w:t>15</w:t>
      </w:r>
      <w:r w:rsidR="00B26787" w:rsidRPr="00C95105">
        <w:rPr>
          <w:rFonts w:asciiTheme="minorHAnsi" w:hAnsiTheme="minorHAnsi" w:cstheme="minorHAnsi"/>
          <w:sz w:val="22"/>
          <w:szCs w:val="22"/>
        </w:rPr>
        <w:t xml:space="preserve"> publications</w:t>
      </w:r>
      <w:r w:rsidR="00333549" w:rsidRPr="00C95105">
        <w:rPr>
          <w:rFonts w:asciiTheme="minorHAnsi" w:hAnsiTheme="minorHAnsi" w:cstheme="minorHAnsi"/>
          <w:sz w:val="22"/>
          <w:szCs w:val="22"/>
        </w:rPr>
        <w:t xml:space="preserve"> </w:t>
      </w:r>
      <w:r w:rsidR="00F54F6A" w:rsidRPr="00C95105">
        <w:rPr>
          <w:rFonts w:asciiTheme="minorHAnsi" w:hAnsiTheme="minorHAnsi" w:cstheme="minorHAnsi"/>
          <w:sz w:val="22"/>
          <w:szCs w:val="22"/>
        </w:rPr>
        <w:t>containing</w:t>
      </w:r>
      <w:r w:rsidR="00333549" w:rsidRPr="00C95105">
        <w:rPr>
          <w:rFonts w:asciiTheme="minorHAnsi" w:hAnsiTheme="minorHAnsi" w:cstheme="minorHAnsi"/>
          <w:sz w:val="22"/>
          <w:szCs w:val="22"/>
        </w:rPr>
        <w:t xml:space="preserve"> </w:t>
      </w:r>
      <w:r w:rsidR="00293379" w:rsidRPr="00C95105">
        <w:rPr>
          <w:rFonts w:asciiTheme="minorHAnsi" w:hAnsiTheme="minorHAnsi" w:cstheme="minorHAnsi"/>
          <w:sz w:val="22"/>
          <w:szCs w:val="22"/>
        </w:rPr>
        <w:t xml:space="preserve">24 </w:t>
      </w:r>
      <w:r w:rsidR="00F54F6A" w:rsidRPr="00C95105">
        <w:rPr>
          <w:rFonts w:asciiTheme="minorHAnsi" w:hAnsiTheme="minorHAnsi" w:cstheme="minorHAnsi"/>
          <w:sz w:val="22"/>
          <w:szCs w:val="22"/>
        </w:rPr>
        <w:t xml:space="preserve">separate intervention </w:t>
      </w:r>
      <w:r w:rsidR="00293379" w:rsidRPr="00C95105">
        <w:rPr>
          <w:rFonts w:asciiTheme="minorHAnsi" w:hAnsiTheme="minorHAnsi" w:cstheme="minorHAnsi"/>
          <w:sz w:val="22"/>
          <w:szCs w:val="22"/>
        </w:rPr>
        <w:t>studies</w:t>
      </w:r>
      <w:r w:rsidR="00F54F6A" w:rsidRPr="00C95105">
        <w:rPr>
          <w:rFonts w:asciiTheme="minorHAnsi" w:hAnsiTheme="minorHAnsi" w:cstheme="minorHAnsi"/>
          <w:sz w:val="22"/>
          <w:szCs w:val="22"/>
        </w:rPr>
        <w:t>, 12 of them conducted in public sector organisations.</w:t>
      </w:r>
      <w:r w:rsidR="003A0C07" w:rsidRPr="00C95105">
        <w:rPr>
          <w:rFonts w:asciiTheme="minorHAnsi" w:hAnsiTheme="minorHAnsi" w:cstheme="minorHAnsi"/>
          <w:sz w:val="22"/>
          <w:szCs w:val="22"/>
        </w:rPr>
        <w:t xml:space="preserve"> </w:t>
      </w:r>
      <w:r w:rsidR="00F85E5B" w:rsidRPr="00C95105">
        <w:rPr>
          <w:rFonts w:asciiTheme="minorHAnsi" w:hAnsiTheme="minorHAnsi" w:cstheme="minorHAnsi"/>
          <w:sz w:val="22"/>
          <w:szCs w:val="22"/>
        </w:rPr>
        <w:t>The key findings are:</w:t>
      </w:r>
    </w:p>
    <w:p w14:paraId="20C4F5F1" w14:textId="0FD59F22" w:rsidR="002626B9" w:rsidRPr="00C95105" w:rsidRDefault="00D40C71" w:rsidP="0093280F">
      <w:pPr>
        <w:pStyle w:val="ListParagraph"/>
        <w:numPr>
          <w:ilvl w:val="0"/>
          <w:numId w:val="2"/>
        </w:numPr>
        <w:spacing w:after="120"/>
        <w:ind w:left="567" w:hanging="141"/>
        <w:rPr>
          <w:rFonts w:asciiTheme="minorHAnsi" w:hAnsiTheme="minorHAnsi" w:cstheme="minorHAnsi"/>
          <w:sz w:val="22"/>
          <w:szCs w:val="22"/>
        </w:rPr>
      </w:pPr>
      <w:bookmarkStart w:id="83" w:name="_Toc96866402"/>
      <w:bookmarkStart w:id="84" w:name="_Toc96866604"/>
      <w:bookmarkStart w:id="85" w:name="_Toc96878271"/>
      <w:r w:rsidRPr="00C95105">
        <w:rPr>
          <w:rFonts w:asciiTheme="minorHAnsi" w:hAnsiTheme="minorHAnsi" w:cstheme="minorHAnsi"/>
          <w:sz w:val="22"/>
          <w:szCs w:val="22"/>
        </w:rPr>
        <w:t xml:space="preserve">AAP </w:t>
      </w:r>
      <w:r w:rsidR="008F2080" w:rsidRPr="00C95105">
        <w:rPr>
          <w:rFonts w:asciiTheme="minorHAnsi" w:hAnsiTheme="minorHAnsi" w:cstheme="minorHAnsi"/>
          <w:sz w:val="22"/>
          <w:szCs w:val="22"/>
        </w:rPr>
        <w:t>are</w:t>
      </w:r>
      <w:r w:rsidRPr="00C95105">
        <w:rPr>
          <w:rFonts w:asciiTheme="minorHAnsi" w:hAnsiTheme="minorHAnsi" w:cstheme="minorHAnsi"/>
          <w:sz w:val="22"/>
          <w:szCs w:val="22"/>
        </w:rPr>
        <w:t xml:space="preserve"> effective at reducing discrimination towards women and ethnic minority groups at the CV shortlisting</w:t>
      </w:r>
      <w:r w:rsidR="007245C0" w:rsidRPr="00C95105">
        <w:rPr>
          <w:rFonts w:asciiTheme="minorHAnsi" w:hAnsiTheme="minorHAnsi" w:cstheme="minorHAnsi"/>
          <w:sz w:val="22"/>
          <w:szCs w:val="22"/>
        </w:rPr>
        <w:t>/interview invitation</w:t>
      </w:r>
      <w:r w:rsidRPr="00C95105">
        <w:rPr>
          <w:rFonts w:asciiTheme="minorHAnsi" w:hAnsiTheme="minorHAnsi" w:cstheme="minorHAnsi"/>
          <w:sz w:val="22"/>
          <w:szCs w:val="22"/>
        </w:rPr>
        <w:t xml:space="preserve"> phase of the selection process</w:t>
      </w:r>
      <w:r w:rsidR="008B1A6A" w:rsidRPr="00C95105">
        <w:rPr>
          <w:rFonts w:asciiTheme="minorHAnsi" w:hAnsiTheme="minorHAnsi" w:cstheme="minorHAnsi"/>
          <w:sz w:val="22"/>
          <w:szCs w:val="22"/>
        </w:rPr>
        <w:t xml:space="preserve">. This effect </w:t>
      </w:r>
      <w:r w:rsidR="00C41C7E" w:rsidRPr="00C95105">
        <w:rPr>
          <w:rFonts w:asciiTheme="minorHAnsi" w:hAnsiTheme="minorHAnsi" w:cstheme="minorHAnsi"/>
          <w:sz w:val="22"/>
          <w:szCs w:val="22"/>
        </w:rPr>
        <w:t>appears</w:t>
      </w:r>
      <w:r w:rsidR="008B1A6A" w:rsidRPr="00C95105">
        <w:rPr>
          <w:rFonts w:asciiTheme="minorHAnsi" w:hAnsiTheme="minorHAnsi" w:cstheme="minorHAnsi"/>
          <w:sz w:val="22"/>
          <w:szCs w:val="22"/>
        </w:rPr>
        <w:t xml:space="preserve"> </w:t>
      </w:r>
      <w:r w:rsidRPr="00C95105">
        <w:rPr>
          <w:rFonts w:asciiTheme="minorHAnsi" w:hAnsiTheme="minorHAnsi" w:cstheme="minorHAnsi"/>
          <w:sz w:val="22"/>
          <w:szCs w:val="22"/>
        </w:rPr>
        <w:t xml:space="preserve">only when evidence of discrimination </w:t>
      </w:r>
      <w:r w:rsidR="00C41C7E" w:rsidRPr="00C95105">
        <w:rPr>
          <w:rFonts w:asciiTheme="minorHAnsi" w:hAnsiTheme="minorHAnsi" w:cstheme="minorHAnsi"/>
          <w:sz w:val="22"/>
          <w:szCs w:val="22"/>
        </w:rPr>
        <w:t>is</w:t>
      </w:r>
      <w:r w:rsidRPr="00C95105">
        <w:rPr>
          <w:rFonts w:asciiTheme="minorHAnsi" w:hAnsiTheme="minorHAnsi" w:cstheme="minorHAnsi"/>
          <w:sz w:val="22"/>
          <w:szCs w:val="22"/>
        </w:rPr>
        <w:t xml:space="preserve"> present and when no other </w:t>
      </w:r>
      <w:r w:rsidR="00771FBF" w:rsidRPr="00C95105">
        <w:rPr>
          <w:rFonts w:asciiTheme="minorHAnsi" w:hAnsiTheme="minorHAnsi" w:cstheme="minorHAnsi"/>
          <w:sz w:val="22"/>
          <w:szCs w:val="22"/>
        </w:rPr>
        <w:t>recruitment and selection diversity management intervention</w:t>
      </w:r>
      <w:r w:rsidR="003E593C" w:rsidRPr="00C95105">
        <w:rPr>
          <w:rFonts w:asciiTheme="minorHAnsi" w:hAnsiTheme="minorHAnsi" w:cstheme="minorHAnsi"/>
          <w:sz w:val="22"/>
          <w:szCs w:val="22"/>
        </w:rPr>
        <w:t xml:space="preserve"> is </w:t>
      </w:r>
      <w:r w:rsidR="00771FBF" w:rsidRPr="00C95105">
        <w:rPr>
          <w:rFonts w:asciiTheme="minorHAnsi" w:hAnsiTheme="minorHAnsi" w:cstheme="minorHAnsi"/>
          <w:sz w:val="22"/>
          <w:szCs w:val="22"/>
        </w:rPr>
        <w:t>already in place.</w:t>
      </w:r>
      <w:bookmarkEnd w:id="83"/>
      <w:bookmarkEnd w:id="84"/>
      <w:bookmarkEnd w:id="85"/>
    </w:p>
    <w:p w14:paraId="3394C1A5" w14:textId="113FF945" w:rsidR="005B4FB8" w:rsidRPr="00C95105" w:rsidRDefault="009F6E3E" w:rsidP="0093280F">
      <w:pPr>
        <w:pStyle w:val="ListParagraph"/>
        <w:numPr>
          <w:ilvl w:val="0"/>
          <w:numId w:val="2"/>
        </w:numPr>
        <w:spacing w:after="120"/>
        <w:ind w:left="567" w:hanging="141"/>
        <w:rPr>
          <w:rFonts w:asciiTheme="minorHAnsi" w:hAnsiTheme="minorHAnsi" w:cstheme="minorHAnsi"/>
          <w:sz w:val="22"/>
          <w:szCs w:val="22"/>
        </w:rPr>
      </w:pPr>
      <w:bookmarkStart w:id="86" w:name="_Toc96866403"/>
      <w:bookmarkStart w:id="87" w:name="_Toc96866605"/>
      <w:bookmarkStart w:id="88" w:name="_Toc96878272"/>
      <w:r w:rsidRPr="00C95105">
        <w:rPr>
          <w:rFonts w:asciiTheme="minorHAnsi" w:hAnsiTheme="minorHAnsi" w:cstheme="minorHAnsi"/>
          <w:sz w:val="22"/>
          <w:szCs w:val="22"/>
        </w:rPr>
        <w:t xml:space="preserve">AAP </w:t>
      </w:r>
      <w:r w:rsidR="00C41C7E" w:rsidRPr="00C95105">
        <w:rPr>
          <w:rFonts w:asciiTheme="minorHAnsi" w:hAnsiTheme="minorHAnsi" w:cstheme="minorHAnsi"/>
          <w:sz w:val="22"/>
          <w:szCs w:val="22"/>
        </w:rPr>
        <w:t>are</w:t>
      </w:r>
      <w:r w:rsidRPr="00C95105">
        <w:rPr>
          <w:rFonts w:asciiTheme="minorHAnsi" w:hAnsiTheme="minorHAnsi" w:cstheme="minorHAnsi"/>
          <w:sz w:val="22"/>
          <w:szCs w:val="22"/>
        </w:rPr>
        <w:t xml:space="preserve"> effective at reducing discrimination towards women </w:t>
      </w:r>
      <w:r w:rsidR="594740EA" w:rsidRPr="00C95105">
        <w:rPr>
          <w:rFonts w:asciiTheme="minorHAnsi" w:hAnsiTheme="minorHAnsi" w:cstheme="minorHAnsi"/>
          <w:sz w:val="22"/>
          <w:szCs w:val="22"/>
        </w:rPr>
        <w:t>for</w:t>
      </w:r>
      <w:r w:rsidR="00202156" w:rsidRPr="00C95105">
        <w:rPr>
          <w:rFonts w:asciiTheme="minorHAnsi" w:hAnsiTheme="minorHAnsi" w:cstheme="minorHAnsi"/>
          <w:sz w:val="22"/>
          <w:szCs w:val="22"/>
        </w:rPr>
        <w:t xml:space="preserve"> </w:t>
      </w:r>
      <w:r w:rsidRPr="00C95105">
        <w:rPr>
          <w:rFonts w:asciiTheme="minorHAnsi" w:hAnsiTheme="minorHAnsi" w:cstheme="minorHAnsi"/>
          <w:sz w:val="22"/>
          <w:szCs w:val="22"/>
        </w:rPr>
        <w:t xml:space="preserve">job offers. However, this </w:t>
      </w:r>
      <w:r w:rsidR="00BE3703" w:rsidRPr="00C95105">
        <w:rPr>
          <w:rFonts w:asciiTheme="minorHAnsi" w:hAnsiTheme="minorHAnsi" w:cstheme="minorHAnsi"/>
          <w:sz w:val="22"/>
          <w:szCs w:val="22"/>
        </w:rPr>
        <w:t xml:space="preserve">positive effect on job offers </w:t>
      </w:r>
      <w:r w:rsidR="00F411C2" w:rsidRPr="00C95105">
        <w:rPr>
          <w:rFonts w:asciiTheme="minorHAnsi" w:hAnsiTheme="minorHAnsi" w:cstheme="minorHAnsi"/>
          <w:sz w:val="22"/>
          <w:szCs w:val="22"/>
        </w:rPr>
        <w:t>was not observed</w:t>
      </w:r>
      <w:r w:rsidR="00BE3703" w:rsidRPr="00C95105">
        <w:rPr>
          <w:rFonts w:asciiTheme="minorHAnsi" w:hAnsiTheme="minorHAnsi" w:cstheme="minorHAnsi"/>
          <w:sz w:val="22"/>
          <w:szCs w:val="22"/>
        </w:rPr>
        <w:t xml:space="preserve"> for ethnic minority groups.</w:t>
      </w:r>
      <w:bookmarkEnd w:id="86"/>
      <w:bookmarkEnd w:id="87"/>
      <w:bookmarkEnd w:id="88"/>
      <w:r w:rsidR="00BE3703" w:rsidRPr="00C95105">
        <w:rPr>
          <w:rFonts w:asciiTheme="minorHAnsi" w:hAnsiTheme="minorHAnsi" w:cstheme="minorHAnsi"/>
          <w:sz w:val="22"/>
          <w:szCs w:val="22"/>
        </w:rPr>
        <w:t xml:space="preserve"> </w:t>
      </w:r>
    </w:p>
    <w:p w14:paraId="21FBD96D" w14:textId="63803A1E" w:rsidR="009F6E3E" w:rsidRPr="00C95105" w:rsidRDefault="5ED1E6DD" w:rsidP="0093280F">
      <w:pPr>
        <w:pStyle w:val="ListParagraph"/>
        <w:numPr>
          <w:ilvl w:val="0"/>
          <w:numId w:val="2"/>
        </w:numPr>
        <w:spacing w:after="120"/>
        <w:ind w:left="567" w:hanging="141"/>
        <w:rPr>
          <w:rFonts w:asciiTheme="minorHAnsi" w:hAnsiTheme="minorHAnsi" w:cstheme="minorHAnsi"/>
          <w:sz w:val="22"/>
          <w:szCs w:val="22"/>
        </w:rPr>
      </w:pPr>
      <w:bookmarkStart w:id="89" w:name="_Toc96866404"/>
      <w:bookmarkStart w:id="90" w:name="_Toc96866606"/>
      <w:bookmarkStart w:id="91" w:name="_Toc96878273"/>
      <w:r w:rsidRPr="00C95105">
        <w:rPr>
          <w:rFonts w:asciiTheme="minorHAnsi" w:hAnsiTheme="minorHAnsi" w:cstheme="minorHAnsi"/>
          <w:sz w:val="22"/>
          <w:szCs w:val="22"/>
        </w:rPr>
        <w:t>D</w:t>
      </w:r>
      <w:r w:rsidR="693DF561" w:rsidRPr="00C95105">
        <w:rPr>
          <w:rFonts w:asciiTheme="minorHAnsi" w:hAnsiTheme="minorHAnsi" w:cstheme="minorHAnsi"/>
          <w:sz w:val="22"/>
          <w:szCs w:val="22"/>
        </w:rPr>
        <w:t xml:space="preserve">iscrimination </w:t>
      </w:r>
      <w:r w:rsidR="11478975" w:rsidRPr="00C95105">
        <w:rPr>
          <w:rFonts w:asciiTheme="minorHAnsi" w:hAnsiTheme="minorHAnsi" w:cstheme="minorHAnsi"/>
          <w:sz w:val="22"/>
          <w:szCs w:val="22"/>
        </w:rPr>
        <w:t>towards ethnic minority groups, older aged, and overweight workers</w:t>
      </w:r>
      <w:r w:rsidR="3ADAE47E" w:rsidRPr="00C95105">
        <w:rPr>
          <w:rFonts w:asciiTheme="minorHAnsi" w:hAnsiTheme="minorHAnsi" w:cstheme="minorHAnsi"/>
          <w:sz w:val="22"/>
          <w:szCs w:val="22"/>
        </w:rPr>
        <w:t xml:space="preserve"> </w:t>
      </w:r>
      <w:r w:rsidR="5163C5D7" w:rsidRPr="00C95105">
        <w:rPr>
          <w:rFonts w:asciiTheme="minorHAnsi" w:hAnsiTheme="minorHAnsi" w:cstheme="minorHAnsi"/>
          <w:sz w:val="22"/>
          <w:szCs w:val="22"/>
        </w:rPr>
        <w:t>appear</w:t>
      </w:r>
      <w:r w:rsidR="30F7538C" w:rsidRPr="00C95105">
        <w:rPr>
          <w:rFonts w:asciiTheme="minorHAnsi" w:hAnsiTheme="minorHAnsi" w:cstheme="minorHAnsi"/>
          <w:sz w:val="22"/>
          <w:szCs w:val="22"/>
        </w:rPr>
        <w:t xml:space="preserve"> to be</w:t>
      </w:r>
      <w:r w:rsidR="11478975" w:rsidRPr="00C95105">
        <w:rPr>
          <w:rFonts w:asciiTheme="minorHAnsi" w:hAnsiTheme="minorHAnsi" w:cstheme="minorHAnsi"/>
          <w:sz w:val="22"/>
          <w:szCs w:val="22"/>
        </w:rPr>
        <w:t xml:space="preserve"> </w:t>
      </w:r>
      <w:r w:rsidR="693DF561" w:rsidRPr="00C95105">
        <w:rPr>
          <w:rFonts w:asciiTheme="minorHAnsi" w:hAnsiTheme="minorHAnsi" w:cstheme="minorHAnsi"/>
          <w:sz w:val="22"/>
          <w:szCs w:val="22"/>
        </w:rPr>
        <w:t xml:space="preserve">based on </w:t>
      </w:r>
      <w:r w:rsidR="39D216CC" w:rsidRPr="00C95105">
        <w:rPr>
          <w:rFonts w:asciiTheme="minorHAnsi" w:hAnsiTheme="minorHAnsi" w:cstheme="minorHAnsi"/>
          <w:sz w:val="22"/>
          <w:szCs w:val="22"/>
        </w:rPr>
        <w:t>visual cue</w:t>
      </w:r>
      <w:r w:rsidR="693DF561" w:rsidRPr="00C95105">
        <w:rPr>
          <w:rFonts w:asciiTheme="minorHAnsi" w:hAnsiTheme="minorHAnsi" w:cstheme="minorHAnsi"/>
          <w:sz w:val="22"/>
          <w:szCs w:val="22"/>
        </w:rPr>
        <w:t>s</w:t>
      </w:r>
      <w:r w:rsidR="3ADAE47E" w:rsidRPr="00C95105">
        <w:rPr>
          <w:rFonts w:asciiTheme="minorHAnsi" w:hAnsiTheme="minorHAnsi" w:cstheme="minorHAnsi"/>
          <w:sz w:val="22"/>
          <w:szCs w:val="22"/>
        </w:rPr>
        <w:t xml:space="preserve">, which </w:t>
      </w:r>
      <w:r w:rsidR="40878810" w:rsidRPr="00C95105">
        <w:rPr>
          <w:rFonts w:asciiTheme="minorHAnsi" w:hAnsiTheme="minorHAnsi" w:cstheme="minorHAnsi"/>
          <w:sz w:val="22"/>
          <w:szCs w:val="22"/>
        </w:rPr>
        <w:t>are</w:t>
      </w:r>
      <w:r w:rsidR="1D1BAB0D" w:rsidRPr="00C95105">
        <w:rPr>
          <w:rFonts w:asciiTheme="minorHAnsi" w:hAnsiTheme="minorHAnsi" w:cstheme="minorHAnsi"/>
          <w:sz w:val="22"/>
          <w:szCs w:val="22"/>
        </w:rPr>
        <w:t xml:space="preserve"> </w:t>
      </w:r>
      <w:r w:rsidR="1D2A0E78" w:rsidRPr="00C95105">
        <w:rPr>
          <w:rFonts w:asciiTheme="minorHAnsi" w:hAnsiTheme="minorHAnsi" w:cstheme="minorHAnsi"/>
          <w:sz w:val="22"/>
          <w:szCs w:val="22"/>
        </w:rPr>
        <w:t xml:space="preserve">hard to override with AAP </w:t>
      </w:r>
      <w:r w:rsidR="3ADAE47E" w:rsidRPr="00C95105">
        <w:rPr>
          <w:rFonts w:asciiTheme="minorHAnsi" w:hAnsiTheme="minorHAnsi" w:cstheme="minorHAnsi"/>
          <w:sz w:val="22"/>
          <w:szCs w:val="22"/>
        </w:rPr>
        <w:t>once candidates move to the interview phase of the selection process</w:t>
      </w:r>
      <w:r w:rsidR="1D2A0E78" w:rsidRPr="00C95105">
        <w:rPr>
          <w:rFonts w:asciiTheme="minorHAnsi" w:hAnsiTheme="minorHAnsi" w:cstheme="minorHAnsi"/>
          <w:sz w:val="22"/>
          <w:szCs w:val="22"/>
        </w:rPr>
        <w:t>.</w:t>
      </w:r>
      <w:r w:rsidR="7B3C394D" w:rsidRPr="00C95105">
        <w:rPr>
          <w:rFonts w:asciiTheme="minorHAnsi" w:hAnsiTheme="minorHAnsi" w:cstheme="minorHAnsi"/>
          <w:sz w:val="22"/>
          <w:szCs w:val="22"/>
        </w:rPr>
        <w:t xml:space="preserve"> This kind of discrimination requires further interventions, such as prejudice reduction or direct/affirmative action.</w:t>
      </w:r>
      <w:bookmarkEnd w:id="89"/>
      <w:bookmarkEnd w:id="90"/>
      <w:bookmarkEnd w:id="91"/>
    </w:p>
    <w:p w14:paraId="29216A8B" w14:textId="7001CC89" w:rsidR="002626B9" w:rsidRPr="00C95105" w:rsidRDefault="00325333" w:rsidP="0093280F">
      <w:pPr>
        <w:pStyle w:val="ListParagraph"/>
        <w:numPr>
          <w:ilvl w:val="0"/>
          <w:numId w:val="2"/>
        </w:numPr>
        <w:spacing w:after="120"/>
        <w:ind w:left="567" w:hanging="141"/>
        <w:rPr>
          <w:rFonts w:asciiTheme="minorHAnsi" w:hAnsiTheme="minorHAnsi" w:cstheme="minorHAnsi"/>
          <w:sz w:val="22"/>
          <w:szCs w:val="22"/>
        </w:rPr>
      </w:pPr>
      <w:bookmarkStart w:id="92" w:name="_Toc96866405"/>
      <w:bookmarkStart w:id="93" w:name="_Toc96866607"/>
      <w:bookmarkStart w:id="94" w:name="_Toc96878274"/>
      <w:r w:rsidRPr="00C95105">
        <w:rPr>
          <w:rFonts w:asciiTheme="minorHAnsi" w:hAnsiTheme="minorHAnsi" w:cstheme="minorHAnsi"/>
          <w:sz w:val="22"/>
          <w:szCs w:val="22"/>
        </w:rPr>
        <w:t xml:space="preserve">AAP </w:t>
      </w:r>
      <w:r w:rsidR="00A20AC1" w:rsidRPr="00C95105">
        <w:rPr>
          <w:rFonts w:asciiTheme="minorHAnsi" w:hAnsiTheme="minorHAnsi" w:cstheme="minorHAnsi"/>
          <w:sz w:val="22"/>
          <w:szCs w:val="22"/>
        </w:rPr>
        <w:t>are</w:t>
      </w:r>
      <w:r w:rsidRPr="00C95105">
        <w:rPr>
          <w:rFonts w:asciiTheme="minorHAnsi" w:hAnsiTheme="minorHAnsi" w:cstheme="minorHAnsi"/>
          <w:sz w:val="22"/>
          <w:szCs w:val="22"/>
        </w:rPr>
        <w:t xml:space="preserve"> more </w:t>
      </w:r>
      <w:r w:rsidR="00180500" w:rsidRPr="00C95105">
        <w:rPr>
          <w:rFonts w:asciiTheme="minorHAnsi" w:hAnsiTheme="minorHAnsi" w:cstheme="minorHAnsi"/>
          <w:sz w:val="22"/>
          <w:szCs w:val="22"/>
        </w:rPr>
        <w:t>cost-</w:t>
      </w:r>
      <w:r w:rsidRPr="00C95105">
        <w:rPr>
          <w:rFonts w:asciiTheme="minorHAnsi" w:hAnsiTheme="minorHAnsi" w:cstheme="minorHAnsi"/>
          <w:sz w:val="22"/>
          <w:szCs w:val="22"/>
        </w:rPr>
        <w:t xml:space="preserve">effective when </w:t>
      </w:r>
      <w:r w:rsidR="005F7916" w:rsidRPr="00C95105">
        <w:rPr>
          <w:rFonts w:asciiTheme="minorHAnsi" w:hAnsiTheme="minorHAnsi" w:cstheme="minorHAnsi"/>
          <w:sz w:val="22"/>
          <w:szCs w:val="22"/>
        </w:rPr>
        <w:t xml:space="preserve">(i) </w:t>
      </w:r>
      <w:r w:rsidR="00BC1A94" w:rsidRPr="00C95105">
        <w:rPr>
          <w:rFonts w:asciiTheme="minorHAnsi" w:hAnsiTheme="minorHAnsi" w:cstheme="minorHAnsi"/>
          <w:sz w:val="22"/>
          <w:szCs w:val="22"/>
        </w:rPr>
        <w:t>there is evidence of discrimination</w:t>
      </w:r>
      <w:r w:rsidR="00595F66" w:rsidRPr="00C95105">
        <w:rPr>
          <w:rFonts w:asciiTheme="minorHAnsi" w:hAnsiTheme="minorHAnsi" w:cstheme="minorHAnsi"/>
          <w:sz w:val="22"/>
          <w:szCs w:val="22"/>
        </w:rPr>
        <w:t xml:space="preserve">, (ii) </w:t>
      </w:r>
      <w:r w:rsidR="00572159" w:rsidRPr="00C95105">
        <w:rPr>
          <w:rFonts w:asciiTheme="minorHAnsi" w:hAnsiTheme="minorHAnsi" w:cstheme="minorHAnsi"/>
          <w:sz w:val="22"/>
          <w:szCs w:val="22"/>
        </w:rPr>
        <w:t xml:space="preserve">there </w:t>
      </w:r>
      <w:r w:rsidR="009A2DE9" w:rsidRPr="00C95105">
        <w:rPr>
          <w:rFonts w:asciiTheme="minorHAnsi" w:hAnsiTheme="minorHAnsi" w:cstheme="minorHAnsi"/>
          <w:sz w:val="22"/>
          <w:szCs w:val="22"/>
        </w:rPr>
        <w:t>is a critical mass of</w:t>
      </w:r>
      <w:r w:rsidR="00572159" w:rsidRPr="00C95105">
        <w:rPr>
          <w:rFonts w:asciiTheme="minorHAnsi" w:hAnsiTheme="minorHAnsi" w:cstheme="minorHAnsi"/>
          <w:sz w:val="22"/>
          <w:szCs w:val="22"/>
        </w:rPr>
        <w:t xml:space="preserve"> </w:t>
      </w:r>
      <w:r w:rsidR="009A2DE9" w:rsidRPr="00C95105">
        <w:rPr>
          <w:rFonts w:asciiTheme="minorHAnsi" w:hAnsiTheme="minorHAnsi" w:cstheme="minorHAnsi"/>
          <w:sz w:val="22"/>
          <w:szCs w:val="22"/>
        </w:rPr>
        <w:t xml:space="preserve">job-ready candidates from </w:t>
      </w:r>
      <w:r w:rsidR="008E3CCB" w:rsidRPr="00C95105">
        <w:rPr>
          <w:rFonts w:asciiTheme="minorHAnsi" w:hAnsiTheme="minorHAnsi" w:cstheme="minorHAnsi"/>
          <w:sz w:val="22"/>
          <w:szCs w:val="22"/>
        </w:rPr>
        <w:t xml:space="preserve">protected categories, (iii) </w:t>
      </w:r>
      <w:r w:rsidR="005F7916" w:rsidRPr="00C95105">
        <w:rPr>
          <w:rFonts w:asciiTheme="minorHAnsi" w:hAnsiTheme="minorHAnsi" w:cstheme="minorHAnsi"/>
          <w:sz w:val="22"/>
          <w:szCs w:val="22"/>
        </w:rPr>
        <w:t xml:space="preserve">done in large </w:t>
      </w:r>
      <w:r w:rsidR="00C60399" w:rsidRPr="00C95105">
        <w:rPr>
          <w:rFonts w:asciiTheme="minorHAnsi" w:hAnsiTheme="minorHAnsi" w:cstheme="minorHAnsi"/>
          <w:sz w:val="22"/>
          <w:szCs w:val="22"/>
        </w:rPr>
        <w:t>recruitment campaigns</w:t>
      </w:r>
      <w:r w:rsidR="00184579" w:rsidRPr="00C95105">
        <w:rPr>
          <w:rFonts w:asciiTheme="minorHAnsi" w:hAnsiTheme="minorHAnsi" w:cstheme="minorHAnsi"/>
          <w:sz w:val="22"/>
          <w:szCs w:val="22"/>
        </w:rPr>
        <w:t xml:space="preserve">, (iv) </w:t>
      </w:r>
      <w:r w:rsidR="00390E31" w:rsidRPr="00C95105">
        <w:rPr>
          <w:rFonts w:asciiTheme="minorHAnsi" w:hAnsiTheme="minorHAnsi" w:cstheme="minorHAnsi"/>
          <w:sz w:val="22"/>
          <w:szCs w:val="22"/>
        </w:rPr>
        <w:t>anonymi</w:t>
      </w:r>
      <w:r w:rsidR="460C544C" w:rsidRPr="00C95105">
        <w:rPr>
          <w:rFonts w:asciiTheme="minorHAnsi" w:hAnsiTheme="minorHAnsi" w:cstheme="minorHAnsi"/>
          <w:sz w:val="22"/>
          <w:szCs w:val="22"/>
        </w:rPr>
        <w:t>s</w:t>
      </w:r>
      <w:r w:rsidR="00390E31" w:rsidRPr="00C95105">
        <w:rPr>
          <w:rFonts w:asciiTheme="minorHAnsi" w:hAnsiTheme="minorHAnsi" w:cstheme="minorHAnsi"/>
          <w:sz w:val="22"/>
          <w:szCs w:val="22"/>
        </w:rPr>
        <w:t xml:space="preserve">ation </w:t>
      </w:r>
      <w:r w:rsidR="00A20AC1" w:rsidRPr="00C95105">
        <w:rPr>
          <w:rFonts w:asciiTheme="minorHAnsi" w:hAnsiTheme="minorHAnsi" w:cstheme="minorHAnsi"/>
          <w:sz w:val="22"/>
          <w:szCs w:val="22"/>
        </w:rPr>
        <w:t>is</w:t>
      </w:r>
      <w:r w:rsidR="00390E31" w:rsidRPr="00C95105">
        <w:rPr>
          <w:rFonts w:asciiTheme="minorHAnsi" w:hAnsiTheme="minorHAnsi" w:cstheme="minorHAnsi"/>
          <w:sz w:val="22"/>
          <w:szCs w:val="22"/>
        </w:rPr>
        <w:t xml:space="preserve"> done </w:t>
      </w:r>
      <w:r w:rsidR="00E618DF" w:rsidRPr="00C95105">
        <w:rPr>
          <w:rFonts w:asciiTheme="minorHAnsi" w:hAnsiTheme="minorHAnsi" w:cstheme="minorHAnsi"/>
          <w:sz w:val="22"/>
          <w:szCs w:val="22"/>
        </w:rPr>
        <w:t>by the candidates using standardi</w:t>
      </w:r>
      <w:r w:rsidR="6E3005CD" w:rsidRPr="00C95105">
        <w:rPr>
          <w:rFonts w:asciiTheme="minorHAnsi" w:hAnsiTheme="minorHAnsi" w:cstheme="minorHAnsi"/>
          <w:sz w:val="22"/>
          <w:szCs w:val="22"/>
        </w:rPr>
        <w:t>s</w:t>
      </w:r>
      <w:r w:rsidR="00E618DF" w:rsidRPr="00C95105">
        <w:rPr>
          <w:rFonts w:asciiTheme="minorHAnsi" w:hAnsiTheme="minorHAnsi" w:cstheme="minorHAnsi"/>
          <w:sz w:val="22"/>
          <w:szCs w:val="22"/>
        </w:rPr>
        <w:t>ed application forms</w:t>
      </w:r>
      <w:r w:rsidR="00D250EB" w:rsidRPr="00C95105">
        <w:rPr>
          <w:rFonts w:asciiTheme="minorHAnsi" w:hAnsiTheme="minorHAnsi" w:cstheme="minorHAnsi"/>
          <w:sz w:val="22"/>
          <w:szCs w:val="22"/>
        </w:rPr>
        <w:t xml:space="preserve">, </w:t>
      </w:r>
      <w:r w:rsidR="00A20AC1" w:rsidRPr="00C95105">
        <w:rPr>
          <w:rFonts w:asciiTheme="minorHAnsi" w:hAnsiTheme="minorHAnsi" w:cstheme="minorHAnsi"/>
          <w:sz w:val="22"/>
          <w:szCs w:val="22"/>
        </w:rPr>
        <w:t xml:space="preserve">instead of </w:t>
      </w:r>
      <w:r w:rsidR="2E55FDDA" w:rsidRPr="00C95105">
        <w:rPr>
          <w:rFonts w:asciiTheme="minorHAnsi" w:hAnsiTheme="minorHAnsi" w:cstheme="minorHAnsi"/>
          <w:sz w:val="22"/>
          <w:szCs w:val="22"/>
        </w:rPr>
        <w:t xml:space="preserve">candidates </w:t>
      </w:r>
      <w:r w:rsidR="00A20AC1" w:rsidRPr="00C95105">
        <w:rPr>
          <w:rFonts w:asciiTheme="minorHAnsi" w:hAnsiTheme="minorHAnsi" w:cstheme="minorHAnsi"/>
          <w:sz w:val="22"/>
          <w:szCs w:val="22"/>
        </w:rPr>
        <w:t>submitting CVs</w:t>
      </w:r>
      <w:r w:rsidR="00777DA7" w:rsidRPr="00C95105">
        <w:rPr>
          <w:rFonts w:asciiTheme="minorHAnsi" w:hAnsiTheme="minorHAnsi" w:cstheme="minorHAnsi"/>
          <w:sz w:val="22"/>
          <w:szCs w:val="22"/>
        </w:rPr>
        <w:t>,</w:t>
      </w:r>
      <w:r w:rsidR="00A20AC1" w:rsidRPr="00C95105">
        <w:rPr>
          <w:rFonts w:asciiTheme="minorHAnsi" w:hAnsiTheme="minorHAnsi" w:cstheme="minorHAnsi"/>
          <w:sz w:val="22"/>
          <w:szCs w:val="22"/>
        </w:rPr>
        <w:t xml:space="preserve"> </w:t>
      </w:r>
      <w:r w:rsidR="00FC57E6" w:rsidRPr="00C95105">
        <w:rPr>
          <w:rFonts w:asciiTheme="minorHAnsi" w:hAnsiTheme="minorHAnsi" w:cstheme="minorHAnsi"/>
          <w:sz w:val="22"/>
          <w:szCs w:val="22"/>
        </w:rPr>
        <w:t xml:space="preserve">and </w:t>
      </w:r>
      <w:r w:rsidR="00777DA7" w:rsidRPr="00C95105">
        <w:rPr>
          <w:rFonts w:asciiTheme="minorHAnsi" w:hAnsiTheme="minorHAnsi" w:cstheme="minorHAnsi"/>
          <w:sz w:val="22"/>
          <w:szCs w:val="22"/>
        </w:rPr>
        <w:t>(</w:t>
      </w:r>
      <w:r w:rsidR="00D250EB" w:rsidRPr="00C95105">
        <w:rPr>
          <w:rFonts w:asciiTheme="minorHAnsi" w:hAnsiTheme="minorHAnsi" w:cstheme="minorHAnsi"/>
          <w:sz w:val="22"/>
          <w:szCs w:val="22"/>
        </w:rPr>
        <w:t>v) anonymi</w:t>
      </w:r>
      <w:r w:rsidR="5A7C5209" w:rsidRPr="00C95105">
        <w:rPr>
          <w:rFonts w:asciiTheme="minorHAnsi" w:hAnsiTheme="minorHAnsi" w:cstheme="minorHAnsi"/>
          <w:sz w:val="22"/>
          <w:szCs w:val="22"/>
        </w:rPr>
        <w:t>s</w:t>
      </w:r>
      <w:r w:rsidR="00D250EB" w:rsidRPr="00C95105">
        <w:rPr>
          <w:rFonts w:asciiTheme="minorHAnsi" w:hAnsiTheme="minorHAnsi" w:cstheme="minorHAnsi"/>
          <w:sz w:val="22"/>
          <w:szCs w:val="22"/>
        </w:rPr>
        <w:t xml:space="preserve">ation is </w:t>
      </w:r>
      <w:r w:rsidR="00FC57E6" w:rsidRPr="00C95105">
        <w:rPr>
          <w:rFonts w:asciiTheme="minorHAnsi" w:hAnsiTheme="minorHAnsi" w:cstheme="minorHAnsi"/>
          <w:sz w:val="22"/>
          <w:szCs w:val="22"/>
        </w:rPr>
        <w:t xml:space="preserve">reviewed </w:t>
      </w:r>
      <w:r w:rsidR="00983318" w:rsidRPr="00C95105">
        <w:rPr>
          <w:rFonts w:asciiTheme="minorHAnsi" w:hAnsiTheme="minorHAnsi" w:cstheme="minorHAnsi"/>
          <w:sz w:val="22"/>
          <w:szCs w:val="22"/>
        </w:rPr>
        <w:t xml:space="preserve">and further </w:t>
      </w:r>
      <w:r w:rsidR="00E64267" w:rsidRPr="00C95105">
        <w:rPr>
          <w:rFonts w:asciiTheme="minorHAnsi" w:hAnsiTheme="minorHAnsi" w:cstheme="minorHAnsi"/>
          <w:sz w:val="22"/>
          <w:szCs w:val="22"/>
        </w:rPr>
        <w:t xml:space="preserve">masked </w:t>
      </w:r>
      <w:r w:rsidR="00FC57E6" w:rsidRPr="00C95105">
        <w:rPr>
          <w:rFonts w:asciiTheme="minorHAnsi" w:hAnsiTheme="minorHAnsi" w:cstheme="minorHAnsi"/>
          <w:sz w:val="22"/>
          <w:szCs w:val="22"/>
        </w:rPr>
        <w:t xml:space="preserve">by independent </w:t>
      </w:r>
      <w:r w:rsidR="00C40945" w:rsidRPr="00C95105">
        <w:rPr>
          <w:rFonts w:asciiTheme="minorHAnsi" w:hAnsiTheme="minorHAnsi" w:cstheme="minorHAnsi"/>
          <w:sz w:val="22"/>
          <w:szCs w:val="22"/>
        </w:rPr>
        <w:t>recruiters, before</w:t>
      </w:r>
      <w:r w:rsidR="00E64267" w:rsidRPr="00C95105">
        <w:rPr>
          <w:rFonts w:asciiTheme="minorHAnsi" w:hAnsiTheme="minorHAnsi" w:cstheme="minorHAnsi"/>
          <w:sz w:val="22"/>
          <w:szCs w:val="22"/>
        </w:rPr>
        <w:t xml:space="preserve"> independent evaluators conduct the shortlisting of candidates to interview.</w:t>
      </w:r>
      <w:bookmarkEnd w:id="92"/>
      <w:bookmarkEnd w:id="93"/>
      <w:bookmarkEnd w:id="94"/>
    </w:p>
    <w:p w14:paraId="2B8DFD58" w14:textId="0B455A34" w:rsidR="00680945" w:rsidRPr="00C95105" w:rsidRDefault="00E5647B" w:rsidP="000B4C87">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this report, we expand on the logic</w:t>
      </w:r>
      <w:r w:rsidR="00B07A96" w:rsidRPr="00C95105">
        <w:rPr>
          <w:rFonts w:asciiTheme="minorHAnsi" w:hAnsiTheme="minorHAnsi" w:cstheme="minorHAnsi"/>
          <w:sz w:val="22"/>
          <w:szCs w:val="22"/>
        </w:rPr>
        <w:t>, methods</w:t>
      </w:r>
      <w:r w:rsidR="000E57D2" w:rsidRPr="00C95105">
        <w:rPr>
          <w:rFonts w:asciiTheme="minorHAnsi" w:hAnsiTheme="minorHAnsi" w:cstheme="minorHAnsi"/>
          <w:sz w:val="22"/>
          <w:szCs w:val="22"/>
        </w:rPr>
        <w:t>,</w:t>
      </w:r>
      <w:r w:rsidR="00936B1F" w:rsidRPr="00C95105">
        <w:rPr>
          <w:rFonts w:asciiTheme="minorHAnsi" w:hAnsiTheme="minorHAnsi" w:cstheme="minorHAnsi"/>
          <w:sz w:val="22"/>
          <w:szCs w:val="22"/>
        </w:rPr>
        <w:t xml:space="preserve"> and</w:t>
      </w:r>
      <w:r w:rsidR="00B07A96" w:rsidRPr="00C95105">
        <w:rPr>
          <w:rFonts w:asciiTheme="minorHAnsi" w:hAnsiTheme="minorHAnsi" w:cstheme="minorHAnsi"/>
          <w:sz w:val="22"/>
          <w:szCs w:val="22"/>
        </w:rPr>
        <w:t xml:space="preserve"> findings</w:t>
      </w:r>
      <w:r w:rsidR="00936B1F" w:rsidRPr="00C95105">
        <w:rPr>
          <w:rFonts w:asciiTheme="minorHAnsi" w:hAnsiTheme="minorHAnsi" w:cstheme="minorHAnsi"/>
          <w:sz w:val="22"/>
          <w:szCs w:val="22"/>
        </w:rPr>
        <w:t xml:space="preserve"> of the review</w:t>
      </w:r>
      <w:r w:rsidR="000E57D2" w:rsidRPr="00C95105">
        <w:rPr>
          <w:rFonts w:asciiTheme="minorHAnsi" w:hAnsiTheme="minorHAnsi" w:cstheme="minorHAnsi"/>
          <w:sz w:val="22"/>
          <w:szCs w:val="22"/>
        </w:rPr>
        <w:t>. W</w:t>
      </w:r>
      <w:r w:rsidR="00936B1F" w:rsidRPr="00C95105">
        <w:rPr>
          <w:rFonts w:asciiTheme="minorHAnsi" w:hAnsiTheme="minorHAnsi" w:cstheme="minorHAnsi"/>
          <w:sz w:val="22"/>
          <w:szCs w:val="22"/>
        </w:rPr>
        <w:t xml:space="preserve">e </w:t>
      </w:r>
      <w:r w:rsidR="000E57D2" w:rsidRPr="00C95105">
        <w:rPr>
          <w:rFonts w:asciiTheme="minorHAnsi" w:hAnsiTheme="minorHAnsi" w:cstheme="minorHAnsi"/>
          <w:sz w:val="22"/>
          <w:szCs w:val="22"/>
        </w:rPr>
        <w:t xml:space="preserve">also </w:t>
      </w:r>
      <w:r w:rsidR="00936B1F" w:rsidRPr="00C95105">
        <w:rPr>
          <w:rFonts w:asciiTheme="minorHAnsi" w:hAnsiTheme="minorHAnsi" w:cstheme="minorHAnsi"/>
          <w:sz w:val="22"/>
          <w:szCs w:val="22"/>
        </w:rPr>
        <w:t xml:space="preserve">present policy implications and </w:t>
      </w:r>
      <w:r w:rsidR="00B07A96" w:rsidRPr="00C95105">
        <w:rPr>
          <w:rFonts w:asciiTheme="minorHAnsi" w:hAnsiTheme="minorHAnsi" w:cstheme="minorHAnsi"/>
          <w:sz w:val="22"/>
          <w:szCs w:val="22"/>
        </w:rPr>
        <w:t>further considerations</w:t>
      </w:r>
      <w:r w:rsidR="002A4E91" w:rsidRPr="00C95105">
        <w:rPr>
          <w:rFonts w:asciiTheme="minorHAnsi" w:hAnsiTheme="minorHAnsi" w:cstheme="minorHAnsi"/>
          <w:sz w:val="22"/>
          <w:szCs w:val="22"/>
        </w:rPr>
        <w:t xml:space="preserve"> </w:t>
      </w:r>
      <w:r w:rsidR="00936B1F" w:rsidRPr="00C95105">
        <w:rPr>
          <w:rFonts w:asciiTheme="minorHAnsi" w:hAnsiTheme="minorHAnsi" w:cstheme="minorHAnsi"/>
          <w:sz w:val="22"/>
          <w:szCs w:val="22"/>
        </w:rPr>
        <w:t>in the use of AAP to reduce discrimination.</w:t>
      </w:r>
    </w:p>
    <w:p w14:paraId="2A540174" w14:textId="77777777" w:rsidR="00905D5F" w:rsidRPr="00C95105" w:rsidRDefault="00905D5F" w:rsidP="005D5F97">
      <w:pPr>
        <w:spacing w:after="120"/>
        <w:rPr>
          <w:rFonts w:asciiTheme="minorHAnsi" w:hAnsiTheme="minorHAnsi" w:cstheme="minorHAnsi"/>
          <w:sz w:val="22"/>
          <w:szCs w:val="22"/>
        </w:rPr>
      </w:pPr>
    </w:p>
    <w:p w14:paraId="1E55739C" w14:textId="13B5136C" w:rsidR="00AB386C" w:rsidRPr="00C95105" w:rsidRDefault="00AB386C" w:rsidP="0093280F">
      <w:pPr>
        <w:pStyle w:val="Heading2"/>
        <w:numPr>
          <w:ilvl w:val="1"/>
          <w:numId w:val="8"/>
        </w:numPr>
        <w:spacing w:before="0" w:after="120"/>
        <w:ind w:left="426" w:hanging="426"/>
        <w:rPr>
          <w:rFonts w:asciiTheme="minorHAnsi" w:hAnsiTheme="minorHAnsi" w:cstheme="minorHAnsi"/>
          <w:b/>
          <w:bCs/>
        </w:rPr>
      </w:pPr>
      <w:bookmarkStart w:id="95" w:name="_Toc96957669"/>
      <w:r w:rsidRPr="00C95105">
        <w:rPr>
          <w:rFonts w:asciiTheme="minorHAnsi" w:hAnsiTheme="minorHAnsi" w:cstheme="minorHAnsi"/>
          <w:b/>
          <w:bCs/>
        </w:rPr>
        <w:t>Introduction</w:t>
      </w:r>
      <w:bookmarkEnd w:id="95"/>
    </w:p>
    <w:p w14:paraId="13334DB6" w14:textId="77777777" w:rsidR="000B4C87" w:rsidRPr="00C95105" w:rsidRDefault="2A975727" w:rsidP="000B4C87">
      <w:pPr>
        <w:spacing w:after="120"/>
        <w:ind w:firstLine="567"/>
        <w:rPr>
          <w:rFonts w:asciiTheme="minorHAnsi" w:hAnsiTheme="minorHAnsi" w:cstheme="minorHAnsi"/>
          <w:sz w:val="22"/>
          <w:szCs w:val="22"/>
        </w:rPr>
      </w:pPr>
      <w:r w:rsidRPr="00C95105">
        <w:rPr>
          <w:rFonts w:asciiTheme="minorHAnsi" w:eastAsia="Calibri" w:hAnsiTheme="minorHAnsi" w:cstheme="minorHAnsi"/>
          <w:sz w:val="22"/>
          <w:szCs w:val="22"/>
        </w:rPr>
        <w:t>While workplace diversity has been the topic of much research and organisational policy in recent years, the fact remains that female applicants and applicants from diverse backgrounds face significant barriers in gaining employment.</w:t>
      </w:r>
      <w:r w:rsidRPr="00C95105">
        <w:rPr>
          <w:rFonts w:asciiTheme="minorHAnsi" w:hAnsiTheme="minorHAnsi" w:cstheme="minorHAnsi"/>
          <w:sz w:val="22"/>
          <w:szCs w:val="22"/>
        </w:rPr>
        <w:t xml:space="preserve"> </w:t>
      </w:r>
      <w:r w:rsidR="00FF5D9D" w:rsidRPr="00C95105">
        <w:rPr>
          <w:rFonts w:asciiTheme="minorHAnsi" w:hAnsiTheme="minorHAnsi" w:cstheme="minorHAnsi"/>
          <w:sz w:val="22"/>
          <w:szCs w:val="22"/>
        </w:rPr>
        <w:t>D</w:t>
      </w:r>
      <w:r w:rsidR="0023639C" w:rsidRPr="00C95105">
        <w:rPr>
          <w:rFonts w:asciiTheme="minorHAnsi" w:hAnsiTheme="minorHAnsi" w:cstheme="minorHAnsi"/>
          <w:sz w:val="22"/>
          <w:szCs w:val="22"/>
        </w:rPr>
        <w:t>iscrimination in recruitment and selections processes continues to be a pervasive problem</w:t>
      </w:r>
      <w:r w:rsidR="00D43CF8" w:rsidRPr="00C95105">
        <w:rPr>
          <w:rFonts w:asciiTheme="minorHAnsi" w:hAnsiTheme="minorHAnsi" w:cstheme="minorHAnsi"/>
          <w:sz w:val="22"/>
          <w:szCs w:val="22"/>
        </w:rPr>
        <w:t xml:space="preserve"> (Adamovic, 2021)</w:t>
      </w:r>
      <w:r w:rsidR="00155FDF" w:rsidRPr="00C95105">
        <w:rPr>
          <w:rFonts w:asciiTheme="minorHAnsi" w:hAnsiTheme="minorHAnsi" w:cstheme="minorHAnsi"/>
          <w:sz w:val="22"/>
          <w:szCs w:val="22"/>
        </w:rPr>
        <w:t xml:space="preserve">. </w:t>
      </w:r>
      <w:r w:rsidR="00434531" w:rsidRPr="00C95105">
        <w:rPr>
          <w:rFonts w:asciiTheme="minorHAnsi" w:hAnsiTheme="minorHAnsi" w:cstheme="minorHAnsi"/>
          <w:sz w:val="22"/>
          <w:szCs w:val="22"/>
        </w:rPr>
        <w:t>B</w:t>
      </w:r>
      <w:r w:rsidR="0045059E" w:rsidRPr="00C95105">
        <w:rPr>
          <w:rFonts w:asciiTheme="minorHAnsi" w:hAnsiTheme="minorHAnsi" w:cstheme="minorHAnsi"/>
          <w:sz w:val="22"/>
          <w:szCs w:val="22"/>
        </w:rPr>
        <w:t xml:space="preserve">oth </w:t>
      </w:r>
      <w:r w:rsidR="00434531" w:rsidRPr="00C95105">
        <w:rPr>
          <w:rFonts w:asciiTheme="minorHAnsi" w:hAnsiTheme="minorHAnsi" w:cstheme="minorHAnsi"/>
          <w:sz w:val="22"/>
          <w:szCs w:val="22"/>
        </w:rPr>
        <w:t xml:space="preserve">conscious and unconscious processing of </w:t>
      </w:r>
      <w:r w:rsidR="001F1B61" w:rsidRPr="00C95105">
        <w:rPr>
          <w:rFonts w:asciiTheme="minorHAnsi" w:hAnsiTheme="minorHAnsi" w:cstheme="minorHAnsi"/>
          <w:sz w:val="22"/>
          <w:szCs w:val="22"/>
        </w:rPr>
        <w:t xml:space="preserve">candidates’ </w:t>
      </w:r>
      <w:r w:rsidR="00434531" w:rsidRPr="00C95105">
        <w:rPr>
          <w:rFonts w:asciiTheme="minorHAnsi" w:hAnsiTheme="minorHAnsi" w:cstheme="minorHAnsi"/>
          <w:sz w:val="22"/>
          <w:szCs w:val="22"/>
        </w:rPr>
        <w:t xml:space="preserve">information can lead to </w:t>
      </w:r>
      <w:r w:rsidR="00587A71" w:rsidRPr="00C95105">
        <w:rPr>
          <w:rFonts w:asciiTheme="minorHAnsi" w:hAnsiTheme="minorHAnsi" w:cstheme="minorHAnsi"/>
          <w:sz w:val="22"/>
          <w:szCs w:val="22"/>
        </w:rPr>
        <w:t xml:space="preserve">sub-optimal personnel decisions and </w:t>
      </w:r>
      <w:r w:rsidR="00B44968" w:rsidRPr="00C95105">
        <w:rPr>
          <w:rFonts w:asciiTheme="minorHAnsi" w:hAnsiTheme="minorHAnsi" w:cstheme="minorHAnsi"/>
          <w:sz w:val="22"/>
          <w:szCs w:val="22"/>
        </w:rPr>
        <w:t>discrimination</w:t>
      </w:r>
      <w:r w:rsidR="007010BF" w:rsidRPr="00C95105">
        <w:rPr>
          <w:rFonts w:asciiTheme="minorHAnsi" w:hAnsiTheme="minorHAnsi" w:cstheme="minorHAnsi"/>
          <w:sz w:val="22"/>
          <w:szCs w:val="22"/>
        </w:rPr>
        <w:t xml:space="preserve"> among </w:t>
      </w:r>
      <w:r w:rsidR="00F821FB" w:rsidRPr="00C95105">
        <w:rPr>
          <w:rFonts w:asciiTheme="minorHAnsi" w:hAnsiTheme="minorHAnsi" w:cstheme="minorHAnsi"/>
          <w:sz w:val="22"/>
          <w:szCs w:val="22"/>
        </w:rPr>
        <w:t>evaluators</w:t>
      </w:r>
      <w:r w:rsidR="00E4539D" w:rsidRPr="00C95105">
        <w:rPr>
          <w:rFonts w:asciiTheme="minorHAnsi" w:hAnsiTheme="minorHAnsi" w:cstheme="minorHAnsi"/>
          <w:sz w:val="22"/>
          <w:szCs w:val="22"/>
        </w:rPr>
        <w:t xml:space="preserve"> (Genat, 20</w:t>
      </w:r>
      <w:r w:rsidR="001454D5" w:rsidRPr="00C95105">
        <w:rPr>
          <w:rFonts w:asciiTheme="minorHAnsi" w:hAnsiTheme="minorHAnsi" w:cstheme="minorHAnsi"/>
          <w:sz w:val="22"/>
          <w:szCs w:val="22"/>
        </w:rPr>
        <w:t>19</w:t>
      </w:r>
      <w:r w:rsidR="00E4539D" w:rsidRPr="00C95105">
        <w:rPr>
          <w:rFonts w:asciiTheme="minorHAnsi" w:hAnsiTheme="minorHAnsi" w:cstheme="minorHAnsi"/>
          <w:sz w:val="22"/>
          <w:szCs w:val="22"/>
        </w:rPr>
        <w:t>)</w:t>
      </w:r>
      <w:r w:rsidR="004A6F28" w:rsidRPr="00C95105">
        <w:rPr>
          <w:rFonts w:asciiTheme="minorHAnsi" w:hAnsiTheme="minorHAnsi" w:cstheme="minorHAnsi"/>
          <w:sz w:val="22"/>
          <w:szCs w:val="22"/>
        </w:rPr>
        <w:t>.</w:t>
      </w:r>
    </w:p>
    <w:p w14:paraId="5EA376DB" w14:textId="77777777" w:rsidR="000978E1" w:rsidRPr="00C95105" w:rsidRDefault="00F821FB" w:rsidP="000B4C87">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Academic research has focused on t</w:t>
      </w:r>
      <w:r w:rsidR="004E5E35" w:rsidRPr="00C95105">
        <w:rPr>
          <w:rFonts w:asciiTheme="minorHAnsi" w:hAnsiTheme="minorHAnsi" w:cstheme="minorHAnsi"/>
          <w:sz w:val="22"/>
          <w:szCs w:val="22"/>
        </w:rPr>
        <w:t>hree large categories of interventions pro</w:t>
      </w:r>
      <w:r w:rsidR="00904428" w:rsidRPr="00C95105">
        <w:rPr>
          <w:rFonts w:asciiTheme="minorHAnsi" w:hAnsiTheme="minorHAnsi" w:cstheme="minorHAnsi"/>
          <w:sz w:val="22"/>
          <w:szCs w:val="22"/>
        </w:rPr>
        <w:t xml:space="preserve">duced to tackle </w:t>
      </w:r>
      <w:r w:rsidR="005C5443" w:rsidRPr="00C95105">
        <w:rPr>
          <w:rFonts w:asciiTheme="minorHAnsi" w:hAnsiTheme="minorHAnsi" w:cstheme="minorHAnsi"/>
          <w:sz w:val="22"/>
          <w:szCs w:val="22"/>
        </w:rPr>
        <w:t>workplace discrimination</w:t>
      </w:r>
      <w:r w:rsidR="00904428" w:rsidRPr="00C95105">
        <w:rPr>
          <w:rFonts w:asciiTheme="minorHAnsi" w:hAnsiTheme="minorHAnsi" w:cstheme="minorHAnsi"/>
          <w:sz w:val="22"/>
          <w:szCs w:val="22"/>
        </w:rPr>
        <w:t xml:space="preserve">: </w:t>
      </w:r>
    </w:p>
    <w:p w14:paraId="48CCFCC0" w14:textId="7B093F71" w:rsidR="000978E1" w:rsidRPr="00C95105" w:rsidRDefault="6AF59E0E" w:rsidP="0093280F">
      <w:pPr>
        <w:pStyle w:val="ListParagraph"/>
        <w:numPr>
          <w:ilvl w:val="0"/>
          <w:numId w:val="3"/>
        </w:numPr>
        <w:spacing w:after="120"/>
        <w:ind w:left="568" w:hanging="142"/>
        <w:rPr>
          <w:rFonts w:asciiTheme="minorHAnsi" w:hAnsiTheme="minorHAnsi" w:cstheme="minorHAnsi"/>
          <w:sz w:val="22"/>
          <w:szCs w:val="22"/>
        </w:rPr>
      </w:pPr>
      <w:bookmarkStart w:id="96" w:name="_Toc96866406"/>
      <w:bookmarkStart w:id="97" w:name="_Toc96866608"/>
      <w:bookmarkStart w:id="98" w:name="_Toc96878275"/>
      <w:r w:rsidRPr="00C95105">
        <w:rPr>
          <w:rFonts w:asciiTheme="minorHAnsi" w:hAnsiTheme="minorHAnsi" w:cstheme="minorHAnsi"/>
          <w:i/>
          <w:iCs/>
          <w:sz w:val="22"/>
          <w:szCs w:val="22"/>
        </w:rPr>
        <w:lastRenderedPageBreak/>
        <w:t>P</w:t>
      </w:r>
      <w:r w:rsidR="00904428" w:rsidRPr="00C95105">
        <w:rPr>
          <w:rFonts w:asciiTheme="minorHAnsi" w:hAnsiTheme="minorHAnsi" w:cstheme="minorHAnsi"/>
          <w:i/>
          <w:iCs/>
          <w:sz w:val="22"/>
          <w:szCs w:val="22"/>
        </w:rPr>
        <w:t>rejudice reduction</w:t>
      </w:r>
      <w:r w:rsidR="001366B3" w:rsidRPr="00C95105">
        <w:rPr>
          <w:rFonts w:asciiTheme="minorHAnsi" w:hAnsiTheme="minorHAnsi" w:cstheme="minorHAnsi"/>
          <w:sz w:val="22"/>
          <w:szCs w:val="22"/>
        </w:rPr>
        <w:t xml:space="preserve"> interventions attempt to change the </w:t>
      </w:r>
      <w:r w:rsidR="006B022C" w:rsidRPr="00C95105">
        <w:rPr>
          <w:rFonts w:asciiTheme="minorHAnsi" w:hAnsiTheme="minorHAnsi" w:cstheme="minorHAnsi"/>
          <w:sz w:val="22"/>
          <w:szCs w:val="22"/>
        </w:rPr>
        <w:t xml:space="preserve">conscious </w:t>
      </w:r>
      <w:r w:rsidR="001366B3" w:rsidRPr="00C95105">
        <w:rPr>
          <w:rFonts w:asciiTheme="minorHAnsi" w:hAnsiTheme="minorHAnsi" w:cstheme="minorHAnsi"/>
          <w:sz w:val="22"/>
          <w:szCs w:val="22"/>
        </w:rPr>
        <w:t xml:space="preserve">perceptions and evaluations that </w:t>
      </w:r>
      <w:r w:rsidR="001F4195" w:rsidRPr="00C95105">
        <w:rPr>
          <w:rFonts w:asciiTheme="minorHAnsi" w:hAnsiTheme="minorHAnsi" w:cstheme="minorHAnsi"/>
          <w:sz w:val="22"/>
          <w:szCs w:val="22"/>
        </w:rPr>
        <w:t>recruiters and hiring managers have about women and minority groups</w:t>
      </w:r>
      <w:r w:rsidR="00D429F5" w:rsidRPr="00C95105">
        <w:rPr>
          <w:rFonts w:asciiTheme="minorHAnsi" w:hAnsiTheme="minorHAnsi" w:cstheme="minorHAnsi"/>
          <w:sz w:val="22"/>
          <w:szCs w:val="22"/>
        </w:rPr>
        <w:t>,</w:t>
      </w:r>
      <w:r w:rsidR="001F4195" w:rsidRPr="00C95105">
        <w:rPr>
          <w:rFonts w:asciiTheme="minorHAnsi" w:hAnsiTheme="minorHAnsi" w:cstheme="minorHAnsi"/>
          <w:sz w:val="22"/>
          <w:szCs w:val="22"/>
        </w:rPr>
        <w:t xml:space="preserve"> in the hopes that those attitudinal changes will lead to </w:t>
      </w:r>
      <w:r w:rsidR="000920AC" w:rsidRPr="00C95105">
        <w:rPr>
          <w:rFonts w:asciiTheme="minorHAnsi" w:hAnsiTheme="minorHAnsi" w:cstheme="minorHAnsi"/>
          <w:sz w:val="22"/>
          <w:szCs w:val="22"/>
        </w:rPr>
        <w:t xml:space="preserve">less discrimination in </w:t>
      </w:r>
      <w:r w:rsidR="00E61ED5" w:rsidRPr="00C95105">
        <w:rPr>
          <w:rFonts w:asciiTheme="minorHAnsi" w:hAnsiTheme="minorHAnsi" w:cstheme="minorHAnsi"/>
          <w:sz w:val="22"/>
          <w:szCs w:val="22"/>
        </w:rPr>
        <w:t>people management</w:t>
      </w:r>
      <w:r w:rsidR="000920AC" w:rsidRPr="00C95105">
        <w:rPr>
          <w:rFonts w:asciiTheme="minorHAnsi" w:hAnsiTheme="minorHAnsi" w:cstheme="minorHAnsi"/>
          <w:sz w:val="22"/>
          <w:szCs w:val="22"/>
        </w:rPr>
        <w:t xml:space="preserve"> and higher representation of stigmatised groups</w:t>
      </w:r>
      <w:r w:rsidR="00204A4F" w:rsidRPr="00C95105">
        <w:rPr>
          <w:rFonts w:asciiTheme="minorHAnsi" w:hAnsiTheme="minorHAnsi" w:cstheme="minorHAnsi"/>
          <w:sz w:val="22"/>
          <w:szCs w:val="22"/>
        </w:rPr>
        <w:t xml:space="preserve"> (Paluck &amp; Green, 2008)</w:t>
      </w:r>
      <w:r w:rsidR="000920AC" w:rsidRPr="00C95105">
        <w:rPr>
          <w:rFonts w:asciiTheme="minorHAnsi" w:hAnsiTheme="minorHAnsi" w:cstheme="minorHAnsi"/>
          <w:sz w:val="22"/>
          <w:szCs w:val="22"/>
        </w:rPr>
        <w:t>.</w:t>
      </w:r>
      <w:bookmarkEnd w:id="96"/>
      <w:bookmarkEnd w:id="97"/>
      <w:bookmarkEnd w:id="98"/>
      <w:r w:rsidR="000920AC" w:rsidRPr="00C95105">
        <w:rPr>
          <w:rFonts w:asciiTheme="minorHAnsi" w:hAnsiTheme="minorHAnsi" w:cstheme="minorHAnsi"/>
          <w:sz w:val="22"/>
          <w:szCs w:val="22"/>
        </w:rPr>
        <w:t xml:space="preserve"> </w:t>
      </w:r>
    </w:p>
    <w:p w14:paraId="2C22B47A" w14:textId="04BDE841" w:rsidR="000978E1" w:rsidRPr="00C95105" w:rsidRDefault="000920AC" w:rsidP="0093280F">
      <w:pPr>
        <w:pStyle w:val="ListParagraph"/>
        <w:numPr>
          <w:ilvl w:val="0"/>
          <w:numId w:val="3"/>
        </w:numPr>
        <w:spacing w:after="120"/>
        <w:ind w:left="568" w:hanging="142"/>
        <w:rPr>
          <w:rFonts w:asciiTheme="minorHAnsi" w:hAnsiTheme="minorHAnsi" w:cstheme="minorHAnsi"/>
          <w:sz w:val="22"/>
          <w:szCs w:val="22"/>
        </w:rPr>
      </w:pPr>
      <w:bookmarkStart w:id="99" w:name="_Toc96866407"/>
      <w:bookmarkStart w:id="100" w:name="_Toc96866609"/>
      <w:bookmarkStart w:id="101" w:name="_Toc96878276"/>
      <w:r w:rsidRPr="00C95105">
        <w:rPr>
          <w:rFonts w:asciiTheme="minorHAnsi" w:hAnsiTheme="minorHAnsi" w:cstheme="minorHAnsi"/>
          <w:i/>
          <w:iCs/>
          <w:sz w:val="22"/>
          <w:szCs w:val="22"/>
        </w:rPr>
        <w:t>Direct</w:t>
      </w:r>
      <w:r w:rsidR="008267E0" w:rsidRPr="00C95105">
        <w:rPr>
          <w:rFonts w:asciiTheme="minorHAnsi" w:hAnsiTheme="minorHAnsi" w:cstheme="minorHAnsi"/>
          <w:i/>
          <w:iCs/>
          <w:sz w:val="22"/>
          <w:szCs w:val="22"/>
        </w:rPr>
        <w:t>/</w:t>
      </w:r>
      <w:r w:rsidR="00D71325" w:rsidRPr="00C95105">
        <w:rPr>
          <w:rFonts w:asciiTheme="minorHAnsi" w:hAnsiTheme="minorHAnsi" w:cstheme="minorHAnsi"/>
          <w:i/>
          <w:iCs/>
          <w:sz w:val="22"/>
          <w:szCs w:val="22"/>
        </w:rPr>
        <w:t xml:space="preserve">affirmative </w:t>
      </w:r>
      <w:r w:rsidRPr="00C95105">
        <w:rPr>
          <w:rFonts w:asciiTheme="minorHAnsi" w:hAnsiTheme="minorHAnsi" w:cstheme="minorHAnsi"/>
          <w:i/>
          <w:iCs/>
          <w:sz w:val="22"/>
          <w:szCs w:val="22"/>
        </w:rPr>
        <w:t>action</w:t>
      </w:r>
      <w:r w:rsidR="00406C3D" w:rsidRPr="00C95105">
        <w:rPr>
          <w:rFonts w:asciiTheme="minorHAnsi" w:hAnsiTheme="minorHAnsi" w:cstheme="minorHAnsi"/>
          <w:sz w:val="22"/>
          <w:szCs w:val="22"/>
        </w:rPr>
        <w:t xml:space="preserve"> interventions </w:t>
      </w:r>
      <w:r w:rsidR="00D71325" w:rsidRPr="00C95105">
        <w:rPr>
          <w:rFonts w:asciiTheme="minorHAnsi" w:hAnsiTheme="minorHAnsi" w:cstheme="minorHAnsi"/>
          <w:sz w:val="22"/>
          <w:szCs w:val="22"/>
        </w:rPr>
        <w:t>focus on</w:t>
      </w:r>
      <w:r w:rsidR="00406C3D" w:rsidRPr="00C95105">
        <w:rPr>
          <w:rFonts w:asciiTheme="minorHAnsi" w:hAnsiTheme="minorHAnsi" w:cstheme="minorHAnsi"/>
          <w:sz w:val="22"/>
          <w:szCs w:val="22"/>
        </w:rPr>
        <w:t xml:space="preserve"> </w:t>
      </w:r>
      <w:r w:rsidR="00526CF1" w:rsidRPr="00C95105">
        <w:rPr>
          <w:rFonts w:asciiTheme="minorHAnsi" w:hAnsiTheme="minorHAnsi" w:cstheme="minorHAnsi"/>
          <w:sz w:val="22"/>
          <w:szCs w:val="22"/>
        </w:rPr>
        <w:t>directly increas</w:t>
      </w:r>
      <w:r w:rsidR="00D71325" w:rsidRPr="00C95105">
        <w:rPr>
          <w:rFonts w:asciiTheme="minorHAnsi" w:hAnsiTheme="minorHAnsi" w:cstheme="minorHAnsi"/>
          <w:sz w:val="22"/>
          <w:szCs w:val="22"/>
        </w:rPr>
        <w:t>ing</w:t>
      </w:r>
      <w:r w:rsidR="00526CF1" w:rsidRPr="00C95105">
        <w:rPr>
          <w:rFonts w:asciiTheme="minorHAnsi" w:hAnsiTheme="minorHAnsi" w:cstheme="minorHAnsi"/>
          <w:sz w:val="22"/>
          <w:szCs w:val="22"/>
        </w:rPr>
        <w:t xml:space="preserve"> </w:t>
      </w:r>
      <w:r w:rsidR="00E0730E" w:rsidRPr="00C95105">
        <w:rPr>
          <w:rFonts w:asciiTheme="minorHAnsi" w:hAnsiTheme="minorHAnsi" w:cstheme="minorHAnsi"/>
          <w:sz w:val="22"/>
          <w:szCs w:val="22"/>
        </w:rPr>
        <w:t xml:space="preserve">the </w:t>
      </w:r>
      <w:r w:rsidR="00526CF1" w:rsidRPr="00C95105">
        <w:rPr>
          <w:rFonts w:asciiTheme="minorHAnsi" w:hAnsiTheme="minorHAnsi" w:cstheme="minorHAnsi"/>
          <w:sz w:val="22"/>
          <w:szCs w:val="22"/>
        </w:rPr>
        <w:t xml:space="preserve">representation </w:t>
      </w:r>
      <w:r w:rsidR="00D71325" w:rsidRPr="00C95105">
        <w:rPr>
          <w:rFonts w:asciiTheme="minorHAnsi" w:hAnsiTheme="minorHAnsi" w:cstheme="minorHAnsi"/>
          <w:sz w:val="22"/>
          <w:szCs w:val="22"/>
        </w:rPr>
        <w:t>of marginalised groups via mechanism</w:t>
      </w:r>
      <w:r w:rsidR="009B71CC" w:rsidRPr="00C95105">
        <w:rPr>
          <w:rFonts w:asciiTheme="minorHAnsi" w:hAnsiTheme="minorHAnsi" w:cstheme="minorHAnsi"/>
          <w:sz w:val="22"/>
          <w:szCs w:val="22"/>
        </w:rPr>
        <w:t>s</w:t>
      </w:r>
      <w:r w:rsidR="00D71325" w:rsidRPr="00C95105">
        <w:rPr>
          <w:rFonts w:asciiTheme="minorHAnsi" w:hAnsiTheme="minorHAnsi" w:cstheme="minorHAnsi"/>
          <w:sz w:val="22"/>
          <w:szCs w:val="22"/>
        </w:rPr>
        <w:t xml:space="preserve"> such as</w:t>
      </w:r>
      <w:r w:rsidR="00526CF1" w:rsidRPr="00C95105">
        <w:rPr>
          <w:rFonts w:asciiTheme="minorHAnsi" w:hAnsiTheme="minorHAnsi" w:cstheme="minorHAnsi"/>
          <w:sz w:val="22"/>
          <w:szCs w:val="22"/>
        </w:rPr>
        <w:t xml:space="preserve"> targets, quotas</w:t>
      </w:r>
      <w:r w:rsidR="3BC5E228" w:rsidRPr="00C95105">
        <w:rPr>
          <w:rFonts w:asciiTheme="minorHAnsi" w:hAnsiTheme="minorHAnsi" w:cstheme="minorHAnsi"/>
          <w:sz w:val="22"/>
          <w:szCs w:val="22"/>
        </w:rPr>
        <w:t>,</w:t>
      </w:r>
      <w:r w:rsidR="00526CF1" w:rsidRPr="00C95105">
        <w:rPr>
          <w:rFonts w:asciiTheme="minorHAnsi" w:hAnsiTheme="minorHAnsi" w:cstheme="minorHAnsi"/>
          <w:sz w:val="22"/>
          <w:szCs w:val="22"/>
        </w:rPr>
        <w:t xml:space="preserve"> or </w:t>
      </w:r>
      <w:r w:rsidR="003E7B45" w:rsidRPr="00C95105">
        <w:rPr>
          <w:rFonts w:asciiTheme="minorHAnsi" w:hAnsiTheme="minorHAnsi" w:cstheme="minorHAnsi"/>
          <w:sz w:val="22"/>
          <w:szCs w:val="22"/>
        </w:rPr>
        <w:t>tie</w:t>
      </w:r>
      <w:r w:rsidR="00526CF1" w:rsidRPr="00C95105">
        <w:rPr>
          <w:rFonts w:asciiTheme="minorHAnsi" w:hAnsiTheme="minorHAnsi" w:cstheme="minorHAnsi"/>
          <w:sz w:val="22"/>
          <w:szCs w:val="22"/>
        </w:rPr>
        <w:t>break</w:t>
      </w:r>
      <w:r w:rsidR="00E0730E" w:rsidRPr="00C95105">
        <w:rPr>
          <w:rFonts w:asciiTheme="minorHAnsi" w:hAnsiTheme="minorHAnsi" w:cstheme="minorHAnsi"/>
          <w:sz w:val="22"/>
          <w:szCs w:val="22"/>
        </w:rPr>
        <w:t>s</w:t>
      </w:r>
      <w:r w:rsidR="007C41B9" w:rsidRPr="00C95105">
        <w:rPr>
          <w:rFonts w:asciiTheme="minorHAnsi" w:hAnsiTheme="minorHAnsi" w:cstheme="minorHAnsi"/>
          <w:sz w:val="22"/>
          <w:szCs w:val="22"/>
        </w:rPr>
        <w:t xml:space="preserve">, instead of </w:t>
      </w:r>
      <w:r w:rsidR="00EC0FAF" w:rsidRPr="00C95105">
        <w:rPr>
          <w:rFonts w:asciiTheme="minorHAnsi" w:hAnsiTheme="minorHAnsi" w:cstheme="minorHAnsi"/>
          <w:sz w:val="22"/>
          <w:szCs w:val="22"/>
        </w:rPr>
        <w:t>attempting to reduce</w:t>
      </w:r>
      <w:r w:rsidR="007C41B9" w:rsidRPr="00C95105">
        <w:rPr>
          <w:rFonts w:asciiTheme="minorHAnsi" w:hAnsiTheme="minorHAnsi" w:cstheme="minorHAnsi"/>
          <w:sz w:val="22"/>
          <w:szCs w:val="22"/>
        </w:rPr>
        <w:t xml:space="preserve"> prejudice </w:t>
      </w:r>
      <w:r w:rsidR="00047118" w:rsidRPr="00C95105">
        <w:rPr>
          <w:rFonts w:asciiTheme="minorHAnsi" w:hAnsiTheme="minorHAnsi" w:cstheme="minorHAnsi"/>
          <w:sz w:val="22"/>
          <w:szCs w:val="22"/>
        </w:rPr>
        <w:t>as the avenue for change</w:t>
      </w:r>
      <w:r w:rsidR="004D0663" w:rsidRPr="00C95105">
        <w:rPr>
          <w:rFonts w:asciiTheme="minorHAnsi" w:hAnsiTheme="minorHAnsi" w:cstheme="minorHAnsi"/>
          <w:sz w:val="22"/>
          <w:szCs w:val="22"/>
        </w:rPr>
        <w:t xml:space="preserve"> (Sojo, Wood, Wood, &amp; Wheeler, 2016)</w:t>
      </w:r>
      <w:r w:rsidR="003E7B45" w:rsidRPr="00C95105">
        <w:rPr>
          <w:rFonts w:asciiTheme="minorHAnsi" w:hAnsiTheme="minorHAnsi" w:cstheme="minorHAnsi"/>
          <w:sz w:val="22"/>
          <w:szCs w:val="22"/>
        </w:rPr>
        <w:t>.</w:t>
      </w:r>
      <w:bookmarkEnd w:id="99"/>
      <w:bookmarkEnd w:id="100"/>
      <w:bookmarkEnd w:id="101"/>
    </w:p>
    <w:p w14:paraId="61FA82B6" w14:textId="789F31E2" w:rsidR="000B4C87" w:rsidRPr="00C95105" w:rsidRDefault="000E72E9" w:rsidP="0093280F">
      <w:pPr>
        <w:pStyle w:val="ListParagraph"/>
        <w:numPr>
          <w:ilvl w:val="0"/>
          <w:numId w:val="3"/>
        </w:numPr>
        <w:spacing w:after="120"/>
        <w:ind w:left="568" w:hanging="142"/>
        <w:rPr>
          <w:rFonts w:asciiTheme="minorHAnsi" w:hAnsiTheme="minorHAnsi" w:cstheme="minorHAnsi"/>
          <w:sz w:val="22"/>
          <w:szCs w:val="22"/>
        </w:rPr>
      </w:pPr>
      <w:bookmarkStart w:id="102" w:name="_Toc96866408"/>
      <w:bookmarkStart w:id="103" w:name="_Toc96866610"/>
      <w:bookmarkStart w:id="104" w:name="_Toc96878277"/>
      <w:r w:rsidRPr="00C95105">
        <w:rPr>
          <w:rFonts w:asciiTheme="minorHAnsi" w:hAnsiTheme="minorHAnsi" w:cstheme="minorHAnsi"/>
          <w:i/>
          <w:iCs/>
          <w:sz w:val="22"/>
          <w:szCs w:val="22"/>
        </w:rPr>
        <w:t>Bias mitigation and nudging</w:t>
      </w:r>
      <w:r w:rsidRPr="00C95105">
        <w:rPr>
          <w:rFonts w:asciiTheme="minorHAnsi" w:hAnsiTheme="minorHAnsi" w:cstheme="minorHAnsi"/>
          <w:sz w:val="22"/>
          <w:szCs w:val="22"/>
        </w:rPr>
        <w:t xml:space="preserve"> are behavioural interventions </w:t>
      </w:r>
      <w:r w:rsidR="00863E7E" w:rsidRPr="00C95105">
        <w:rPr>
          <w:rFonts w:asciiTheme="minorHAnsi" w:hAnsiTheme="minorHAnsi" w:cstheme="minorHAnsi"/>
          <w:sz w:val="22"/>
          <w:szCs w:val="22"/>
        </w:rPr>
        <w:t xml:space="preserve">that </w:t>
      </w:r>
      <w:r w:rsidRPr="00C95105">
        <w:rPr>
          <w:rFonts w:asciiTheme="minorHAnsi" w:hAnsiTheme="minorHAnsi" w:cstheme="minorHAnsi"/>
          <w:sz w:val="22"/>
          <w:szCs w:val="22"/>
        </w:rPr>
        <w:t>chang</w:t>
      </w:r>
      <w:r w:rsidR="00D30CEA" w:rsidRPr="00C95105">
        <w:rPr>
          <w:rFonts w:asciiTheme="minorHAnsi" w:hAnsiTheme="minorHAnsi" w:cstheme="minorHAnsi"/>
          <w:sz w:val="22"/>
          <w:szCs w:val="22"/>
        </w:rPr>
        <w:t>e</w:t>
      </w:r>
      <w:r w:rsidRPr="00C95105">
        <w:rPr>
          <w:rFonts w:asciiTheme="minorHAnsi" w:hAnsiTheme="minorHAnsi" w:cstheme="minorHAnsi"/>
          <w:sz w:val="22"/>
          <w:szCs w:val="22"/>
        </w:rPr>
        <w:t xml:space="preserve"> </w:t>
      </w:r>
      <w:r w:rsidR="00A87F7C" w:rsidRPr="00C95105">
        <w:rPr>
          <w:rFonts w:asciiTheme="minorHAnsi" w:hAnsiTheme="minorHAnsi" w:cstheme="minorHAnsi"/>
          <w:sz w:val="22"/>
          <w:szCs w:val="22"/>
        </w:rPr>
        <w:t xml:space="preserve">the way we manage </w:t>
      </w:r>
      <w:r w:rsidR="00C3607B" w:rsidRPr="00C95105">
        <w:rPr>
          <w:rFonts w:asciiTheme="minorHAnsi" w:hAnsiTheme="minorHAnsi" w:cstheme="minorHAnsi"/>
          <w:sz w:val="22"/>
          <w:szCs w:val="22"/>
        </w:rPr>
        <w:t>personnel and resources</w:t>
      </w:r>
      <w:r w:rsidRPr="00C95105">
        <w:rPr>
          <w:rFonts w:asciiTheme="minorHAnsi" w:hAnsiTheme="minorHAnsi" w:cstheme="minorHAnsi"/>
          <w:sz w:val="22"/>
          <w:szCs w:val="22"/>
        </w:rPr>
        <w:t xml:space="preserve"> to reduce the likelihood that </w:t>
      </w:r>
      <w:r w:rsidR="00793D8D" w:rsidRPr="00C95105">
        <w:rPr>
          <w:rFonts w:asciiTheme="minorHAnsi" w:hAnsiTheme="minorHAnsi" w:cstheme="minorHAnsi"/>
          <w:sz w:val="22"/>
          <w:szCs w:val="22"/>
        </w:rPr>
        <w:t xml:space="preserve">conscious or unconscious processing of </w:t>
      </w:r>
      <w:r w:rsidR="00BA0D66" w:rsidRPr="00C95105">
        <w:rPr>
          <w:rFonts w:asciiTheme="minorHAnsi" w:hAnsiTheme="minorHAnsi" w:cstheme="minorHAnsi"/>
          <w:sz w:val="22"/>
          <w:szCs w:val="22"/>
        </w:rPr>
        <w:t xml:space="preserve">workers’ </w:t>
      </w:r>
      <w:r w:rsidR="00793D8D" w:rsidRPr="00C95105">
        <w:rPr>
          <w:rFonts w:asciiTheme="minorHAnsi" w:hAnsiTheme="minorHAnsi" w:cstheme="minorHAnsi"/>
          <w:sz w:val="22"/>
          <w:szCs w:val="22"/>
        </w:rPr>
        <w:t>personal attributes</w:t>
      </w:r>
      <w:r w:rsidR="00317AB1" w:rsidRPr="00C95105">
        <w:rPr>
          <w:rFonts w:asciiTheme="minorHAnsi" w:hAnsiTheme="minorHAnsi" w:cstheme="minorHAnsi"/>
          <w:sz w:val="22"/>
          <w:szCs w:val="22"/>
        </w:rPr>
        <w:t xml:space="preserve"> will impact process</w:t>
      </w:r>
      <w:r w:rsidR="007A1873" w:rsidRPr="00C95105">
        <w:rPr>
          <w:rFonts w:asciiTheme="minorHAnsi" w:hAnsiTheme="minorHAnsi" w:cstheme="minorHAnsi"/>
          <w:sz w:val="22"/>
          <w:szCs w:val="22"/>
        </w:rPr>
        <w:t>es</w:t>
      </w:r>
      <w:r w:rsidR="00317AB1" w:rsidRPr="00C95105">
        <w:rPr>
          <w:rFonts w:asciiTheme="minorHAnsi" w:hAnsiTheme="minorHAnsi" w:cstheme="minorHAnsi"/>
          <w:sz w:val="22"/>
          <w:szCs w:val="22"/>
        </w:rPr>
        <w:t xml:space="preserve"> and outcomes</w:t>
      </w:r>
      <w:r w:rsidR="00A87F7C" w:rsidRPr="00C95105">
        <w:rPr>
          <w:rFonts w:asciiTheme="minorHAnsi" w:hAnsiTheme="minorHAnsi" w:cstheme="minorHAnsi"/>
          <w:sz w:val="22"/>
          <w:szCs w:val="22"/>
        </w:rPr>
        <w:t>, effectively bypass</w:t>
      </w:r>
      <w:r w:rsidR="00002907" w:rsidRPr="00C95105">
        <w:rPr>
          <w:rFonts w:asciiTheme="minorHAnsi" w:hAnsiTheme="minorHAnsi" w:cstheme="minorHAnsi"/>
          <w:sz w:val="22"/>
          <w:szCs w:val="22"/>
        </w:rPr>
        <w:t>ing</w:t>
      </w:r>
      <w:r w:rsidR="00A87F7C" w:rsidRPr="00C95105">
        <w:rPr>
          <w:rFonts w:asciiTheme="minorHAnsi" w:hAnsiTheme="minorHAnsi" w:cstheme="minorHAnsi"/>
          <w:sz w:val="22"/>
          <w:szCs w:val="22"/>
        </w:rPr>
        <w:t xml:space="preserve"> prejudice</w:t>
      </w:r>
      <w:r w:rsidR="009936BC" w:rsidRPr="00C95105">
        <w:rPr>
          <w:rFonts w:asciiTheme="minorHAnsi" w:hAnsiTheme="minorHAnsi" w:cstheme="minorHAnsi"/>
          <w:sz w:val="22"/>
          <w:szCs w:val="22"/>
        </w:rPr>
        <w:t xml:space="preserve"> (Morse, 2016</w:t>
      </w:r>
      <w:r w:rsidR="00277387" w:rsidRPr="00C95105">
        <w:rPr>
          <w:rFonts w:asciiTheme="minorHAnsi" w:hAnsiTheme="minorHAnsi" w:cstheme="minorHAnsi"/>
          <w:sz w:val="22"/>
          <w:szCs w:val="22"/>
        </w:rPr>
        <w:t xml:space="preserve">; Stratemeyer </w:t>
      </w:r>
      <w:r w:rsidR="0071693D" w:rsidRPr="00C95105">
        <w:rPr>
          <w:rFonts w:asciiTheme="minorHAnsi" w:hAnsiTheme="minorHAnsi" w:cstheme="minorHAnsi"/>
          <w:sz w:val="22"/>
          <w:szCs w:val="22"/>
        </w:rPr>
        <w:t xml:space="preserve">et al., </w:t>
      </w:r>
      <w:r w:rsidR="00277387" w:rsidRPr="00C95105">
        <w:rPr>
          <w:rFonts w:asciiTheme="minorHAnsi" w:hAnsiTheme="minorHAnsi" w:cstheme="minorHAnsi"/>
          <w:sz w:val="22"/>
          <w:szCs w:val="22"/>
        </w:rPr>
        <w:t>2018</w:t>
      </w:r>
      <w:r w:rsidR="009936BC" w:rsidRPr="00C95105">
        <w:rPr>
          <w:rFonts w:asciiTheme="minorHAnsi" w:hAnsiTheme="minorHAnsi" w:cstheme="minorHAnsi"/>
          <w:sz w:val="22"/>
          <w:szCs w:val="22"/>
        </w:rPr>
        <w:t>)</w:t>
      </w:r>
      <w:r w:rsidR="00A87F7C" w:rsidRPr="00C95105">
        <w:rPr>
          <w:rFonts w:asciiTheme="minorHAnsi" w:hAnsiTheme="minorHAnsi" w:cstheme="minorHAnsi"/>
          <w:sz w:val="22"/>
          <w:szCs w:val="22"/>
        </w:rPr>
        <w:t>.</w:t>
      </w:r>
      <w:bookmarkEnd w:id="102"/>
      <w:bookmarkEnd w:id="103"/>
      <w:bookmarkEnd w:id="104"/>
    </w:p>
    <w:p w14:paraId="1A2C9882" w14:textId="77777777" w:rsidR="000B4C87" w:rsidRPr="00C95105" w:rsidRDefault="00175CF8" w:rsidP="000B4C87">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Previous research has shown that the CVs of women and minority groups are often unwarrantedly screened out in recruitment </w:t>
      </w:r>
      <w:r w:rsidR="003F7EAA" w:rsidRPr="00C95105">
        <w:rPr>
          <w:rFonts w:asciiTheme="minorHAnsi" w:hAnsiTheme="minorHAnsi" w:cstheme="minorHAnsi"/>
          <w:sz w:val="22"/>
          <w:szCs w:val="22"/>
        </w:rPr>
        <w:t>processes</w:t>
      </w:r>
      <w:r w:rsidRPr="00C95105">
        <w:rPr>
          <w:rFonts w:asciiTheme="minorHAnsi" w:hAnsiTheme="minorHAnsi" w:cstheme="minorHAnsi"/>
          <w:sz w:val="22"/>
          <w:szCs w:val="22"/>
        </w:rPr>
        <w:t>, particularly when these groups are underrepresented in specific industr</w:t>
      </w:r>
      <w:r w:rsidR="00635859" w:rsidRPr="00C95105">
        <w:rPr>
          <w:rFonts w:asciiTheme="minorHAnsi" w:hAnsiTheme="minorHAnsi" w:cstheme="minorHAnsi"/>
          <w:sz w:val="22"/>
          <w:szCs w:val="22"/>
        </w:rPr>
        <w:t>ies</w:t>
      </w:r>
      <w:r w:rsidRPr="00C95105">
        <w:rPr>
          <w:rFonts w:asciiTheme="minorHAnsi" w:hAnsiTheme="minorHAnsi" w:cstheme="minorHAnsi"/>
          <w:sz w:val="22"/>
          <w:szCs w:val="22"/>
        </w:rPr>
        <w:t xml:space="preserve"> or occupation</w:t>
      </w:r>
      <w:r w:rsidR="00635859" w:rsidRPr="00C95105">
        <w:rPr>
          <w:rFonts w:asciiTheme="minorHAnsi" w:hAnsiTheme="minorHAnsi" w:cstheme="minorHAnsi"/>
          <w:sz w:val="22"/>
          <w:szCs w:val="22"/>
        </w:rPr>
        <w:t>s</w:t>
      </w:r>
      <w:r w:rsidR="00EF4A10" w:rsidRPr="00C95105">
        <w:rPr>
          <w:rFonts w:asciiTheme="minorHAnsi" w:hAnsiTheme="minorHAnsi" w:cstheme="minorHAnsi"/>
          <w:sz w:val="22"/>
          <w:szCs w:val="22"/>
        </w:rPr>
        <w:t xml:space="preserve"> (Adamovic, 2020)</w:t>
      </w:r>
      <w:r w:rsidRPr="00C95105">
        <w:rPr>
          <w:rFonts w:asciiTheme="minorHAnsi" w:hAnsiTheme="minorHAnsi" w:cstheme="minorHAnsi"/>
          <w:sz w:val="22"/>
          <w:szCs w:val="22"/>
        </w:rPr>
        <w:t xml:space="preserve">. </w:t>
      </w:r>
      <w:r w:rsidR="00055D51" w:rsidRPr="00C95105">
        <w:rPr>
          <w:rFonts w:asciiTheme="minorHAnsi" w:hAnsiTheme="minorHAnsi" w:cstheme="minorHAnsi"/>
          <w:i/>
          <w:iCs/>
          <w:sz w:val="22"/>
          <w:szCs w:val="22"/>
        </w:rPr>
        <w:t>Anonymous Application Procedures</w:t>
      </w:r>
      <w:r w:rsidR="005475A8" w:rsidRPr="00C95105">
        <w:rPr>
          <w:rFonts w:asciiTheme="minorHAnsi" w:hAnsiTheme="minorHAnsi" w:cstheme="minorHAnsi"/>
          <w:sz w:val="22"/>
          <w:szCs w:val="22"/>
        </w:rPr>
        <w:t xml:space="preserve"> (AAP)</w:t>
      </w:r>
      <w:r w:rsidR="00055D51" w:rsidRPr="00C95105">
        <w:rPr>
          <w:rFonts w:asciiTheme="minorHAnsi" w:hAnsiTheme="minorHAnsi" w:cstheme="minorHAnsi"/>
          <w:sz w:val="22"/>
          <w:szCs w:val="22"/>
        </w:rPr>
        <w:t xml:space="preserve">, commonly known as CV de-identification, </w:t>
      </w:r>
      <w:r w:rsidR="00664B9A" w:rsidRPr="00C95105">
        <w:rPr>
          <w:rFonts w:asciiTheme="minorHAnsi" w:hAnsiTheme="minorHAnsi" w:cstheme="minorHAnsi"/>
          <w:sz w:val="22"/>
          <w:szCs w:val="22"/>
        </w:rPr>
        <w:t>include</w:t>
      </w:r>
      <w:r w:rsidR="008F53E8" w:rsidRPr="00C95105">
        <w:rPr>
          <w:rFonts w:asciiTheme="minorHAnsi" w:hAnsiTheme="minorHAnsi" w:cstheme="minorHAnsi"/>
          <w:sz w:val="22"/>
          <w:szCs w:val="22"/>
        </w:rPr>
        <w:t xml:space="preserve"> a range of </w:t>
      </w:r>
      <w:r w:rsidR="008F53E8" w:rsidRPr="00C95105">
        <w:rPr>
          <w:rFonts w:asciiTheme="minorHAnsi" w:hAnsiTheme="minorHAnsi" w:cstheme="minorHAnsi"/>
          <w:i/>
          <w:iCs/>
          <w:sz w:val="22"/>
          <w:szCs w:val="22"/>
        </w:rPr>
        <w:t>bias mitigation</w:t>
      </w:r>
      <w:r w:rsidR="008F53E8" w:rsidRPr="00C95105">
        <w:rPr>
          <w:rFonts w:asciiTheme="minorHAnsi" w:hAnsiTheme="minorHAnsi" w:cstheme="minorHAnsi"/>
          <w:sz w:val="22"/>
          <w:szCs w:val="22"/>
        </w:rPr>
        <w:t xml:space="preserve"> strategies that attempt to </w:t>
      </w:r>
      <w:r w:rsidR="005A57E5" w:rsidRPr="00C95105">
        <w:rPr>
          <w:rFonts w:asciiTheme="minorHAnsi" w:hAnsiTheme="minorHAnsi" w:cstheme="minorHAnsi"/>
          <w:sz w:val="22"/>
          <w:szCs w:val="22"/>
        </w:rPr>
        <w:t>conceal</w:t>
      </w:r>
      <w:r w:rsidR="008F53E8" w:rsidRPr="00C95105">
        <w:rPr>
          <w:rFonts w:asciiTheme="minorHAnsi" w:hAnsiTheme="minorHAnsi" w:cstheme="minorHAnsi"/>
          <w:sz w:val="22"/>
          <w:szCs w:val="22"/>
        </w:rPr>
        <w:t xml:space="preserve"> </w:t>
      </w:r>
      <w:r w:rsidR="005A57E5" w:rsidRPr="00C95105">
        <w:rPr>
          <w:rFonts w:asciiTheme="minorHAnsi" w:hAnsiTheme="minorHAnsi" w:cstheme="minorHAnsi"/>
          <w:sz w:val="22"/>
          <w:szCs w:val="22"/>
        </w:rPr>
        <w:t xml:space="preserve">job </w:t>
      </w:r>
      <w:r w:rsidR="0063273D" w:rsidRPr="00C95105">
        <w:rPr>
          <w:rFonts w:asciiTheme="minorHAnsi" w:hAnsiTheme="minorHAnsi" w:cstheme="minorHAnsi"/>
          <w:sz w:val="22"/>
          <w:szCs w:val="22"/>
        </w:rPr>
        <w:t xml:space="preserve">applicants’ markers of protected attributes </w:t>
      </w:r>
      <w:r w:rsidR="007E24AE" w:rsidRPr="00C95105">
        <w:rPr>
          <w:rFonts w:asciiTheme="minorHAnsi" w:hAnsiTheme="minorHAnsi" w:cstheme="minorHAnsi"/>
          <w:sz w:val="22"/>
          <w:szCs w:val="22"/>
        </w:rPr>
        <w:t xml:space="preserve">(e.g., gender, ethnic background, age) </w:t>
      </w:r>
      <w:r w:rsidR="0063273D" w:rsidRPr="00C95105">
        <w:rPr>
          <w:rFonts w:asciiTheme="minorHAnsi" w:hAnsiTheme="minorHAnsi" w:cstheme="minorHAnsi"/>
          <w:sz w:val="22"/>
          <w:szCs w:val="22"/>
        </w:rPr>
        <w:t xml:space="preserve">during </w:t>
      </w:r>
      <w:r w:rsidR="006F7301" w:rsidRPr="00C95105">
        <w:rPr>
          <w:rFonts w:asciiTheme="minorHAnsi" w:hAnsiTheme="minorHAnsi" w:cstheme="minorHAnsi"/>
          <w:sz w:val="22"/>
          <w:szCs w:val="22"/>
        </w:rPr>
        <w:t xml:space="preserve">personnel </w:t>
      </w:r>
      <w:r w:rsidR="0063273D" w:rsidRPr="00C95105">
        <w:rPr>
          <w:rFonts w:asciiTheme="minorHAnsi" w:hAnsiTheme="minorHAnsi" w:cstheme="minorHAnsi"/>
          <w:sz w:val="22"/>
          <w:szCs w:val="22"/>
        </w:rPr>
        <w:t>recruitment</w:t>
      </w:r>
      <w:r w:rsidR="001B6922" w:rsidRPr="00C95105">
        <w:rPr>
          <w:rFonts w:asciiTheme="minorHAnsi" w:hAnsiTheme="minorHAnsi" w:cstheme="minorHAnsi"/>
          <w:sz w:val="22"/>
          <w:szCs w:val="22"/>
        </w:rPr>
        <w:t xml:space="preserve">, </w:t>
      </w:r>
      <w:r w:rsidR="0063273D" w:rsidRPr="00C95105">
        <w:rPr>
          <w:rFonts w:asciiTheme="minorHAnsi" w:hAnsiTheme="minorHAnsi" w:cstheme="minorHAnsi"/>
          <w:sz w:val="22"/>
          <w:szCs w:val="22"/>
        </w:rPr>
        <w:t>selection</w:t>
      </w:r>
      <w:r w:rsidR="1535F07F" w:rsidRPr="00C95105">
        <w:rPr>
          <w:rFonts w:asciiTheme="minorHAnsi" w:hAnsiTheme="minorHAnsi" w:cstheme="minorHAnsi"/>
          <w:sz w:val="22"/>
          <w:szCs w:val="22"/>
        </w:rPr>
        <w:t>,</w:t>
      </w:r>
      <w:r w:rsidR="0063273D" w:rsidRPr="00C95105">
        <w:rPr>
          <w:rFonts w:asciiTheme="minorHAnsi" w:hAnsiTheme="minorHAnsi" w:cstheme="minorHAnsi"/>
          <w:sz w:val="22"/>
          <w:szCs w:val="22"/>
        </w:rPr>
        <w:t xml:space="preserve"> </w:t>
      </w:r>
      <w:r w:rsidR="001B6922" w:rsidRPr="00C95105">
        <w:rPr>
          <w:rFonts w:asciiTheme="minorHAnsi" w:hAnsiTheme="minorHAnsi" w:cstheme="minorHAnsi"/>
          <w:sz w:val="22"/>
          <w:szCs w:val="22"/>
        </w:rPr>
        <w:t xml:space="preserve">and promotion </w:t>
      </w:r>
      <w:r w:rsidR="0063273D" w:rsidRPr="00C95105">
        <w:rPr>
          <w:rFonts w:asciiTheme="minorHAnsi" w:hAnsiTheme="minorHAnsi" w:cstheme="minorHAnsi"/>
          <w:sz w:val="22"/>
          <w:szCs w:val="22"/>
        </w:rPr>
        <w:t>evaluations</w:t>
      </w:r>
      <w:r w:rsidR="00DF643E" w:rsidRPr="00C95105">
        <w:rPr>
          <w:rFonts w:asciiTheme="minorHAnsi" w:hAnsiTheme="minorHAnsi" w:cstheme="minorHAnsi"/>
          <w:sz w:val="22"/>
          <w:szCs w:val="22"/>
        </w:rPr>
        <w:t xml:space="preserve"> (Stratemeyer, et al., 2018)</w:t>
      </w:r>
      <w:r w:rsidR="0063273D" w:rsidRPr="00C95105">
        <w:rPr>
          <w:rFonts w:asciiTheme="minorHAnsi" w:hAnsiTheme="minorHAnsi" w:cstheme="minorHAnsi"/>
          <w:sz w:val="22"/>
          <w:szCs w:val="22"/>
        </w:rPr>
        <w:t xml:space="preserve">. </w:t>
      </w:r>
    </w:p>
    <w:p w14:paraId="589E35D3" w14:textId="77777777" w:rsidR="004D353E" w:rsidRPr="00C95105" w:rsidRDefault="3485346B" w:rsidP="000B4C87">
      <w:pPr>
        <w:spacing w:after="120"/>
        <w:ind w:firstLine="567"/>
        <w:rPr>
          <w:rFonts w:asciiTheme="minorHAnsi" w:eastAsia="Calibri" w:hAnsiTheme="minorHAnsi" w:cstheme="minorHAnsi"/>
          <w:sz w:val="22"/>
          <w:szCs w:val="22"/>
        </w:rPr>
      </w:pPr>
      <w:r w:rsidRPr="00C95105">
        <w:rPr>
          <w:rFonts w:asciiTheme="minorHAnsi" w:eastAsia="Calibri" w:hAnsiTheme="minorHAnsi" w:cstheme="minorHAnsi"/>
          <w:sz w:val="22"/>
          <w:szCs w:val="22"/>
        </w:rPr>
        <w:t xml:space="preserve">According to Kahneman (2011) and other dual-process researchers (see Evans &amp; Stanovich, 2013 for a review), there are two different modes of thinking, referred to as System 1 and System 2. System 1 is described as automatic, unconscious, and impulsive; System 2 operates in conscious, controlled, and reflective thinking. Biases are a product of System 1 thinking, and we are especially prone to biases when we are overworked or under time pressure. </w:t>
      </w:r>
    </w:p>
    <w:p w14:paraId="2B834B5B" w14:textId="6512FDC8" w:rsidR="000B4C87" w:rsidRPr="00C95105" w:rsidRDefault="65925007" w:rsidP="000B4C87">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Based on dual</w:t>
      </w:r>
      <w:r w:rsidR="4DF090F9" w:rsidRPr="00C95105">
        <w:rPr>
          <w:rFonts w:asciiTheme="minorHAnsi" w:hAnsiTheme="minorHAnsi" w:cstheme="minorHAnsi"/>
          <w:sz w:val="22"/>
          <w:szCs w:val="22"/>
        </w:rPr>
        <w:t>-process</w:t>
      </w:r>
      <w:r w:rsidRPr="00C95105">
        <w:rPr>
          <w:rFonts w:asciiTheme="minorHAnsi" w:hAnsiTheme="minorHAnsi" w:cstheme="minorHAnsi"/>
          <w:sz w:val="22"/>
          <w:szCs w:val="22"/>
        </w:rPr>
        <w:t xml:space="preserve"> theories</w:t>
      </w:r>
      <w:r w:rsidR="004D353E" w:rsidRPr="00C95105">
        <w:rPr>
          <w:rFonts w:asciiTheme="minorHAnsi" w:hAnsiTheme="minorHAnsi" w:cstheme="minorHAnsi"/>
          <w:sz w:val="22"/>
          <w:szCs w:val="22"/>
        </w:rPr>
        <w:t xml:space="preserve"> (</w:t>
      </w:r>
      <w:r w:rsidR="004D353E" w:rsidRPr="00C95105">
        <w:rPr>
          <w:rFonts w:asciiTheme="minorHAnsi" w:eastAsia="Calibri" w:hAnsiTheme="minorHAnsi" w:cstheme="minorHAnsi"/>
          <w:sz w:val="22"/>
          <w:szCs w:val="22"/>
        </w:rPr>
        <w:t>Evans &amp; Stanovich, 2013</w:t>
      </w:r>
      <w:r w:rsidR="004D353E" w:rsidRPr="00C95105">
        <w:rPr>
          <w:rFonts w:asciiTheme="minorHAnsi" w:hAnsiTheme="minorHAnsi" w:cstheme="minorHAnsi"/>
          <w:sz w:val="22"/>
          <w:szCs w:val="22"/>
        </w:rPr>
        <w:t>)</w:t>
      </w:r>
      <w:r w:rsidRPr="00C95105">
        <w:rPr>
          <w:rFonts w:asciiTheme="minorHAnsi" w:hAnsiTheme="minorHAnsi" w:cstheme="minorHAnsi"/>
          <w:sz w:val="22"/>
          <w:szCs w:val="22"/>
        </w:rPr>
        <w:t xml:space="preserve">, we argue that in the absence of peripheral cues about personal attributes that are irrelevant to job performance, </w:t>
      </w:r>
      <w:r w:rsidR="4998691C" w:rsidRPr="00C95105">
        <w:rPr>
          <w:rFonts w:asciiTheme="minorHAnsi" w:hAnsiTheme="minorHAnsi" w:cstheme="minorHAnsi"/>
          <w:sz w:val="22"/>
          <w:szCs w:val="22"/>
        </w:rPr>
        <w:t xml:space="preserve">and with appropriate instructions, </w:t>
      </w:r>
      <w:r w:rsidRPr="00C95105">
        <w:rPr>
          <w:rFonts w:asciiTheme="minorHAnsi" w:hAnsiTheme="minorHAnsi" w:cstheme="minorHAnsi"/>
          <w:sz w:val="22"/>
          <w:szCs w:val="22"/>
        </w:rPr>
        <w:t xml:space="preserve">evaluators </w:t>
      </w:r>
      <w:r w:rsidR="4998691C" w:rsidRPr="00C95105">
        <w:rPr>
          <w:rFonts w:asciiTheme="minorHAnsi" w:hAnsiTheme="minorHAnsi" w:cstheme="minorHAnsi"/>
          <w:sz w:val="22"/>
          <w:szCs w:val="22"/>
        </w:rPr>
        <w:t>can</w:t>
      </w:r>
      <w:r w:rsidRPr="00C95105">
        <w:rPr>
          <w:rFonts w:asciiTheme="minorHAnsi" w:hAnsiTheme="minorHAnsi" w:cstheme="minorHAnsi"/>
          <w:sz w:val="22"/>
          <w:szCs w:val="22"/>
        </w:rPr>
        <w:t xml:space="preserve"> focus on the core experiences and expertise of the candidates</w:t>
      </w:r>
      <w:r w:rsidR="4998691C" w:rsidRPr="00C95105">
        <w:rPr>
          <w:rFonts w:asciiTheme="minorHAnsi" w:hAnsiTheme="minorHAnsi" w:cstheme="minorHAnsi"/>
          <w:sz w:val="22"/>
          <w:szCs w:val="22"/>
        </w:rPr>
        <w:t xml:space="preserve"> they are assessing for selection.</w:t>
      </w:r>
      <w:r w:rsidR="2CB26B39" w:rsidRPr="00C95105">
        <w:rPr>
          <w:rFonts w:asciiTheme="minorHAnsi" w:hAnsiTheme="minorHAnsi" w:cstheme="minorHAnsi"/>
          <w:sz w:val="22"/>
          <w:szCs w:val="22"/>
        </w:rPr>
        <w:t xml:space="preserve"> </w:t>
      </w:r>
      <w:r w:rsidR="1DC17CFE" w:rsidRPr="00C95105">
        <w:rPr>
          <w:rFonts w:asciiTheme="minorHAnsi" w:hAnsiTheme="minorHAnsi" w:cstheme="minorHAnsi"/>
          <w:sz w:val="22"/>
          <w:szCs w:val="22"/>
        </w:rPr>
        <w:t xml:space="preserve">AAP try to eliminate any </w:t>
      </w:r>
      <w:r w:rsidR="65445628" w:rsidRPr="00C95105">
        <w:rPr>
          <w:rFonts w:asciiTheme="minorHAnsi" w:hAnsiTheme="minorHAnsi" w:cstheme="minorHAnsi"/>
          <w:sz w:val="22"/>
          <w:szCs w:val="22"/>
        </w:rPr>
        <w:t xml:space="preserve">personal </w:t>
      </w:r>
      <w:r w:rsidR="1DC17CFE" w:rsidRPr="00C95105">
        <w:rPr>
          <w:rFonts w:asciiTheme="minorHAnsi" w:hAnsiTheme="minorHAnsi" w:cstheme="minorHAnsi"/>
          <w:sz w:val="22"/>
          <w:szCs w:val="22"/>
        </w:rPr>
        <w:t xml:space="preserve">identifying information that might be used to discriminate against marginalised groups in early stages of </w:t>
      </w:r>
      <w:r w:rsidR="0B51638E" w:rsidRPr="00C95105">
        <w:rPr>
          <w:rFonts w:asciiTheme="minorHAnsi" w:hAnsiTheme="minorHAnsi" w:cstheme="minorHAnsi"/>
          <w:sz w:val="22"/>
          <w:szCs w:val="22"/>
        </w:rPr>
        <w:t xml:space="preserve">recruitment and selection process. By doing so, AAP </w:t>
      </w:r>
      <w:r w:rsidR="125057BD" w:rsidRPr="00C95105">
        <w:rPr>
          <w:rFonts w:asciiTheme="minorHAnsi" w:hAnsiTheme="minorHAnsi" w:cstheme="minorHAnsi"/>
          <w:sz w:val="22"/>
          <w:szCs w:val="22"/>
        </w:rPr>
        <w:t xml:space="preserve">aim </w:t>
      </w:r>
      <w:r w:rsidR="0B51638E" w:rsidRPr="00C95105">
        <w:rPr>
          <w:rFonts w:asciiTheme="minorHAnsi" w:hAnsiTheme="minorHAnsi" w:cstheme="minorHAnsi"/>
          <w:sz w:val="22"/>
          <w:szCs w:val="22"/>
        </w:rPr>
        <w:t xml:space="preserve">to create a </w:t>
      </w:r>
      <w:r w:rsidR="0B51638E" w:rsidRPr="00C95105">
        <w:rPr>
          <w:rFonts w:asciiTheme="minorHAnsi" w:hAnsiTheme="minorHAnsi" w:cstheme="minorHAnsi"/>
          <w:i/>
          <w:iCs/>
          <w:sz w:val="22"/>
          <w:szCs w:val="22"/>
        </w:rPr>
        <w:t>level playing field</w:t>
      </w:r>
      <w:r w:rsidR="12F953E3" w:rsidRPr="00C95105">
        <w:rPr>
          <w:rFonts w:asciiTheme="minorHAnsi" w:hAnsiTheme="minorHAnsi" w:cstheme="minorHAnsi"/>
          <w:i/>
          <w:iCs/>
          <w:sz w:val="22"/>
          <w:szCs w:val="22"/>
        </w:rPr>
        <w:t>,</w:t>
      </w:r>
      <w:r w:rsidR="0B51638E" w:rsidRPr="00C95105">
        <w:rPr>
          <w:rFonts w:asciiTheme="minorHAnsi" w:hAnsiTheme="minorHAnsi" w:cstheme="minorHAnsi"/>
          <w:sz w:val="22"/>
          <w:szCs w:val="22"/>
        </w:rPr>
        <w:t xml:space="preserve"> where applicants are judged based on </w:t>
      </w:r>
      <w:r w:rsidR="7751E489" w:rsidRPr="00C95105">
        <w:rPr>
          <w:rFonts w:asciiTheme="minorHAnsi" w:hAnsiTheme="minorHAnsi" w:cstheme="minorHAnsi"/>
          <w:sz w:val="22"/>
          <w:szCs w:val="22"/>
        </w:rPr>
        <w:t>their experience and qualifications</w:t>
      </w:r>
      <w:r w:rsidR="4E0DB241" w:rsidRPr="00C95105">
        <w:rPr>
          <w:rFonts w:asciiTheme="minorHAnsi" w:hAnsiTheme="minorHAnsi" w:cstheme="minorHAnsi"/>
          <w:sz w:val="22"/>
          <w:szCs w:val="22"/>
        </w:rPr>
        <w:t>,</w:t>
      </w:r>
      <w:r w:rsidR="7751E489" w:rsidRPr="00C95105">
        <w:rPr>
          <w:rFonts w:asciiTheme="minorHAnsi" w:hAnsiTheme="minorHAnsi" w:cstheme="minorHAnsi"/>
          <w:sz w:val="22"/>
          <w:szCs w:val="22"/>
        </w:rPr>
        <w:t xml:space="preserve"> instead of irrelevant personal attributes.</w:t>
      </w:r>
      <w:r w:rsidR="2943994D" w:rsidRPr="00C95105">
        <w:rPr>
          <w:rFonts w:asciiTheme="minorHAnsi" w:hAnsiTheme="minorHAnsi" w:cstheme="minorHAnsi"/>
          <w:sz w:val="22"/>
          <w:szCs w:val="22"/>
        </w:rPr>
        <w:t xml:space="preserve"> </w:t>
      </w:r>
    </w:p>
    <w:p w14:paraId="16906C62" w14:textId="77777777" w:rsidR="00DF088D" w:rsidRPr="00C95105" w:rsidRDefault="3485346B" w:rsidP="000B4C87">
      <w:pPr>
        <w:spacing w:after="120"/>
        <w:ind w:firstLine="567"/>
        <w:rPr>
          <w:rFonts w:asciiTheme="minorHAnsi" w:eastAsia="Calibri" w:hAnsiTheme="minorHAnsi" w:cstheme="minorHAnsi"/>
          <w:sz w:val="22"/>
          <w:szCs w:val="22"/>
        </w:rPr>
      </w:pPr>
      <w:r w:rsidRPr="00C95105">
        <w:rPr>
          <w:rFonts w:asciiTheme="minorHAnsi" w:eastAsia="Calibri" w:hAnsiTheme="minorHAnsi" w:cstheme="minorHAnsi"/>
          <w:sz w:val="22"/>
          <w:szCs w:val="22"/>
        </w:rPr>
        <w:t xml:space="preserve">Many public sector agencies want to take action to improve their own gender and ethnic diversity and inclusion practices, but the lack of evidence-based research into the effectiveness of diversity management interventions means that organisations often do not know where to begin (Foster Curtis &amp; Dreachslin, 2008). </w:t>
      </w:r>
    </w:p>
    <w:p w14:paraId="7511BD5B" w14:textId="77777777" w:rsidR="00102B00" w:rsidRPr="00C95105" w:rsidRDefault="3485346B" w:rsidP="00102B00">
      <w:pPr>
        <w:spacing w:after="120"/>
        <w:ind w:firstLine="567"/>
        <w:rPr>
          <w:rFonts w:asciiTheme="minorHAnsi" w:eastAsia="Calibri" w:hAnsiTheme="minorHAnsi" w:cstheme="minorHAnsi"/>
          <w:sz w:val="22"/>
          <w:szCs w:val="22"/>
        </w:rPr>
      </w:pPr>
      <w:r w:rsidRPr="00C95105">
        <w:rPr>
          <w:rFonts w:asciiTheme="minorHAnsi" w:eastAsia="Calibri" w:hAnsiTheme="minorHAnsi" w:cstheme="minorHAnsi"/>
          <w:sz w:val="22"/>
          <w:szCs w:val="22"/>
        </w:rPr>
        <w:t>In recent years, the Australian Government has begun to test evidence-based approaches to reduce bias in selection processes. Reviewed in the current paper, the Behavioural Economics Team of the Australian Government (BETA) recently trialled an AAP intervention, asking over 2000 public servants to assess hypothetical applicants for a public service position (Hiscox, et al., 2017). Contrary to what one might expect, de-identifying CVs decreased the number of shortlisted female and minority candidates; that is, participants in the identified condition showed a preference for female and minority candidates for the hypothetical role. However, CVs are never perfectly matched (i.e., identical) in the real world. Even when CVs are de-identified, gender-based individual differences such as communication styles (i.e., how one expresses themselves) can lead male candidates to be seen as preferable (Kolev, Fuentes-Medel, &amp; Murray, 2019).</w:t>
      </w:r>
    </w:p>
    <w:p w14:paraId="0BB17961" w14:textId="7C5D3E85" w:rsidR="2A975727" w:rsidRPr="00C95105" w:rsidRDefault="3485346B" w:rsidP="00102B00">
      <w:pPr>
        <w:spacing w:after="120"/>
        <w:ind w:firstLine="567"/>
        <w:rPr>
          <w:rFonts w:asciiTheme="minorHAnsi" w:hAnsiTheme="minorHAnsi" w:cstheme="minorHAnsi"/>
          <w:sz w:val="22"/>
          <w:szCs w:val="22"/>
        </w:rPr>
      </w:pPr>
      <w:r w:rsidRPr="00C95105">
        <w:rPr>
          <w:rFonts w:asciiTheme="minorHAnsi" w:eastAsia="Calibri" w:hAnsiTheme="minorHAnsi" w:cstheme="minorHAnsi"/>
          <w:sz w:val="22"/>
          <w:szCs w:val="22"/>
        </w:rPr>
        <w:t xml:space="preserve">In the </w:t>
      </w:r>
      <w:r w:rsidRPr="00C95105">
        <w:rPr>
          <w:rFonts w:asciiTheme="minorHAnsi" w:eastAsia="Calibri" w:hAnsiTheme="minorHAnsi" w:cstheme="minorHAnsi"/>
          <w:i/>
          <w:iCs/>
          <w:sz w:val="22"/>
          <w:szCs w:val="22"/>
        </w:rPr>
        <w:t>Recruit Smarter</w:t>
      </w:r>
      <w:r w:rsidRPr="00C95105">
        <w:rPr>
          <w:rFonts w:asciiTheme="minorHAnsi" w:eastAsia="Calibri" w:hAnsiTheme="minorHAnsi" w:cstheme="minorHAnsi"/>
          <w:sz w:val="22"/>
          <w:szCs w:val="22"/>
        </w:rPr>
        <w:t xml:space="preserve"> campaign (also reviewed in the current paper), the Victorian Government worked with researchers at the University of Melbourne to pilot interventions aimed at reducing selection bias, including AAP (Stratemeyer et al., 2018). The AAP pilot resulted in significant improvements for different social groups (e.g., applicants born overseas, women in male-dominated </w:t>
      </w:r>
      <w:r w:rsidRPr="00C95105">
        <w:rPr>
          <w:rFonts w:asciiTheme="minorHAnsi" w:eastAsia="Calibri" w:hAnsiTheme="minorHAnsi" w:cstheme="minorHAnsi"/>
          <w:sz w:val="22"/>
          <w:szCs w:val="22"/>
        </w:rPr>
        <w:lastRenderedPageBreak/>
        <w:t xml:space="preserve">roles) across the five organisations involved in the </w:t>
      </w:r>
      <w:r w:rsidR="00C237F2" w:rsidRPr="00C95105">
        <w:rPr>
          <w:rFonts w:asciiTheme="minorHAnsi" w:eastAsia="Calibri" w:hAnsiTheme="minorHAnsi" w:cstheme="minorHAnsi"/>
          <w:sz w:val="22"/>
          <w:szCs w:val="22"/>
        </w:rPr>
        <w:t>pilot but</w:t>
      </w:r>
      <w:r w:rsidRPr="00C95105">
        <w:rPr>
          <w:rFonts w:asciiTheme="minorHAnsi" w:eastAsia="Calibri" w:hAnsiTheme="minorHAnsi" w:cstheme="minorHAnsi"/>
          <w:sz w:val="22"/>
          <w:szCs w:val="22"/>
        </w:rPr>
        <w:t xml:space="preserve"> suggested that de-identifying CVs alone will not guarantee positive results for all social groups in all contexts. </w:t>
      </w:r>
    </w:p>
    <w:p w14:paraId="3AD67C30" w14:textId="3BB311CD" w:rsidR="0027783B" w:rsidRPr="00C95105" w:rsidRDefault="2CB26B39" w:rsidP="005D5F97">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Even though AAP can be very costly to implement, </w:t>
      </w:r>
      <w:r w:rsidR="398EC2C6" w:rsidRPr="00C95105">
        <w:rPr>
          <w:rFonts w:asciiTheme="minorHAnsi" w:hAnsiTheme="minorHAnsi" w:cstheme="minorHAnsi"/>
          <w:sz w:val="22"/>
          <w:szCs w:val="22"/>
        </w:rPr>
        <w:t xml:space="preserve">they have become popular over the last ten years. Academic </w:t>
      </w:r>
      <w:r w:rsidR="07CAE3F8" w:rsidRPr="00C95105">
        <w:rPr>
          <w:rFonts w:asciiTheme="minorHAnsi" w:hAnsiTheme="minorHAnsi" w:cstheme="minorHAnsi"/>
          <w:sz w:val="22"/>
          <w:szCs w:val="22"/>
        </w:rPr>
        <w:t>researchers</w:t>
      </w:r>
      <w:r w:rsidR="398EC2C6" w:rsidRPr="00C95105">
        <w:rPr>
          <w:rFonts w:asciiTheme="minorHAnsi" w:hAnsiTheme="minorHAnsi" w:cstheme="minorHAnsi"/>
          <w:sz w:val="22"/>
          <w:szCs w:val="22"/>
        </w:rPr>
        <w:t xml:space="preserve"> and government agencies around the world have conducted several trials to evaluate the </w:t>
      </w:r>
      <w:r w:rsidR="07CAE3F8" w:rsidRPr="00C95105">
        <w:rPr>
          <w:rFonts w:asciiTheme="minorHAnsi" w:hAnsiTheme="minorHAnsi" w:cstheme="minorHAnsi"/>
          <w:sz w:val="22"/>
          <w:szCs w:val="22"/>
        </w:rPr>
        <w:t>capacity of</w:t>
      </w:r>
      <w:r w:rsidR="398EC2C6" w:rsidRPr="00C95105">
        <w:rPr>
          <w:rFonts w:asciiTheme="minorHAnsi" w:hAnsiTheme="minorHAnsi" w:cstheme="minorHAnsi"/>
          <w:sz w:val="22"/>
          <w:szCs w:val="22"/>
        </w:rPr>
        <w:t xml:space="preserve"> AAP </w:t>
      </w:r>
      <w:r w:rsidR="07CAE3F8" w:rsidRPr="00C95105">
        <w:rPr>
          <w:rFonts w:asciiTheme="minorHAnsi" w:hAnsiTheme="minorHAnsi" w:cstheme="minorHAnsi"/>
          <w:sz w:val="22"/>
          <w:szCs w:val="22"/>
        </w:rPr>
        <w:t>to reduce the impact of stigmatised attributes on recruitment and selection</w:t>
      </w:r>
      <w:r w:rsidR="60146BC9" w:rsidRPr="00C95105">
        <w:rPr>
          <w:rFonts w:asciiTheme="minorHAnsi" w:hAnsiTheme="minorHAnsi" w:cstheme="minorHAnsi"/>
          <w:sz w:val="22"/>
          <w:szCs w:val="22"/>
        </w:rPr>
        <w:t xml:space="preserve"> processes</w:t>
      </w:r>
      <w:r w:rsidR="07CAE3F8" w:rsidRPr="00C95105">
        <w:rPr>
          <w:rFonts w:asciiTheme="minorHAnsi" w:hAnsiTheme="minorHAnsi" w:cstheme="minorHAnsi"/>
          <w:sz w:val="22"/>
          <w:szCs w:val="22"/>
        </w:rPr>
        <w:t xml:space="preserve">. </w:t>
      </w:r>
      <w:r w:rsidR="5D514D59" w:rsidRPr="00C95105">
        <w:rPr>
          <w:rFonts w:asciiTheme="minorHAnsi" w:hAnsiTheme="minorHAnsi" w:cstheme="minorHAnsi"/>
          <w:sz w:val="22"/>
          <w:szCs w:val="22"/>
        </w:rPr>
        <w:t xml:space="preserve">These trails have studied the </w:t>
      </w:r>
      <w:r w:rsidR="1E2488F3" w:rsidRPr="00C95105">
        <w:rPr>
          <w:rFonts w:asciiTheme="minorHAnsi" w:hAnsiTheme="minorHAnsi" w:cstheme="minorHAnsi"/>
          <w:sz w:val="22"/>
          <w:szCs w:val="22"/>
        </w:rPr>
        <w:t>capacity of A</w:t>
      </w:r>
      <w:r w:rsidR="5D514D59" w:rsidRPr="00C95105">
        <w:rPr>
          <w:rFonts w:asciiTheme="minorHAnsi" w:hAnsiTheme="minorHAnsi" w:cstheme="minorHAnsi"/>
          <w:sz w:val="22"/>
          <w:szCs w:val="22"/>
        </w:rPr>
        <w:t xml:space="preserve">AP </w:t>
      </w:r>
      <w:r w:rsidR="1E2488F3" w:rsidRPr="00C95105">
        <w:rPr>
          <w:rFonts w:asciiTheme="minorHAnsi" w:hAnsiTheme="minorHAnsi" w:cstheme="minorHAnsi"/>
          <w:sz w:val="22"/>
          <w:szCs w:val="22"/>
        </w:rPr>
        <w:t xml:space="preserve">to reduce discrimination based on </w:t>
      </w:r>
      <w:r w:rsidR="27D45FC2" w:rsidRPr="00C95105">
        <w:rPr>
          <w:rFonts w:asciiTheme="minorHAnsi" w:hAnsiTheme="minorHAnsi" w:cstheme="minorHAnsi"/>
          <w:sz w:val="22"/>
          <w:szCs w:val="22"/>
        </w:rPr>
        <w:t xml:space="preserve">a range of attributes, including </w:t>
      </w:r>
      <w:r w:rsidR="1E2488F3" w:rsidRPr="00C95105">
        <w:rPr>
          <w:rFonts w:asciiTheme="minorHAnsi" w:hAnsiTheme="minorHAnsi" w:cstheme="minorHAnsi"/>
          <w:sz w:val="22"/>
          <w:szCs w:val="22"/>
        </w:rPr>
        <w:t>gender</w:t>
      </w:r>
      <w:r w:rsidR="5D514D59" w:rsidRPr="00C95105">
        <w:rPr>
          <w:rFonts w:asciiTheme="minorHAnsi" w:hAnsiTheme="minorHAnsi" w:cstheme="minorHAnsi"/>
          <w:sz w:val="22"/>
          <w:szCs w:val="22"/>
        </w:rPr>
        <w:t>, ethnic</w:t>
      </w:r>
      <w:r w:rsidR="27D45FC2" w:rsidRPr="00C95105">
        <w:rPr>
          <w:rFonts w:asciiTheme="minorHAnsi" w:hAnsiTheme="minorHAnsi" w:cstheme="minorHAnsi"/>
          <w:sz w:val="22"/>
          <w:szCs w:val="22"/>
        </w:rPr>
        <w:t xml:space="preserve">ity, age, </w:t>
      </w:r>
      <w:r w:rsidR="00C97B14" w:rsidRPr="00C95105">
        <w:rPr>
          <w:rFonts w:asciiTheme="minorHAnsi" w:hAnsiTheme="minorHAnsi" w:cstheme="minorHAnsi"/>
          <w:sz w:val="22"/>
          <w:szCs w:val="22"/>
        </w:rPr>
        <w:t xml:space="preserve">weight, socio-economic </w:t>
      </w:r>
      <w:r w:rsidR="1E2488F3" w:rsidRPr="00C95105">
        <w:rPr>
          <w:rFonts w:asciiTheme="minorHAnsi" w:hAnsiTheme="minorHAnsi" w:cstheme="minorHAnsi"/>
          <w:sz w:val="22"/>
          <w:szCs w:val="22"/>
        </w:rPr>
        <w:t xml:space="preserve">status, and </w:t>
      </w:r>
      <w:r w:rsidR="27D45FC2" w:rsidRPr="00C95105">
        <w:rPr>
          <w:rFonts w:asciiTheme="minorHAnsi" w:hAnsiTheme="minorHAnsi" w:cstheme="minorHAnsi"/>
          <w:sz w:val="22"/>
          <w:szCs w:val="22"/>
        </w:rPr>
        <w:t xml:space="preserve">prestige of university attended. </w:t>
      </w:r>
      <w:r w:rsidR="1CCF42BB" w:rsidRPr="00C95105">
        <w:rPr>
          <w:rFonts w:asciiTheme="minorHAnsi" w:hAnsiTheme="minorHAnsi" w:cstheme="minorHAnsi"/>
          <w:sz w:val="22"/>
          <w:szCs w:val="22"/>
        </w:rPr>
        <w:t xml:space="preserve">However, </w:t>
      </w:r>
      <w:r w:rsidR="34CFA529" w:rsidRPr="00C95105">
        <w:rPr>
          <w:rFonts w:asciiTheme="minorHAnsi" w:hAnsiTheme="minorHAnsi" w:cstheme="minorHAnsi"/>
          <w:sz w:val="22"/>
          <w:szCs w:val="22"/>
        </w:rPr>
        <w:t>these studies h</w:t>
      </w:r>
      <w:r w:rsidR="0FDFE769" w:rsidRPr="00C95105">
        <w:rPr>
          <w:rFonts w:asciiTheme="minorHAnsi" w:hAnsiTheme="minorHAnsi" w:cstheme="minorHAnsi"/>
          <w:sz w:val="22"/>
          <w:szCs w:val="22"/>
        </w:rPr>
        <w:t>a</w:t>
      </w:r>
      <w:r w:rsidR="34CFA529" w:rsidRPr="00C95105">
        <w:rPr>
          <w:rFonts w:asciiTheme="minorHAnsi" w:hAnsiTheme="minorHAnsi" w:cstheme="minorHAnsi"/>
          <w:sz w:val="22"/>
          <w:szCs w:val="22"/>
        </w:rPr>
        <w:t>ve reported</w:t>
      </w:r>
      <w:r w:rsidR="1CCF42BB" w:rsidRPr="00C95105">
        <w:rPr>
          <w:rFonts w:asciiTheme="minorHAnsi" w:hAnsiTheme="minorHAnsi" w:cstheme="minorHAnsi"/>
          <w:sz w:val="22"/>
          <w:szCs w:val="22"/>
        </w:rPr>
        <w:t xml:space="preserve"> variability </w:t>
      </w:r>
      <w:r w:rsidR="6A969A8D" w:rsidRPr="00C95105">
        <w:rPr>
          <w:rFonts w:asciiTheme="minorHAnsi" w:hAnsiTheme="minorHAnsi" w:cstheme="minorHAnsi"/>
          <w:sz w:val="22"/>
          <w:szCs w:val="22"/>
        </w:rPr>
        <w:t xml:space="preserve">in the effectiveness of </w:t>
      </w:r>
      <w:r w:rsidR="34CFA529" w:rsidRPr="00C95105">
        <w:rPr>
          <w:rFonts w:asciiTheme="minorHAnsi" w:hAnsiTheme="minorHAnsi" w:cstheme="minorHAnsi"/>
          <w:sz w:val="22"/>
          <w:szCs w:val="22"/>
        </w:rPr>
        <w:t>AAP</w:t>
      </w:r>
      <w:r w:rsidR="6A969A8D" w:rsidRPr="00C95105">
        <w:rPr>
          <w:rFonts w:asciiTheme="minorHAnsi" w:hAnsiTheme="minorHAnsi" w:cstheme="minorHAnsi"/>
          <w:sz w:val="22"/>
          <w:szCs w:val="22"/>
        </w:rPr>
        <w:t>, leading to a range of questions we want to address in the current review:</w:t>
      </w:r>
    </w:p>
    <w:p w14:paraId="26851242" w14:textId="1B03270C" w:rsidR="00733775" w:rsidRPr="00C95105" w:rsidRDefault="00733775" w:rsidP="0093280F">
      <w:pPr>
        <w:pStyle w:val="ListParagraph"/>
        <w:numPr>
          <w:ilvl w:val="0"/>
          <w:numId w:val="5"/>
        </w:numPr>
        <w:spacing w:after="120"/>
        <w:ind w:left="567" w:hanging="141"/>
        <w:rPr>
          <w:rFonts w:asciiTheme="minorHAnsi" w:hAnsiTheme="minorHAnsi" w:cstheme="minorHAnsi"/>
          <w:sz w:val="22"/>
          <w:szCs w:val="22"/>
        </w:rPr>
      </w:pPr>
      <w:bookmarkStart w:id="105" w:name="_Toc96866409"/>
      <w:bookmarkStart w:id="106" w:name="_Toc96866611"/>
      <w:bookmarkStart w:id="107" w:name="_Toc96878278"/>
      <w:r w:rsidRPr="00C95105">
        <w:rPr>
          <w:rFonts w:asciiTheme="minorHAnsi" w:hAnsiTheme="minorHAnsi" w:cstheme="minorHAnsi"/>
          <w:sz w:val="22"/>
          <w:szCs w:val="22"/>
        </w:rPr>
        <w:t xml:space="preserve">Are AAP effective at reducing discrimination towards women and other minority groups in </w:t>
      </w:r>
      <w:r w:rsidR="00DA3486" w:rsidRPr="00C95105">
        <w:rPr>
          <w:rFonts w:asciiTheme="minorHAnsi" w:hAnsiTheme="minorHAnsi" w:cstheme="minorHAnsi"/>
          <w:sz w:val="22"/>
          <w:szCs w:val="22"/>
        </w:rPr>
        <w:t>shortlisting and job offers?</w:t>
      </w:r>
      <w:bookmarkEnd w:id="105"/>
      <w:bookmarkEnd w:id="106"/>
      <w:bookmarkEnd w:id="107"/>
    </w:p>
    <w:p w14:paraId="6A62BFD8" w14:textId="1BC30C8C" w:rsidR="00DA3486" w:rsidRPr="00C95105" w:rsidRDefault="00DA3486" w:rsidP="0093280F">
      <w:pPr>
        <w:pStyle w:val="ListParagraph"/>
        <w:numPr>
          <w:ilvl w:val="0"/>
          <w:numId w:val="5"/>
        </w:numPr>
        <w:spacing w:after="120"/>
        <w:ind w:left="567" w:hanging="141"/>
        <w:rPr>
          <w:rFonts w:asciiTheme="minorHAnsi" w:hAnsiTheme="minorHAnsi" w:cstheme="minorHAnsi"/>
          <w:sz w:val="22"/>
          <w:szCs w:val="22"/>
        </w:rPr>
      </w:pPr>
      <w:bookmarkStart w:id="108" w:name="_Toc96866410"/>
      <w:bookmarkStart w:id="109" w:name="_Toc96866612"/>
      <w:bookmarkStart w:id="110" w:name="_Toc96878279"/>
      <w:r w:rsidRPr="00C95105">
        <w:rPr>
          <w:rFonts w:asciiTheme="minorHAnsi" w:hAnsiTheme="minorHAnsi" w:cstheme="minorHAnsi"/>
          <w:sz w:val="22"/>
          <w:szCs w:val="22"/>
        </w:rPr>
        <w:t xml:space="preserve">Under what </w:t>
      </w:r>
      <w:r w:rsidR="000275A9" w:rsidRPr="00C95105">
        <w:rPr>
          <w:rFonts w:asciiTheme="minorHAnsi" w:hAnsiTheme="minorHAnsi" w:cstheme="minorHAnsi"/>
          <w:sz w:val="22"/>
          <w:szCs w:val="22"/>
        </w:rPr>
        <w:t xml:space="preserve">institutional/people management </w:t>
      </w:r>
      <w:r w:rsidRPr="00C95105">
        <w:rPr>
          <w:rFonts w:asciiTheme="minorHAnsi" w:hAnsiTheme="minorHAnsi" w:cstheme="minorHAnsi"/>
          <w:sz w:val="22"/>
          <w:szCs w:val="22"/>
        </w:rPr>
        <w:t xml:space="preserve">conditions </w:t>
      </w:r>
      <w:r w:rsidR="000275A9" w:rsidRPr="00C95105">
        <w:rPr>
          <w:rFonts w:asciiTheme="minorHAnsi" w:hAnsiTheme="minorHAnsi" w:cstheme="minorHAnsi"/>
          <w:sz w:val="22"/>
          <w:szCs w:val="22"/>
        </w:rPr>
        <w:t>are AAP more likely to be effective</w:t>
      </w:r>
      <w:r w:rsidR="0095418C" w:rsidRPr="00C95105">
        <w:rPr>
          <w:rFonts w:asciiTheme="minorHAnsi" w:hAnsiTheme="minorHAnsi" w:cstheme="minorHAnsi"/>
          <w:sz w:val="22"/>
          <w:szCs w:val="22"/>
        </w:rPr>
        <w:t xml:space="preserve"> at reducing discrimination towards women and other minority groups in shortlisting and job offers</w:t>
      </w:r>
      <w:r w:rsidR="000275A9" w:rsidRPr="00C95105">
        <w:rPr>
          <w:rFonts w:asciiTheme="minorHAnsi" w:hAnsiTheme="minorHAnsi" w:cstheme="minorHAnsi"/>
          <w:sz w:val="22"/>
          <w:szCs w:val="22"/>
        </w:rPr>
        <w:t>?</w:t>
      </w:r>
      <w:bookmarkEnd w:id="108"/>
      <w:bookmarkEnd w:id="109"/>
      <w:bookmarkEnd w:id="110"/>
    </w:p>
    <w:p w14:paraId="3E1B6FC6" w14:textId="46CA0536" w:rsidR="000275A9" w:rsidRPr="00C95105" w:rsidRDefault="000275A9" w:rsidP="0093280F">
      <w:pPr>
        <w:pStyle w:val="ListParagraph"/>
        <w:numPr>
          <w:ilvl w:val="0"/>
          <w:numId w:val="5"/>
        </w:numPr>
        <w:spacing w:after="120"/>
        <w:ind w:left="567" w:hanging="141"/>
        <w:rPr>
          <w:rFonts w:asciiTheme="minorHAnsi" w:hAnsiTheme="minorHAnsi" w:cstheme="minorHAnsi"/>
          <w:sz w:val="22"/>
          <w:szCs w:val="22"/>
        </w:rPr>
      </w:pPr>
      <w:bookmarkStart w:id="111" w:name="_Toc96866411"/>
      <w:bookmarkStart w:id="112" w:name="_Toc96866613"/>
      <w:bookmarkStart w:id="113" w:name="_Toc96878280"/>
      <w:r w:rsidRPr="00C95105">
        <w:rPr>
          <w:rFonts w:asciiTheme="minorHAnsi" w:hAnsiTheme="minorHAnsi" w:cstheme="minorHAnsi"/>
          <w:sz w:val="22"/>
          <w:szCs w:val="22"/>
        </w:rPr>
        <w:t xml:space="preserve">What attributes of AAP make them more effective at reducing </w:t>
      </w:r>
      <w:r w:rsidR="0095418C" w:rsidRPr="00C95105">
        <w:rPr>
          <w:rFonts w:asciiTheme="minorHAnsi" w:hAnsiTheme="minorHAnsi" w:cstheme="minorHAnsi"/>
          <w:sz w:val="22"/>
          <w:szCs w:val="22"/>
        </w:rPr>
        <w:t>discrimination towards women and other minority groups in shortlisting and job offers</w:t>
      </w:r>
      <w:r w:rsidR="00132EEC" w:rsidRPr="00C95105">
        <w:rPr>
          <w:rFonts w:asciiTheme="minorHAnsi" w:hAnsiTheme="minorHAnsi" w:cstheme="minorHAnsi"/>
          <w:sz w:val="22"/>
          <w:szCs w:val="22"/>
        </w:rPr>
        <w:t>?</w:t>
      </w:r>
      <w:bookmarkEnd w:id="111"/>
      <w:bookmarkEnd w:id="112"/>
      <w:bookmarkEnd w:id="113"/>
    </w:p>
    <w:p w14:paraId="739B7FDC" w14:textId="4CB11ED0" w:rsidR="005C2982" w:rsidRPr="00C95105" w:rsidRDefault="005C2982" w:rsidP="0093280F">
      <w:pPr>
        <w:pStyle w:val="ListParagraph"/>
        <w:numPr>
          <w:ilvl w:val="0"/>
          <w:numId w:val="5"/>
        </w:numPr>
        <w:spacing w:after="120"/>
        <w:ind w:left="567" w:hanging="141"/>
        <w:rPr>
          <w:rFonts w:asciiTheme="minorHAnsi" w:hAnsiTheme="minorHAnsi" w:cstheme="minorHAnsi"/>
          <w:sz w:val="22"/>
          <w:szCs w:val="22"/>
        </w:rPr>
      </w:pPr>
      <w:bookmarkStart w:id="114" w:name="_Toc96866412"/>
      <w:bookmarkStart w:id="115" w:name="_Toc96866614"/>
      <w:bookmarkStart w:id="116" w:name="_Toc96878281"/>
      <w:r w:rsidRPr="00C95105">
        <w:rPr>
          <w:rFonts w:asciiTheme="minorHAnsi" w:hAnsiTheme="minorHAnsi" w:cstheme="minorHAnsi"/>
          <w:sz w:val="22"/>
          <w:szCs w:val="22"/>
        </w:rPr>
        <w:t xml:space="preserve">What unintended consequences </w:t>
      </w:r>
      <w:r w:rsidR="004D118D" w:rsidRPr="00C95105">
        <w:rPr>
          <w:rFonts w:asciiTheme="minorHAnsi" w:hAnsiTheme="minorHAnsi" w:cstheme="minorHAnsi"/>
          <w:sz w:val="22"/>
          <w:szCs w:val="22"/>
        </w:rPr>
        <w:t>are associated with the implementation of AAP?</w:t>
      </w:r>
      <w:bookmarkEnd w:id="114"/>
      <w:bookmarkEnd w:id="115"/>
      <w:bookmarkEnd w:id="116"/>
    </w:p>
    <w:p w14:paraId="7392EF66" w14:textId="51670AEA" w:rsidR="00055D51" w:rsidRPr="00C95105" w:rsidRDefault="00626212"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 </w:t>
      </w:r>
    </w:p>
    <w:p w14:paraId="39C7F512" w14:textId="544651B5" w:rsidR="009072A2" w:rsidRPr="00C95105" w:rsidRDefault="009072A2" w:rsidP="0093280F">
      <w:pPr>
        <w:pStyle w:val="Heading2"/>
        <w:numPr>
          <w:ilvl w:val="1"/>
          <w:numId w:val="8"/>
        </w:numPr>
        <w:spacing w:before="0" w:after="120"/>
        <w:ind w:left="426" w:hanging="426"/>
        <w:rPr>
          <w:rFonts w:asciiTheme="minorHAnsi" w:hAnsiTheme="minorHAnsi" w:cstheme="minorHAnsi"/>
          <w:b/>
          <w:bCs/>
        </w:rPr>
      </w:pPr>
      <w:bookmarkStart w:id="117" w:name="_Toc96957670"/>
      <w:r w:rsidRPr="00C95105">
        <w:rPr>
          <w:rFonts w:asciiTheme="minorHAnsi" w:hAnsiTheme="minorHAnsi" w:cstheme="minorHAnsi"/>
          <w:b/>
          <w:bCs/>
        </w:rPr>
        <w:t>Methods</w:t>
      </w:r>
      <w:bookmarkEnd w:id="117"/>
    </w:p>
    <w:p w14:paraId="063EA15D" w14:textId="2A21CB71" w:rsidR="009072A2" w:rsidRPr="00C95105" w:rsidRDefault="009072A2" w:rsidP="00C5313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This project constitutes a systematic review, which identifies</w:t>
      </w:r>
      <w:r w:rsidR="003D13F8" w:rsidRPr="00C95105">
        <w:rPr>
          <w:rFonts w:asciiTheme="minorHAnsi" w:hAnsiTheme="minorHAnsi" w:cstheme="minorHAnsi"/>
          <w:sz w:val="22"/>
          <w:szCs w:val="22"/>
        </w:rPr>
        <w:t xml:space="preserve">, selects, </w:t>
      </w:r>
      <w:r w:rsidRPr="00C95105">
        <w:rPr>
          <w:rFonts w:asciiTheme="minorHAnsi" w:hAnsiTheme="minorHAnsi" w:cstheme="minorHAnsi"/>
          <w:sz w:val="22"/>
          <w:szCs w:val="22"/>
        </w:rPr>
        <w:t>appraises</w:t>
      </w:r>
      <w:r w:rsidR="390FAC8B" w:rsidRPr="00C95105">
        <w:rPr>
          <w:rFonts w:asciiTheme="minorHAnsi" w:hAnsiTheme="minorHAnsi" w:cstheme="minorHAnsi"/>
          <w:sz w:val="22"/>
          <w:szCs w:val="22"/>
        </w:rPr>
        <w:t>,</w:t>
      </w:r>
      <w:r w:rsidR="003D13F8" w:rsidRPr="00C95105">
        <w:rPr>
          <w:rFonts w:asciiTheme="minorHAnsi" w:hAnsiTheme="minorHAnsi" w:cstheme="minorHAnsi"/>
          <w:sz w:val="22"/>
          <w:szCs w:val="22"/>
        </w:rPr>
        <w:t xml:space="preserve"> and </w:t>
      </w:r>
      <w:r w:rsidR="00B72ECB" w:rsidRPr="00C95105">
        <w:rPr>
          <w:rFonts w:asciiTheme="minorHAnsi" w:hAnsiTheme="minorHAnsi" w:cstheme="minorHAnsi"/>
          <w:sz w:val="22"/>
          <w:szCs w:val="22"/>
        </w:rPr>
        <w:t>systematically summarises</w:t>
      </w:r>
      <w:r w:rsidRPr="00C95105">
        <w:rPr>
          <w:rFonts w:asciiTheme="minorHAnsi" w:hAnsiTheme="minorHAnsi" w:cstheme="minorHAnsi"/>
          <w:sz w:val="22"/>
          <w:szCs w:val="22"/>
        </w:rPr>
        <w:t xml:space="preserve"> all the available empirical evidence </w:t>
      </w:r>
      <w:r w:rsidR="004E1F35" w:rsidRPr="00C95105">
        <w:rPr>
          <w:rFonts w:asciiTheme="minorHAnsi" w:hAnsiTheme="minorHAnsi" w:cstheme="minorHAnsi"/>
          <w:sz w:val="22"/>
          <w:szCs w:val="22"/>
        </w:rPr>
        <w:t>(</w:t>
      </w:r>
      <w:r w:rsidR="000C3F06" w:rsidRPr="00C95105">
        <w:rPr>
          <w:rFonts w:asciiTheme="minorHAnsi" w:hAnsiTheme="minorHAnsi" w:cstheme="minorHAnsi"/>
          <w:sz w:val="22"/>
          <w:szCs w:val="22"/>
        </w:rPr>
        <w:t>e.g.,</w:t>
      </w:r>
      <w:r w:rsidR="004E1F35" w:rsidRPr="00C95105">
        <w:rPr>
          <w:rFonts w:asciiTheme="minorHAnsi" w:hAnsiTheme="minorHAnsi" w:cstheme="minorHAnsi"/>
          <w:sz w:val="22"/>
          <w:szCs w:val="22"/>
        </w:rPr>
        <w:t xml:space="preserve"> peer-review</w:t>
      </w:r>
      <w:r w:rsidR="000A2900" w:rsidRPr="00C95105">
        <w:rPr>
          <w:rFonts w:asciiTheme="minorHAnsi" w:hAnsiTheme="minorHAnsi" w:cstheme="minorHAnsi"/>
          <w:sz w:val="22"/>
          <w:szCs w:val="22"/>
        </w:rPr>
        <w:t>ed</w:t>
      </w:r>
      <w:r w:rsidR="000C3F06" w:rsidRPr="00C95105">
        <w:rPr>
          <w:rFonts w:asciiTheme="minorHAnsi" w:hAnsiTheme="minorHAnsi" w:cstheme="minorHAnsi"/>
          <w:sz w:val="22"/>
          <w:szCs w:val="22"/>
        </w:rPr>
        <w:t xml:space="preserve"> articles</w:t>
      </w:r>
      <w:r w:rsidR="000A2900" w:rsidRPr="00C95105">
        <w:rPr>
          <w:rFonts w:asciiTheme="minorHAnsi" w:hAnsiTheme="minorHAnsi" w:cstheme="minorHAnsi"/>
          <w:sz w:val="22"/>
          <w:szCs w:val="22"/>
        </w:rPr>
        <w:t xml:space="preserve">, </w:t>
      </w:r>
      <w:r w:rsidR="007167D3" w:rsidRPr="00C95105">
        <w:rPr>
          <w:rFonts w:asciiTheme="minorHAnsi" w:hAnsiTheme="minorHAnsi" w:cstheme="minorHAnsi"/>
          <w:sz w:val="22"/>
          <w:szCs w:val="22"/>
        </w:rPr>
        <w:t>white papers</w:t>
      </w:r>
      <w:r w:rsidR="004E1F35" w:rsidRPr="00C95105">
        <w:rPr>
          <w:rFonts w:asciiTheme="minorHAnsi" w:hAnsiTheme="minorHAnsi" w:cstheme="minorHAnsi"/>
          <w:sz w:val="22"/>
          <w:szCs w:val="22"/>
        </w:rPr>
        <w:t xml:space="preserve">, </w:t>
      </w:r>
      <w:r w:rsidR="00DC1A76" w:rsidRPr="00C95105">
        <w:rPr>
          <w:rFonts w:asciiTheme="minorHAnsi" w:hAnsiTheme="minorHAnsi" w:cstheme="minorHAnsi"/>
          <w:sz w:val="22"/>
          <w:szCs w:val="22"/>
        </w:rPr>
        <w:t>unpublished datasets and manuscri</w:t>
      </w:r>
      <w:r w:rsidR="00ED6CB8" w:rsidRPr="00C95105">
        <w:rPr>
          <w:rFonts w:asciiTheme="minorHAnsi" w:hAnsiTheme="minorHAnsi" w:cstheme="minorHAnsi"/>
          <w:sz w:val="22"/>
          <w:szCs w:val="22"/>
        </w:rPr>
        <w:t>pts</w:t>
      </w:r>
      <w:r w:rsidR="004E1F35" w:rsidRPr="00C95105">
        <w:rPr>
          <w:rFonts w:asciiTheme="minorHAnsi" w:hAnsiTheme="minorHAnsi" w:cstheme="minorHAnsi"/>
          <w:sz w:val="22"/>
          <w:szCs w:val="22"/>
        </w:rPr>
        <w:t xml:space="preserve">) </w:t>
      </w:r>
      <w:r w:rsidRPr="00C95105">
        <w:rPr>
          <w:rFonts w:asciiTheme="minorHAnsi" w:hAnsiTheme="minorHAnsi" w:cstheme="minorHAnsi"/>
          <w:sz w:val="22"/>
          <w:szCs w:val="22"/>
        </w:rPr>
        <w:t>to answer our specified research question</w:t>
      </w:r>
      <w:r w:rsidR="008E658F" w:rsidRPr="00C95105">
        <w:rPr>
          <w:rFonts w:asciiTheme="minorHAnsi" w:hAnsiTheme="minorHAnsi" w:cstheme="minorHAnsi"/>
          <w:sz w:val="22"/>
          <w:szCs w:val="22"/>
        </w:rPr>
        <w:t>s</w:t>
      </w:r>
      <w:r w:rsidR="00B72ECB" w:rsidRPr="00C95105">
        <w:rPr>
          <w:rFonts w:asciiTheme="minorHAnsi" w:hAnsiTheme="minorHAnsi" w:cstheme="minorHAnsi"/>
          <w:sz w:val="22"/>
          <w:szCs w:val="22"/>
        </w:rPr>
        <w:t xml:space="preserve"> (</w:t>
      </w:r>
      <w:r w:rsidR="006D6972" w:rsidRPr="00C95105">
        <w:rPr>
          <w:rFonts w:asciiTheme="minorHAnsi" w:hAnsiTheme="minorHAnsi" w:cstheme="minorHAnsi"/>
          <w:sz w:val="22"/>
          <w:szCs w:val="22"/>
        </w:rPr>
        <w:t>Borenstein, Hedges, Higgins, &amp; Rothstein, 2009</w:t>
      </w:r>
      <w:r w:rsidR="00943EBA" w:rsidRPr="00C95105">
        <w:rPr>
          <w:rFonts w:asciiTheme="minorHAnsi" w:hAnsiTheme="minorHAnsi" w:cstheme="minorHAnsi"/>
          <w:sz w:val="22"/>
          <w:szCs w:val="22"/>
        </w:rPr>
        <w:t xml:space="preserve">; </w:t>
      </w:r>
      <w:r w:rsidR="008A65E4" w:rsidRPr="00C95105">
        <w:rPr>
          <w:rFonts w:asciiTheme="minorHAnsi" w:hAnsiTheme="minorHAnsi" w:cstheme="minorHAnsi"/>
          <w:sz w:val="22"/>
          <w:szCs w:val="22"/>
        </w:rPr>
        <w:t>Cooper, Hedges &amp; Valentine, 2009</w:t>
      </w:r>
      <w:r w:rsidR="00B72ECB" w:rsidRPr="00C95105">
        <w:rPr>
          <w:rFonts w:asciiTheme="minorHAnsi" w:hAnsiTheme="minorHAnsi" w:cstheme="minorHAnsi"/>
          <w:sz w:val="22"/>
          <w:szCs w:val="22"/>
        </w:rPr>
        <w:t>)</w:t>
      </w:r>
      <w:r w:rsidRPr="00C95105">
        <w:rPr>
          <w:rFonts w:asciiTheme="minorHAnsi" w:hAnsiTheme="minorHAnsi" w:cstheme="minorHAnsi"/>
          <w:sz w:val="22"/>
          <w:szCs w:val="22"/>
        </w:rPr>
        <w:t xml:space="preserve">. Systematic reviews are conducted using a transparent and rigorous process </w:t>
      </w:r>
      <w:r w:rsidR="00B72ECB" w:rsidRPr="00C95105">
        <w:rPr>
          <w:rFonts w:asciiTheme="minorHAnsi" w:hAnsiTheme="minorHAnsi" w:cstheme="minorHAnsi"/>
          <w:sz w:val="22"/>
          <w:szCs w:val="22"/>
        </w:rPr>
        <w:t xml:space="preserve">(Moher, Liberati, Tetzlaff, Altman &amp; </w:t>
      </w:r>
      <w:r w:rsidR="00034C6E" w:rsidRPr="00C95105">
        <w:rPr>
          <w:rFonts w:asciiTheme="minorHAnsi" w:hAnsiTheme="minorHAnsi" w:cstheme="minorHAnsi"/>
          <w:sz w:val="22"/>
          <w:szCs w:val="22"/>
        </w:rPr>
        <w:t>The</w:t>
      </w:r>
      <w:r w:rsidR="70C51AF1" w:rsidRPr="00C95105">
        <w:rPr>
          <w:rFonts w:asciiTheme="minorHAnsi" w:hAnsiTheme="minorHAnsi" w:cstheme="minorHAnsi"/>
          <w:sz w:val="22"/>
          <w:szCs w:val="22"/>
        </w:rPr>
        <w:t xml:space="preserve"> Prisma Group</w:t>
      </w:r>
      <w:r w:rsidR="00034C6E" w:rsidRPr="00C95105">
        <w:rPr>
          <w:rFonts w:asciiTheme="minorHAnsi" w:hAnsiTheme="minorHAnsi" w:cstheme="minorHAnsi"/>
          <w:sz w:val="22"/>
          <w:szCs w:val="22"/>
        </w:rPr>
        <w:t xml:space="preserve">, </w:t>
      </w:r>
      <w:r w:rsidR="00B72ECB" w:rsidRPr="00C95105">
        <w:rPr>
          <w:rFonts w:asciiTheme="minorHAnsi" w:hAnsiTheme="minorHAnsi" w:cstheme="minorHAnsi"/>
          <w:sz w:val="22"/>
          <w:szCs w:val="22"/>
        </w:rPr>
        <w:t xml:space="preserve">2009) </w:t>
      </w:r>
      <w:r w:rsidRPr="00C95105">
        <w:rPr>
          <w:rFonts w:asciiTheme="minorHAnsi" w:hAnsiTheme="minorHAnsi" w:cstheme="minorHAnsi"/>
          <w:sz w:val="22"/>
          <w:szCs w:val="22"/>
        </w:rPr>
        <w:t xml:space="preserve">with the goal of </w:t>
      </w:r>
      <w:r w:rsidR="0002180F" w:rsidRPr="00C95105">
        <w:rPr>
          <w:rFonts w:asciiTheme="minorHAnsi" w:hAnsiTheme="minorHAnsi" w:cstheme="minorHAnsi"/>
          <w:sz w:val="22"/>
          <w:szCs w:val="22"/>
        </w:rPr>
        <w:t>advancing scientific knowledge and</w:t>
      </w:r>
      <w:r w:rsidR="00630DE4" w:rsidRPr="00C95105">
        <w:rPr>
          <w:rFonts w:asciiTheme="minorHAnsi" w:hAnsiTheme="minorHAnsi" w:cstheme="minorHAnsi"/>
          <w:sz w:val="22"/>
          <w:szCs w:val="22"/>
        </w:rPr>
        <w:t xml:space="preserve"> </w:t>
      </w:r>
      <w:r w:rsidRPr="00C95105">
        <w:rPr>
          <w:rFonts w:asciiTheme="minorHAnsi" w:hAnsiTheme="minorHAnsi" w:cstheme="minorHAnsi"/>
          <w:sz w:val="22"/>
          <w:szCs w:val="22"/>
        </w:rPr>
        <w:t xml:space="preserve">producing comprehensive and reliable recommendations. </w:t>
      </w:r>
    </w:p>
    <w:p w14:paraId="6D86765B" w14:textId="77777777" w:rsidR="00C53133" w:rsidRPr="00C95105" w:rsidRDefault="00C53133" w:rsidP="005D5F97">
      <w:pPr>
        <w:spacing w:after="120"/>
        <w:ind w:firstLine="720"/>
        <w:rPr>
          <w:rFonts w:asciiTheme="minorHAnsi" w:hAnsiTheme="minorHAnsi" w:cstheme="minorHAnsi"/>
          <w:sz w:val="22"/>
          <w:szCs w:val="22"/>
        </w:rPr>
      </w:pPr>
    </w:p>
    <w:p w14:paraId="2BEB3169" w14:textId="03C0C78E" w:rsidR="009072A2" w:rsidRPr="00C95105" w:rsidRDefault="009072A2" w:rsidP="0093280F">
      <w:pPr>
        <w:pStyle w:val="Heading3"/>
        <w:numPr>
          <w:ilvl w:val="2"/>
          <w:numId w:val="8"/>
        </w:numPr>
        <w:spacing w:before="0" w:after="120"/>
        <w:ind w:left="567" w:hanging="567"/>
        <w:rPr>
          <w:rFonts w:asciiTheme="minorHAnsi" w:hAnsiTheme="minorHAnsi" w:cstheme="minorHAnsi"/>
          <w:b/>
          <w:bCs/>
          <w:i/>
          <w:iCs/>
          <w:color w:val="2F5496" w:themeColor="accent1" w:themeShade="BF"/>
          <w:sz w:val="22"/>
          <w:szCs w:val="22"/>
        </w:rPr>
      </w:pPr>
      <w:bookmarkStart w:id="118" w:name="_Toc96957671"/>
      <w:r w:rsidRPr="00C95105">
        <w:rPr>
          <w:rFonts w:asciiTheme="minorHAnsi" w:hAnsiTheme="minorHAnsi" w:cstheme="minorHAnsi"/>
          <w:b/>
          <w:bCs/>
          <w:i/>
          <w:iCs/>
          <w:color w:val="2F5496" w:themeColor="accent1" w:themeShade="BF"/>
          <w:sz w:val="22"/>
          <w:szCs w:val="22"/>
        </w:rPr>
        <w:t>Eligibility</w:t>
      </w:r>
      <w:bookmarkEnd w:id="118"/>
    </w:p>
    <w:p w14:paraId="78D34383" w14:textId="77777777" w:rsidR="009072A2" w:rsidRPr="00C95105" w:rsidRDefault="009072A2" w:rsidP="00C5313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References were eligible for inclusion in the review if they met the following criteria:</w:t>
      </w:r>
    </w:p>
    <w:p w14:paraId="1E5F96CF" w14:textId="097D3468" w:rsidR="009072A2" w:rsidRPr="00C95105" w:rsidRDefault="009072A2" w:rsidP="0093280F">
      <w:pPr>
        <w:pStyle w:val="ListParagraph"/>
        <w:numPr>
          <w:ilvl w:val="0"/>
          <w:numId w:val="4"/>
        </w:numPr>
        <w:spacing w:after="120"/>
        <w:ind w:left="567" w:hanging="141"/>
        <w:rPr>
          <w:rFonts w:asciiTheme="minorHAnsi" w:hAnsiTheme="minorHAnsi" w:cstheme="minorHAnsi"/>
          <w:sz w:val="22"/>
          <w:szCs w:val="22"/>
        </w:rPr>
      </w:pPr>
      <w:bookmarkStart w:id="119" w:name="_Toc96866413"/>
      <w:bookmarkStart w:id="120" w:name="_Toc96866615"/>
      <w:bookmarkStart w:id="121" w:name="_Toc96878282"/>
      <w:r w:rsidRPr="00C95105">
        <w:rPr>
          <w:rFonts w:asciiTheme="minorHAnsi" w:hAnsiTheme="minorHAnsi" w:cstheme="minorHAnsi"/>
          <w:b/>
          <w:bCs/>
          <w:i/>
          <w:iCs/>
          <w:sz w:val="22"/>
          <w:szCs w:val="22"/>
        </w:rPr>
        <w:t>Intervention</w:t>
      </w:r>
      <w:r w:rsidRPr="00C95105">
        <w:rPr>
          <w:rFonts w:asciiTheme="minorHAnsi" w:hAnsiTheme="minorHAnsi" w:cstheme="minorHAnsi"/>
          <w:sz w:val="22"/>
          <w:szCs w:val="22"/>
        </w:rPr>
        <w:t>: At least one personal attribute must be anonymised</w:t>
      </w:r>
      <w:r w:rsidR="0065773A" w:rsidRPr="00C95105">
        <w:rPr>
          <w:rFonts w:asciiTheme="minorHAnsi" w:hAnsiTheme="minorHAnsi" w:cstheme="minorHAnsi"/>
          <w:sz w:val="22"/>
          <w:szCs w:val="22"/>
        </w:rPr>
        <w:t xml:space="preserve"> in the CVs/job applications.</w:t>
      </w:r>
      <w:r w:rsidRPr="00C95105">
        <w:rPr>
          <w:rFonts w:asciiTheme="minorHAnsi" w:hAnsiTheme="minorHAnsi" w:cstheme="minorHAnsi"/>
          <w:sz w:val="22"/>
          <w:szCs w:val="22"/>
        </w:rPr>
        <w:t xml:space="preserve"> </w:t>
      </w:r>
      <w:r w:rsidR="0065773A" w:rsidRPr="00C95105">
        <w:rPr>
          <w:rFonts w:asciiTheme="minorHAnsi" w:hAnsiTheme="minorHAnsi" w:cstheme="minorHAnsi"/>
          <w:sz w:val="22"/>
          <w:szCs w:val="22"/>
        </w:rPr>
        <w:t>H</w:t>
      </w:r>
      <w:r w:rsidRPr="00C95105">
        <w:rPr>
          <w:rFonts w:asciiTheme="minorHAnsi" w:hAnsiTheme="minorHAnsi" w:cstheme="minorHAnsi"/>
          <w:sz w:val="22"/>
          <w:szCs w:val="22"/>
        </w:rPr>
        <w:t>owever</w:t>
      </w:r>
      <w:r w:rsidR="0065773A" w:rsidRPr="00C95105">
        <w:rPr>
          <w:rFonts w:asciiTheme="minorHAnsi" w:hAnsiTheme="minorHAnsi" w:cstheme="minorHAnsi"/>
          <w:sz w:val="22"/>
          <w:szCs w:val="22"/>
        </w:rPr>
        <w:t>,</w:t>
      </w:r>
      <w:r w:rsidRPr="00C95105">
        <w:rPr>
          <w:rFonts w:asciiTheme="minorHAnsi" w:hAnsiTheme="minorHAnsi" w:cstheme="minorHAnsi"/>
          <w:sz w:val="22"/>
          <w:szCs w:val="22"/>
        </w:rPr>
        <w:t xml:space="preserve"> there </w:t>
      </w:r>
      <w:r w:rsidR="0065773A" w:rsidRPr="00C95105">
        <w:rPr>
          <w:rFonts w:asciiTheme="minorHAnsi" w:hAnsiTheme="minorHAnsi" w:cstheme="minorHAnsi"/>
          <w:sz w:val="22"/>
          <w:szCs w:val="22"/>
        </w:rPr>
        <w:t>were</w:t>
      </w:r>
      <w:r w:rsidRPr="00C95105">
        <w:rPr>
          <w:rFonts w:asciiTheme="minorHAnsi" w:hAnsiTheme="minorHAnsi" w:cstheme="minorHAnsi"/>
          <w:sz w:val="22"/>
          <w:szCs w:val="22"/>
        </w:rPr>
        <w:t xml:space="preserve"> no exclusions on the basis of what attribute is anonymised.</w:t>
      </w:r>
      <w:bookmarkEnd w:id="119"/>
      <w:bookmarkEnd w:id="120"/>
      <w:bookmarkEnd w:id="121"/>
    </w:p>
    <w:p w14:paraId="5429351A" w14:textId="4761B05A" w:rsidR="009072A2" w:rsidRPr="00C95105" w:rsidRDefault="009072A2" w:rsidP="0093280F">
      <w:pPr>
        <w:pStyle w:val="ListParagraph"/>
        <w:numPr>
          <w:ilvl w:val="0"/>
          <w:numId w:val="4"/>
        </w:numPr>
        <w:spacing w:after="120"/>
        <w:ind w:left="567" w:hanging="141"/>
        <w:rPr>
          <w:rFonts w:asciiTheme="minorHAnsi" w:hAnsiTheme="minorHAnsi" w:cstheme="minorHAnsi"/>
          <w:sz w:val="22"/>
          <w:szCs w:val="22"/>
        </w:rPr>
      </w:pPr>
      <w:bookmarkStart w:id="122" w:name="_Toc96866414"/>
      <w:bookmarkStart w:id="123" w:name="_Toc96866616"/>
      <w:bookmarkStart w:id="124" w:name="_Toc96878283"/>
      <w:r w:rsidRPr="00C95105">
        <w:rPr>
          <w:rFonts w:asciiTheme="minorHAnsi" w:hAnsiTheme="minorHAnsi" w:cstheme="minorHAnsi"/>
          <w:b/>
          <w:bCs/>
          <w:i/>
          <w:iCs/>
          <w:sz w:val="22"/>
          <w:szCs w:val="22"/>
        </w:rPr>
        <w:t>Study design</w:t>
      </w:r>
      <w:r w:rsidRPr="00C95105">
        <w:rPr>
          <w:rFonts w:asciiTheme="minorHAnsi" w:hAnsiTheme="minorHAnsi" w:cstheme="minorHAnsi"/>
          <w:i/>
          <w:iCs/>
          <w:sz w:val="22"/>
          <w:szCs w:val="22"/>
        </w:rPr>
        <w:t xml:space="preserve">: </w:t>
      </w:r>
      <w:r w:rsidRPr="00C95105">
        <w:rPr>
          <w:rFonts w:asciiTheme="minorHAnsi" w:hAnsiTheme="minorHAnsi" w:cstheme="minorHAnsi"/>
          <w:sz w:val="22"/>
          <w:szCs w:val="22"/>
        </w:rPr>
        <w:t xml:space="preserve">There must be a comparison condition, that is a baseline comparison, or a comparison group not subject to anonymisation. Consequently, studies were required to have a design that was </w:t>
      </w:r>
      <w:r w:rsidR="00B26F09" w:rsidRPr="00C95105">
        <w:rPr>
          <w:rFonts w:asciiTheme="minorHAnsi" w:hAnsiTheme="minorHAnsi" w:cstheme="minorHAnsi"/>
          <w:sz w:val="22"/>
          <w:szCs w:val="22"/>
        </w:rPr>
        <w:t xml:space="preserve">experimental in </w:t>
      </w:r>
      <w:r w:rsidR="008123C0" w:rsidRPr="00C95105">
        <w:rPr>
          <w:rFonts w:asciiTheme="minorHAnsi" w:hAnsiTheme="minorHAnsi" w:cstheme="minorHAnsi"/>
          <w:sz w:val="22"/>
          <w:szCs w:val="22"/>
        </w:rPr>
        <w:t>nature</w:t>
      </w:r>
      <w:r w:rsidR="00B26F09" w:rsidRPr="00C95105">
        <w:rPr>
          <w:rFonts w:asciiTheme="minorHAnsi" w:hAnsiTheme="minorHAnsi" w:cstheme="minorHAnsi"/>
          <w:sz w:val="22"/>
          <w:szCs w:val="22"/>
        </w:rPr>
        <w:t xml:space="preserve">: </w:t>
      </w:r>
      <w:r w:rsidRPr="00C95105">
        <w:rPr>
          <w:rFonts w:asciiTheme="minorHAnsi" w:hAnsiTheme="minorHAnsi" w:cstheme="minorHAnsi"/>
          <w:sz w:val="22"/>
          <w:szCs w:val="22"/>
        </w:rPr>
        <w:t>pre- and post-treatment, a randomised controlled trial, or quasi-experimental.</w:t>
      </w:r>
      <w:bookmarkEnd w:id="122"/>
      <w:bookmarkEnd w:id="123"/>
      <w:bookmarkEnd w:id="124"/>
    </w:p>
    <w:p w14:paraId="09B746D6" w14:textId="77777777" w:rsidR="00C53133" w:rsidRPr="00C95105" w:rsidRDefault="00C53133" w:rsidP="00C53133">
      <w:pPr>
        <w:pStyle w:val="ListParagraph"/>
        <w:spacing w:after="120"/>
        <w:ind w:left="567"/>
        <w:rPr>
          <w:rFonts w:asciiTheme="minorHAnsi" w:hAnsiTheme="minorHAnsi" w:cstheme="minorHAnsi"/>
          <w:sz w:val="22"/>
          <w:szCs w:val="22"/>
        </w:rPr>
      </w:pPr>
    </w:p>
    <w:p w14:paraId="77DA8400" w14:textId="0BC5FDC0" w:rsidR="009072A2" w:rsidRPr="00C95105" w:rsidRDefault="009072A2" w:rsidP="0093280F">
      <w:pPr>
        <w:pStyle w:val="Heading3"/>
        <w:numPr>
          <w:ilvl w:val="2"/>
          <w:numId w:val="8"/>
        </w:numPr>
        <w:spacing w:before="0" w:after="120"/>
        <w:ind w:left="567" w:hanging="567"/>
        <w:rPr>
          <w:rFonts w:asciiTheme="minorHAnsi" w:hAnsiTheme="minorHAnsi" w:cstheme="minorHAnsi"/>
          <w:b/>
          <w:bCs/>
          <w:i/>
          <w:iCs/>
          <w:color w:val="2F5496" w:themeColor="accent1" w:themeShade="BF"/>
          <w:sz w:val="22"/>
          <w:szCs w:val="22"/>
        </w:rPr>
      </w:pPr>
      <w:bookmarkStart w:id="125" w:name="_Toc96957672"/>
      <w:r w:rsidRPr="00C95105">
        <w:rPr>
          <w:rFonts w:asciiTheme="minorHAnsi" w:hAnsiTheme="minorHAnsi" w:cstheme="minorHAnsi"/>
          <w:b/>
          <w:bCs/>
          <w:i/>
          <w:iCs/>
          <w:color w:val="2F5496" w:themeColor="accent1" w:themeShade="BF"/>
          <w:sz w:val="22"/>
          <w:szCs w:val="22"/>
        </w:rPr>
        <w:t>Literature search</w:t>
      </w:r>
      <w:bookmarkEnd w:id="125"/>
    </w:p>
    <w:p w14:paraId="167BF157" w14:textId="49B11130" w:rsidR="00C53133" w:rsidRPr="00C95105" w:rsidRDefault="009072A2" w:rsidP="00C5313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A search string designed to capture references meeting these criteria was entered into more than 25 academic databases. </w:t>
      </w:r>
      <w:r w:rsidR="00074047" w:rsidRPr="00C95105">
        <w:rPr>
          <w:rFonts w:asciiTheme="minorHAnsi" w:hAnsiTheme="minorHAnsi" w:cstheme="minorHAnsi"/>
          <w:sz w:val="22"/>
          <w:szCs w:val="22"/>
        </w:rPr>
        <w:t>The following Boolean search string was entered into the databases</w:t>
      </w:r>
      <w:r w:rsidR="008A0B23" w:rsidRPr="00C95105">
        <w:rPr>
          <w:rFonts w:asciiTheme="minorHAnsi" w:hAnsiTheme="minorHAnsi" w:cstheme="minorHAnsi"/>
          <w:sz w:val="22"/>
          <w:szCs w:val="22"/>
        </w:rPr>
        <w:t xml:space="preserve"> in Table </w:t>
      </w:r>
      <w:r w:rsidR="009E6E3F" w:rsidRPr="00C95105">
        <w:rPr>
          <w:rFonts w:asciiTheme="minorHAnsi" w:hAnsiTheme="minorHAnsi" w:cstheme="minorHAnsi"/>
          <w:sz w:val="22"/>
          <w:szCs w:val="22"/>
        </w:rPr>
        <w:t>2.</w:t>
      </w:r>
      <w:r w:rsidR="008A0B23" w:rsidRPr="00C95105">
        <w:rPr>
          <w:rFonts w:asciiTheme="minorHAnsi" w:hAnsiTheme="minorHAnsi" w:cstheme="minorHAnsi"/>
          <w:sz w:val="22"/>
          <w:szCs w:val="22"/>
        </w:rPr>
        <w:t>1</w:t>
      </w:r>
      <w:r w:rsidR="00074047" w:rsidRPr="00C95105">
        <w:rPr>
          <w:rFonts w:asciiTheme="minorHAnsi" w:hAnsiTheme="minorHAnsi" w:cstheme="minorHAnsi"/>
          <w:sz w:val="22"/>
          <w:szCs w:val="22"/>
        </w:rPr>
        <w:t>: (anonym* OR blind* OR de-identif*) AND (recruit* OR hir* OR "job appl*" OR CV OR resume OR résumé OR curriculum).</w:t>
      </w:r>
      <w:r w:rsidR="001B5522" w:rsidRPr="00C95105">
        <w:rPr>
          <w:rFonts w:asciiTheme="minorHAnsi" w:hAnsiTheme="minorHAnsi" w:cstheme="minorHAnsi"/>
          <w:sz w:val="22"/>
          <w:szCs w:val="22"/>
        </w:rPr>
        <w:t xml:space="preserve"> We searched in the fields of title, abstract, all subject terms and indexing.</w:t>
      </w:r>
    </w:p>
    <w:p w14:paraId="7CC32A73" w14:textId="45883C3E" w:rsidR="00F80327" w:rsidRPr="00C95105" w:rsidRDefault="001B1220" w:rsidP="00C5313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As Google Advanced Search for Google Scholar does not support Boolean search strings, all combinations of anonymous application search terms and context search terms were entered separately. Search parameters were: English language, search in text of page (to exclude sites simply </w:t>
      </w:r>
      <w:r w:rsidRPr="00C95105">
        <w:rPr>
          <w:rFonts w:asciiTheme="minorHAnsi" w:hAnsiTheme="minorHAnsi" w:cstheme="minorHAnsi"/>
          <w:sz w:val="22"/>
          <w:szCs w:val="22"/>
        </w:rPr>
        <w:lastRenderedPageBreak/>
        <w:t>linking to those containing our search terms), and pdf file type (to restrict search results to reports and documents).</w:t>
      </w:r>
    </w:p>
    <w:p w14:paraId="581B645B" w14:textId="77777777" w:rsidR="00C53133" w:rsidRPr="00C95105" w:rsidRDefault="00C53133" w:rsidP="005D5F97">
      <w:pPr>
        <w:spacing w:after="120"/>
        <w:rPr>
          <w:rFonts w:asciiTheme="minorHAnsi" w:hAnsiTheme="minorHAnsi" w:cstheme="minorHAnsi"/>
          <w:sz w:val="22"/>
          <w:szCs w:val="22"/>
        </w:rPr>
      </w:pPr>
    </w:p>
    <w:p w14:paraId="6B5B2607" w14:textId="664AAF88" w:rsidR="008A0B23" w:rsidRPr="00C95105" w:rsidRDefault="008A0B23" w:rsidP="00DF73F3">
      <w:pPr>
        <w:pStyle w:val="TableParagraph"/>
        <w:spacing w:after="120"/>
        <w:ind w:left="0"/>
        <w:rPr>
          <w:rFonts w:asciiTheme="minorHAnsi" w:hAnsiTheme="minorHAnsi" w:cstheme="minorHAnsi"/>
          <w:lang w:val="en-AU"/>
        </w:rPr>
      </w:pPr>
      <w:bookmarkStart w:id="126" w:name="_Toc96878635"/>
      <w:r w:rsidRPr="00C95105">
        <w:rPr>
          <w:rFonts w:asciiTheme="minorHAnsi" w:hAnsiTheme="minorHAnsi" w:cstheme="minorHAnsi"/>
          <w:b/>
          <w:bCs/>
          <w:lang w:val="en-AU"/>
        </w:rPr>
        <w:t xml:space="preserve">Table </w:t>
      </w:r>
      <w:r w:rsidR="00C53133" w:rsidRPr="00C95105">
        <w:rPr>
          <w:rFonts w:asciiTheme="minorHAnsi" w:hAnsiTheme="minorHAnsi" w:cstheme="minorHAnsi"/>
          <w:b/>
          <w:bCs/>
          <w:lang w:val="en-AU"/>
        </w:rPr>
        <w:t>2.1</w:t>
      </w:r>
      <w:r w:rsidRPr="00C95105">
        <w:rPr>
          <w:rFonts w:asciiTheme="minorHAnsi" w:hAnsiTheme="minorHAnsi" w:cstheme="minorHAnsi"/>
          <w:b/>
          <w:bCs/>
          <w:lang w:val="en-AU"/>
        </w:rPr>
        <w:t>.</w:t>
      </w:r>
      <w:r w:rsidR="000F51FE" w:rsidRPr="00C95105">
        <w:rPr>
          <w:rFonts w:asciiTheme="minorHAnsi" w:hAnsiTheme="minorHAnsi" w:cstheme="minorHAnsi"/>
          <w:lang w:val="en-AU"/>
        </w:rPr>
        <w:t xml:space="preserve"> </w:t>
      </w:r>
      <w:r w:rsidRPr="00C95105">
        <w:rPr>
          <w:rFonts w:asciiTheme="minorHAnsi" w:hAnsiTheme="minorHAnsi" w:cstheme="minorHAnsi"/>
          <w:lang w:val="en-AU"/>
        </w:rPr>
        <w:t>Full List of Databases Included in Literature Search</w:t>
      </w:r>
      <w:bookmarkEnd w:id="126"/>
      <w:r w:rsidRPr="00C95105">
        <w:rPr>
          <w:rFonts w:asciiTheme="minorHAnsi" w:hAnsiTheme="minorHAnsi" w:cstheme="minorHAnsi"/>
          <w:lang w:val="en-AU"/>
        </w:rPr>
        <w:t xml:space="preserve"> </w:t>
      </w:r>
    </w:p>
    <w:tbl>
      <w:tblPr>
        <w:tblStyle w:val="TableGrid"/>
        <w:tblW w:w="8527" w:type="dxa"/>
        <w:tblBorders>
          <w:left w:val="none" w:sz="0" w:space="0" w:color="auto"/>
          <w:right w:val="none" w:sz="0" w:space="0" w:color="auto"/>
          <w:insideV w:val="none" w:sz="0" w:space="0" w:color="auto"/>
        </w:tblBorders>
        <w:tblLook w:val="04A0" w:firstRow="1" w:lastRow="0" w:firstColumn="1" w:lastColumn="0" w:noHBand="0" w:noVBand="1"/>
      </w:tblPr>
      <w:tblGrid>
        <w:gridCol w:w="1559"/>
        <w:gridCol w:w="3113"/>
        <w:gridCol w:w="3855"/>
      </w:tblGrid>
      <w:tr w:rsidR="008A0B23" w:rsidRPr="00C95105" w14:paraId="42A16C08" w14:textId="77777777" w:rsidTr="008A0B23">
        <w:tc>
          <w:tcPr>
            <w:tcW w:w="1559" w:type="dxa"/>
            <w:tcBorders>
              <w:bottom w:val="single" w:sz="4" w:space="0" w:color="auto"/>
            </w:tcBorders>
          </w:tcPr>
          <w:p w14:paraId="22CEBA87" w14:textId="77777777" w:rsidR="008A0B23" w:rsidRPr="00C95105" w:rsidRDefault="008A0B23" w:rsidP="005D5F97">
            <w:pPr>
              <w:spacing w:after="120"/>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Database</w:t>
            </w:r>
          </w:p>
        </w:tc>
        <w:tc>
          <w:tcPr>
            <w:tcW w:w="3113" w:type="dxa"/>
            <w:tcBorders>
              <w:bottom w:val="single" w:sz="4" w:space="0" w:color="auto"/>
            </w:tcBorders>
          </w:tcPr>
          <w:p w14:paraId="6FD69ABE" w14:textId="77777777" w:rsidR="008A0B23" w:rsidRPr="00C95105" w:rsidRDefault="008A0B23" w:rsidP="005D5F97">
            <w:pPr>
              <w:spacing w:after="120"/>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Search fields</w:t>
            </w:r>
          </w:p>
        </w:tc>
        <w:tc>
          <w:tcPr>
            <w:tcW w:w="3855" w:type="dxa"/>
            <w:tcBorders>
              <w:bottom w:val="single" w:sz="4" w:space="0" w:color="auto"/>
            </w:tcBorders>
          </w:tcPr>
          <w:p w14:paraId="16FB52BA" w14:textId="77777777" w:rsidR="008A0B23" w:rsidRPr="00C95105" w:rsidRDefault="008A0B23" w:rsidP="005D5F97">
            <w:pPr>
              <w:spacing w:after="120"/>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Specific databases</w:t>
            </w:r>
          </w:p>
        </w:tc>
      </w:tr>
      <w:tr w:rsidR="008A0B23" w:rsidRPr="00C95105" w14:paraId="7E63A29D" w14:textId="77777777" w:rsidTr="008A0B23">
        <w:tc>
          <w:tcPr>
            <w:tcW w:w="1559" w:type="dxa"/>
            <w:tcBorders>
              <w:bottom w:val="nil"/>
            </w:tcBorders>
          </w:tcPr>
          <w:p w14:paraId="45BA4D2B"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Ebscohost</w:t>
            </w:r>
          </w:p>
        </w:tc>
        <w:tc>
          <w:tcPr>
            <w:tcW w:w="3113" w:type="dxa"/>
            <w:tcBorders>
              <w:bottom w:val="nil"/>
            </w:tcBorders>
          </w:tcPr>
          <w:p w14:paraId="172F316E"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Title and Abstract</w:t>
            </w:r>
          </w:p>
        </w:tc>
        <w:tc>
          <w:tcPr>
            <w:tcW w:w="3855" w:type="dxa"/>
            <w:tcBorders>
              <w:bottom w:val="nil"/>
            </w:tcBorders>
          </w:tcPr>
          <w:p w14:paraId="08881564"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Academic Search Complete</w:t>
            </w:r>
          </w:p>
          <w:p w14:paraId="67A95B4B"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Business Source Complete</w:t>
            </w:r>
          </w:p>
          <w:p w14:paraId="67202E66"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EconLit</w:t>
            </w:r>
          </w:p>
          <w:p w14:paraId="58A0FD4F"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Education Research Complete</w:t>
            </w:r>
          </w:p>
          <w:p w14:paraId="33229C03"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OpenDissertations</w:t>
            </w:r>
          </w:p>
          <w:p w14:paraId="51C7F089"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SocINDEX with Full Text</w:t>
            </w:r>
          </w:p>
        </w:tc>
      </w:tr>
      <w:tr w:rsidR="008A0B23" w:rsidRPr="00C95105" w14:paraId="4879F664" w14:textId="77777777" w:rsidTr="008A0B23">
        <w:tc>
          <w:tcPr>
            <w:tcW w:w="1559" w:type="dxa"/>
            <w:tcBorders>
              <w:top w:val="nil"/>
              <w:bottom w:val="nil"/>
            </w:tcBorders>
          </w:tcPr>
          <w:p w14:paraId="4F6261FC"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ProQuest</w:t>
            </w:r>
          </w:p>
        </w:tc>
        <w:tc>
          <w:tcPr>
            <w:tcW w:w="3113" w:type="dxa"/>
            <w:tcBorders>
              <w:top w:val="nil"/>
              <w:bottom w:val="nil"/>
            </w:tcBorders>
          </w:tcPr>
          <w:p w14:paraId="0C55F19E"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Title and Abstract</w:t>
            </w:r>
          </w:p>
        </w:tc>
        <w:tc>
          <w:tcPr>
            <w:tcW w:w="3855" w:type="dxa"/>
            <w:tcBorders>
              <w:top w:val="nil"/>
              <w:bottom w:val="nil"/>
            </w:tcBorders>
          </w:tcPr>
          <w:p w14:paraId="5822F18B"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ProQuest Central</w:t>
            </w:r>
          </w:p>
          <w:p w14:paraId="4F9955B6"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ProQuest Dissertations &amp; Theses Global</w:t>
            </w:r>
          </w:p>
        </w:tc>
      </w:tr>
      <w:tr w:rsidR="008A0B23" w:rsidRPr="00C95105" w14:paraId="4CDB0AB0" w14:textId="77777777" w:rsidTr="008A0B23">
        <w:tc>
          <w:tcPr>
            <w:tcW w:w="1559" w:type="dxa"/>
            <w:tcBorders>
              <w:top w:val="nil"/>
              <w:bottom w:val="nil"/>
            </w:tcBorders>
          </w:tcPr>
          <w:p w14:paraId="09EE3AEA"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PsycInfo</w:t>
            </w:r>
          </w:p>
        </w:tc>
        <w:tc>
          <w:tcPr>
            <w:tcW w:w="3113" w:type="dxa"/>
            <w:tcBorders>
              <w:top w:val="nil"/>
              <w:bottom w:val="nil"/>
            </w:tcBorders>
          </w:tcPr>
          <w:p w14:paraId="1356DBA8"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Title and Abstract</w:t>
            </w:r>
          </w:p>
        </w:tc>
        <w:tc>
          <w:tcPr>
            <w:tcW w:w="3855" w:type="dxa"/>
            <w:tcBorders>
              <w:top w:val="nil"/>
              <w:bottom w:val="nil"/>
            </w:tcBorders>
          </w:tcPr>
          <w:p w14:paraId="06357BCD"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Individual databases not specified by PsycInfo</w:t>
            </w:r>
          </w:p>
        </w:tc>
      </w:tr>
      <w:tr w:rsidR="008A0B23" w:rsidRPr="00C95105" w14:paraId="1179A546" w14:textId="77777777" w:rsidTr="008A0B23">
        <w:tc>
          <w:tcPr>
            <w:tcW w:w="1559" w:type="dxa"/>
            <w:tcBorders>
              <w:top w:val="nil"/>
            </w:tcBorders>
          </w:tcPr>
          <w:p w14:paraId="0A35EA04"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Google </w:t>
            </w:r>
          </w:p>
          <w:p w14:paraId="515F5A64"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Scholar</w:t>
            </w:r>
          </w:p>
        </w:tc>
        <w:tc>
          <w:tcPr>
            <w:tcW w:w="3113" w:type="dxa"/>
            <w:tcBorders>
              <w:top w:val="nil"/>
            </w:tcBorders>
          </w:tcPr>
          <w:p w14:paraId="521B9E58" w14:textId="77777777" w:rsidR="008A0B23" w:rsidRPr="00C95105" w:rsidRDefault="008A0B23" w:rsidP="005D5F97">
            <w:pPr>
              <w:spacing w:after="120"/>
              <w:rPr>
                <w:rFonts w:asciiTheme="minorHAnsi" w:hAnsiTheme="minorHAnsi" w:cstheme="minorHAnsi"/>
                <w:sz w:val="22"/>
                <w:szCs w:val="22"/>
              </w:rPr>
            </w:pPr>
            <w:r w:rsidRPr="00C95105">
              <w:rPr>
                <w:rFonts w:asciiTheme="minorHAnsi" w:hAnsiTheme="minorHAnsi" w:cstheme="minorHAnsi"/>
                <w:sz w:val="22"/>
                <w:szCs w:val="22"/>
              </w:rPr>
              <w:t>Title and Keywords</w:t>
            </w:r>
          </w:p>
        </w:tc>
        <w:tc>
          <w:tcPr>
            <w:tcW w:w="3855" w:type="dxa"/>
            <w:tcBorders>
              <w:top w:val="nil"/>
            </w:tcBorders>
          </w:tcPr>
          <w:p w14:paraId="08968504" w14:textId="77777777" w:rsidR="008A0B23" w:rsidRPr="00C95105" w:rsidRDefault="008A0B23" w:rsidP="005D5F97">
            <w:pPr>
              <w:spacing w:after="120"/>
              <w:rPr>
                <w:rFonts w:asciiTheme="minorHAnsi" w:hAnsiTheme="minorHAnsi" w:cstheme="minorHAnsi"/>
                <w:sz w:val="22"/>
                <w:szCs w:val="22"/>
              </w:rPr>
            </w:pPr>
          </w:p>
        </w:tc>
      </w:tr>
    </w:tbl>
    <w:p w14:paraId="34EE4DE5" w14:textId="77777777" w:rsidR="008A0B23" w:rsidRPr="00C95105" w:rsidRDefault="008A0B23" w:rsidP="005D5F97">
      <w:pPr>
        <w:spacing w:after="120"/>
        <w:ind w:firstLine="720"/>
        <w:rPr>
          <w:rFonts w:asciiTheme="minorHAnsi" w:hAnsiTheme="minorHAnsi" w:cstheme="minorHAnsi"/>
          <w:sz w:val="22"/>
          <w:szCs w:val="22"/>
        </w:rPr>
      </w:pPr>
    </w:p>
    <w:p w14:paraId="17F4584F" w14:textId="77777777" w:rsidR="007E28E3" w:rsidRPr="00C95105" w:rsidRDefault="009072A2" w:rsidP="007E28E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We also conducted a search for grey literature by making requests for unpublished material and using Google Advanced Search. Requests for unpublished material were made via organisations associated with management and psychological research </w:t>
      </w:r>
      <w:r w:rsidR="005359E2" w:rsidRPr="00C95105">
        <w:rPr>
          <w:rFonts w:asciiTheme="minorHAnsi" w:hAnsiTheme="minorHAnsi" w:cstheme="minorHAnsi"/>
          <w:sz w:val="22"/>
          <w:szCs w:val="22"/>
        </w:rPr>
        <w:t>from</w:t>
      </w:r>
      <w:r w:rsidRPr="00C95105">
        <w:rPr>
          <w:rFonts w:asciiTheme="minorHAnsi" w:hAnsiTheme="minorHAnsi" w:cstheme="minorHAnsi"/>
          <w:sz w:val="22"/>
          <w:szCs w:val="22"/>
        </w:rPr>
        <w:t xml:space="preserve"> March 2020</w:t>
      </w:r>
      <w:r w:rsidR="005359E2" w:rsidRPr="00C95105">
        <w:rPr>
          <w:rFonts w:asciiTheme="minorHAnsi" w:hAnsiTheme="minorHAnsi" w:cstheme="minorHAnsi"/>
          <w:sz w:val="22"/>
          <w:szCs w:val="22"/>
        </w:rPr>
        <w:t xml:space="preserve"> until now</w:t>
      </w:r>
      <w:r w:rsidRPr="00C95105">
        <w:rPr>
          <w:rFonts w:asciiTheme="minorHAnsi" w:hAnsiTheme="minorHAnsi" w:cstheme="minorHAnsi"/>
          <w:sz w:val="22"/>
          <w:szCs w:val="22"/>
        </w:rPr>
        <w:t xml:space="preserve">. These included the </w:t>
      </w:r>
      <w:r w:rsidR="002217C9" w:rsidRPr="00C95105">
        <w:rPr>
          <w:rFonts w:asciiTheme="minorHAnsi" w:hAnsiTheme="minorHAnsi" w:cstheme="minorHAnsi"/>
          <w:sz w:val="22"/>
          <w:szCs w:val="22"/>
        </w:rPr>
        <w:t xml:space="preserve">[North American] Academy of Management, </w:t>
      </w:r>
      <w:r w:rsidRPr="00C95105">
        <w:rPr>
          <w:rFonts w:asciiTheme="minorHAnsi" w:hAnsiTheme="minorHAnsi" w:cstheme="minorHAnsi"/>
          <w:sz w:val="22"/>
          <w:szCs w:val="22"/>
        </w:rPr>
        <w:t>Australian and New Zealand Academy of Management, the Society for Industrial and Organisational Psychology, the Society for Personality and Social Psychology, and the Society of Australasian Social Psychologists.</w:t>
      </w:r>
    </w:p>
    <w:p w14:paraId="0C647B6D" w14:textId="77777777" w:rsidR="007E28E3" w:rsidRPr="00C95105" w:rsidRDefault="009072A2" w:rsidP="007E28E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These searches returned a total of 25,034 references. Thirty of these met screening criteria and were assessed for inclusion in the final set of references. After full text assessment, 1</w:t>
      </w:r>
      <w:r w:rsidR="00CD4866" w:rsidRPr="00C95105">
        <w:rPr>
          <w:rFonts w:asciiTheme="minorHAnsi" w:hAnsiTheme="minorHAnsi" w:cstheme="minorHAnsi"/>
          <w:sz w:val="22"/>
          <w:szCs w:val="22"/>
        </w:rPr>
        <w:t>5</w:t>
      </w:r>
      <w:r w:rsidRPr="00C95105">
        <w:rPr>
          <w:rFonts w:asciiTheme="minorHAnsi" w:hAnsiTheme="minorHAnsi" w:cstheme="minorHAnsi"/>
          <w:sz w:val="22"/>
          <w:szCs w:val="22"/>
        </w:rPr>
        <w:t xml:space="preserve"> </w:t>
      </w:r>
      <w:r w:rsidR="00741195" w:rsidRPr="00C95105">
        <w:rPr>
          <w:rFonts w:asciiTheme="minorHAnsi" w:hAnsiTheme="minorHAnsi" w:cstheme="minorHAnsi"/>
          <w:sz w:val="22"/>
          <w:szCs w:val="22"/>
        </w:rPr>
        <w:t>publications</w:t>
      </w:r>
      <w:r w:rsidRPr="00C95105">
        <w:rPr>
          <w:rFonts w:asciiTheme="minorHAnsi" w:hAnsiTheme="minorHAnsi" w:cstheme="minorHAnsi"/>
          <w:sz w:val="22"/>
          <w:szCs w:val="22"/>
        </w:rPr>
        <w:t xml:space="preserve"> </w:t>
      </w:r>
      <w:r w:rsidR="00CD4866" w:rsidRPr="00C95105">
        <w:rPr>
          <w:rFonts w:asciiTheme="minorHAnsi" w:hAnsiTheme="minorHAnsi" w:cstheme="minorHAnsi"/>
          <w:sz w:val="22"/>
          <w:szCs w:val="22"/>
        </w:rPr>
        <w:t xml:space="preserve">containing </w:t>
      </w:r>
      <w:r w:rsidR="006779DD" w:rsidRPr="00C95105">
        <w:rPr>
          <w:rFonts w:asciiTheme="minorHAnsi" w:hAnsiTheme="minorHAnsi" w:cstheme="minorHAnsi"/>
          <w:sz w:val="22"/>
          <w:szCs w:val="22"/>
        </w:rPr>
        <w:t xml:space="preserve">24 </w:t>
      </w:r>
      <w:r w:rsidR="008F3A77" w:rsidRPr="00C95105">
        <w:rPr>
          <w:rFonts w:asciiTheme="minorHAnsi" w:hAnsiTheme="minorHAnsi" w:cstheme="minorHAnsi"/>
          <w:sz w:val="22"/>
          <w:szCs w:val="22"/>
        </w:rPr>
        <w:t xml:space="preserve">intervention </w:t>
      </w:r>
      <w:r w:rsidR="00741195" w:rsidRPr="00C95105">
        <w:rPr>
          <w:rFonts w:asciiTheme="minorHAnsi" w:hAnsiTheme="minorHAnsi" w:cstheme="minorHAnsi"/>
          <w:sz w:val="22"/>
          <w:szCs w:val="22"/>
        </w:rPr>
        <w:t>studies</w:t>
      </w:r>
      <w:r w:rsidR="006779DD" w:rsidRPr="00C95105">
        <w:rPr>
          <w:rFonts w:asciiTheme="minorHAnsi" w:hAnsiTheme="minorHAnsi" w:cstheme="minorHAnsi"/>
          <w:sz w:val="22"/>
          <w:szCs w:val="22"/>
        </w:rPr>
        <w:t xml:space="preserve"> </w:t>
      </w:r>
      <w:r w:rsidRPr="00C95105">
        <w:rPr>
          <w:rFonts w:asciiTheme="minorHAnsi" w:hAnsiTheme="minorHAnsi" w:cstheme="minorHAnsi"/>
          <w:sz w:val="22"/>
          <w:szCs w:val="22"/>
        </w:rPr>
        <w:t xml:space="preserve">were retained for data extraction. </w:t>
      </w:r>
      <w:r w:rsidR="00FA582B" w:rsidRPr="00C95105">
        <w:rPr>
          <w:rFonts w:asciiTheme="minorHAnsi" w:hAnsiTheme="minorHAnsi" w:cstheme="minorHAnsi"/>
          <w:sz w:val="22"/>
          <w:szCs w:val="22"/>
        </w:rPr>
        <w:t>Twelve</w:t>
      </w:r>
      <w:r w:rsidRPr="00C95105">
        <w:rPr>
          <w:rFonts w:asciiTheme="minorHAnsi" w:hAnsiTheme="minorHAnsi" w:cstheme="minorHAnsi"/>
          <w:sz w:val="22"/>
          <w:szCs w:val="22"/>
        </w:rPr>
        <w:t xml:space="preserve"> of the </w:t>
      </w:r>
      <w:r w:rsidR="00FA582B" w:rsidRPr="00C95105">
        <w:rPr>
          <w:rFonts w:asciiTheme="minorHAnsi" w:hAnsiTheme="minorHAnsi" w:cstheme="minorHAnsi"/>
          <w:sz w:val="22"/>
          <w:szCs w:val="22"/>
        </w:rPr>
        <w:t>24</w:t>
      </w:r>
      <w:r w:rsidRPr="00C95105">
        <w:rPr>
          <w:rFonts w:asciiTheme="minorHAnsi" w:hAnsiTheme="minorHAnsi" w:cstheme="minorHAnsi"/>
          <w:sz w:val="22"/>
          <w:szCs w:val="22"/>
        </w:rPr>
        <w:t xml:space="preserve"> </w:t>
      </w:r>
      <w:r w:rsidR="00FA582B" w:rsidRPr="00C95105">
        <w:rPr>
          <w:rFonts w:asciiTheme="minorHAnsi" w:hAnsiTheme="minorHAnsi" w:cstheme="minorHAnsi"/>
          <w:sz w:val="22"/>
          <w:szCs w:val="22"/>
        </w:rPr>
        <w:t>studies</w:t>
      </w:r>
      <w:r w:rsidRPr="00C95105">
        <w:rPr>
          <w:rFonts w:asciiTheme="minorHAnsi" w:hAnsiTheme="minorHAnsi" w:cstheme="minorHAnsi"/>
          <w:sz w:val="22"/>
          <w:szCs w:val="22"/>
        </w:rPr>
        <w:t xml:space="preserve"> in the final </w:t>
      </w:r>
      <w:r w:rsidR="009F7BE8" w:rsidRPr="00C95105">
        <w:rPr>
          <w:rFonts w:asciiTheme="minorHAnsi" w:hAnsiTheme="minorHAnsi" w:cstheme="minorHAnsi"/>
          <w:sz w:val="22"/>
          <w:szCs w:val="22"/>
        </w:rPr>
        <w:t xml:space="preserve">set </w:t>
      </w:r>
      <w:r w:rsidR="008F3A77" w:rsidRPr="00C95105">
        <w:rPr>
          <w:rFonts w:asciiTheme="minorHAnsi" w:hAnsiTheme="minorHAnsi" w:cstheme="minorHAnsi"/>
          <w:sz w:val="22"/>
          <w:szCs w:val="22"/>
        </w:rPr>
        <w:t>were</w:t>
      </w:r>
      <w:r w:rsidRPr="00C95105">
        <w:rPr>
          <w:rFonts w:asciiTheme="minorHAnsi" w:hAnsiTheme="minorHAnsi" w:cstheme="minorHAnsi"/>
          <w:sz w:val="22"/>
          <w:szCs w:val="22"/>
        </w:rPr>
        <w:t xml:space="preserve"> conducted </w:t>
      </w:r>
      <w:r w:rsidR="004D54B6" w:rsidRPr="00C95105">
        <w:rPr>
          <w:rFonts w:asciiTheme="minorHAnsi" w:hAnsiTheme="minorHAnsi" w:cstheme="minorHAnsi"/>
          <w:sz w:val="22"/>
          <w:szCs w:val="22"/>
        </w:rPr>
        <w:t xml:space="preserve">exclusively </w:t>
      </w:r>
      <w:r w:rsidRPr="00C95105">
        <w:rPr>
          <w:rFonts w:asciiTheme="minorHAnsi" w:hAnsiTheme="minorHAnsi" w:cstheme="minorHAnsi"/>
          <w:sz w:val="22"/>
          <w:szCs w:val="22"/>
        </w:rPr>
        <w:t xml:space="preserve">in public sector organisations across a number of countries, including both the Victorian and Australian Governments. </w:t>
      </w:r>
    </w:p>
    <w:p w14:paraId="5E9C4C05" w14:textId="2D6EBD64" w:rsidR="001542E7" w:rsidRPr="00C95105" w:rsidRDefault="001542E7" w:rsidP="007E28E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Figure 1, below, we present the PRISMA Flow Diagram summarising literature search and inclusion (Moher, Liberati, Tetzlaff, Altman &amp; The Prisma Group, 2009).</w:t>
      </w:r>
    </w:p>
    <w:p w14:paraId="1BF6B0DA" w14:textId="77777777" w:rsidR="0002294D" w:rsidRPr="00C95105" w:rsidRDefault="0002294D" w:rsidP="005D5F97">
      <w:pPr>
        <w:spacing w:after="120"/>
        <w:rPr>
          <w:rFonts w:asciiTheme="minorHAnsi" w:hAnsiTheme="minorHAnsi" w:cstheme="minorHAnsi"/>
          <w:sz w:val="22"/>
          <w:szCs w:val="22"/>
        </w:rPr>
      </w:pPr>
    </w:p>
    <w:p w14:paraId="52871F6E" w14:textId="77777777" w:rsidR="00F80327" w:rsidRPr="00C95105" w:rsidRDefault="00F80327" w:rsidP="005D5F97">
      <w:pPr>
        <w:spacing w:after="120"/>
        <w:rPr>
          <w:rFonts w:asciiTheme="minorHAnsi" w:hAnsiTheme="minorHAnsi" w:cstheme="minorHAnsi"/>
          <w:sz w:val="22"/>
          <w:szCs w:val="22"/>
        </w:rPr>
      </w:pPr>
    </w:p>
    <w:p w14:paraId="00B907A3" w14:textId="5A9CC4C8" w:rsidR="00F80327" w:rsidRPr="00C95105" w:rsidRDefault="00F80327" w:rsidP="005D5F97">
      <w:pPr>
        <w:spacing w:after="120"/>
        <w:rPr>
          <w:rFonts w:asciiTheme="minorHAnsi" w:hAnsiTheme="minorHAnsi" w:cstheme="minorHAnsi"/>
          <w:sz w:val="22"/>
          <w:szCs w:val="22"/>
        </w:rPr>
      </w:pPr>
    </w:p>
    <w:p w14:paraId="4B36188D" w14:textId="7558C8A3" w:rsidR="009046B5" w:rsidRPr="00C95105" w:rsidRDefault="009046B5" w:rsidP="005D5F97">
      <w:pPr>
        <w:spacing w:after="120"/>
        <w:rPr>
          <w:rFonts w:asciiTheme="minorHAnsi" w:hAnsiTheme="minorHAnsi" w:cstheme="minorHAnsi"/>
          <w:sz w:val="22"/>
          <w:szCs w:val="22"/>
        </w:rPr>
      </w:pPr>
    </w:p>
    <w:p w14:paraId="6A16193C" w14:textId="77777777" w:rsidR="009046B5" w:rsidRPr="00C95105" w:rsidRDefault="009046B5" w:rsidP="005D5F97">
      <w:pPr>
        <w:spacing w:after="120"/>
        <w:rPr>
          <w:rFonts w:asciiTheme="minorHAnsi" w:hAnsiTheme="minorHAnsi" w:cstheme="minorHAnsi"/>
          <w:sz w:val="22"/>
          <w:szCs w:val="22"/>
        </w:rPr>
      </w:pPr>
    </w:p>
    <w:p w14:paraId="5EA4992C" w14:textId="77777777" w:rsidR="00F80327" w:rsidRPr="00C95105" w:rsidRDefault="00F80327" w:rsidP="005D5F97">
      <w:pPr>
        <w:spacing w:after="120"/>
        <w:rPr>
          <w:rFonts w:asciiTheme="minorHAnsi" w:hAnsiTheme="minorHAnsi" w:cstheme="minorHAnsi"/>
          <w:sz w:val="22"/>
          <w:szCs w:val="22"/>
        </w:rPr>
      </w:pPr>
    </w:p>
    <w:p w14:paraId="578AA262" w14:textId="77777777" w:rsidR="008E4B7A" w:rsidRPr="00C95105" w:rsidRDefault="008E4B7A" w:rsidP="005D5F97">
      <w:pPr>
        <w:spacing w:after="120"/>
        <w:rPr>
          <w:rFonts w:asciiTheme="minorHAnsi" w:hAnsiTheme="minorHAnsi" w:cstheme="minorHAnsi"/>
          <w:sz w:val="22"/>
          <w:szCs w:val="22"/>
        </w:rPr>
      </w:pPr>
    </w:p>
    <w:p w14:paraId="7ECDAD60" w14:textId="77777777" w:rsidR="008E4B7A" w:rsidRPr="00C95105" w:rsidRDefault="008E4B7A" w:rsidP="005D5F97">
      <w:pPr>
        <w:spacing w:after="120"/>
        <w:rPr>
          <w:rFonts w:asciiTheme="minorHAnsi" w:hAnsiTheme="minorHAnsi" w:cstheme="minorHAnsi"/>
          <w:sz w:val="22"/>
          <w:szCs w:val="22"/>
        </w:rPr>
      </w:pPr>
    </w:p>
    <w:p w14:paraId="1DCF45E1" w14:textId="77777777" w:rsidR="00FC2C4C" w:rsidRPr="00C95105" w:rsidRDefault="00FC2C4C" w:rsidP="005D5F97">
      <w:pPr>
        <w:spacing w:after="120"/>
        <w:rPr>
          <w:rFonts w:asciiTheme="minorHAnsi" w:hAnsiTheme="minorHAnsi" w:cstheme="minorHAnsi"/>
          <w:sz w:val="22"/>
          <w:szCs w:val="22"/>
        </w:rPr>
      </w:pPr>
    </w:p>
    <w:p w14:paraId="4FA989F8" w14:textId="4B17D531" w:rsidR="007E28E3" w:rsidRDefault="007E28E3" w:rsidP="004A2E25">
      <w:pPr>
        <w:pStyle w:val="ListParagraph"/>
        <w:ind w:left="0"/>
        <w:rPr>
          <w:rFonts w:asciiTheme="minorHAnsi" w:hAnsiTheme="minorHAnsi" w:cstheme="minorHAnsi"/>
          <w:i/>
          <w:iCs/>
        </w:rPr>
      </w:pPr>
      <w:bookmarkStart w:id="127" w:name="_Toc96866415"/>
      <w:bookmarkStart w:id="128" w:name="_Toc96878284"/>
      <w:r w:rsidRPr="00C95105">
        <w:rPr>
          <w:rFonts w:asciiTheme="minorHAnsi" w:hAnsiTheme="minorHAnsi" w:cstheme="minorHAnsi"/>
          <w:b/>
          <w:bCs/>
          <w:i/>
          <w:iCs/>
        </w:rPr>
        <w:t xml:space="preserve">Figure </w:t>
      </w:r>
      <w:r w:rsidR="00AD1898" w:rsidRPr="00C95105">
        <w:rPr>
          <w:rFonts w:asciiTheme="minorHAnsi" w:hAnsiTheme="minorHAnsi" w:cstheme="minorHAnsi"/>
          <w:b/>
          <w:bCs/>
          <w:i/>
          <w:iCs/>
        </w:rPr>
        <w:t>2</w:t>
      </w:r>
      <w:r w:rsidRPr="00C95105">
        <w:rPr>
          <w:rFonts w:asciiTheme="minorHAnsi" w:hAnsiTheme="minorHAnsi" w:cstheme="minorHAnsi"/>
          <w:b/>
          <w:bCs/>
          <w:i/>
          <w:iCs/>
        </w:rPr>
        <w:t>.</w:t>
      </w:r>
      <w:r w:rsidR="00AD1898" w:rsidRPr="00C95105">
        <w:rPr>
          <w:rFonts w:asciiTheme="minorHAnsi" w:hAnsiTheme="minorHAnsi" w:cstheme="minorHAnsi"/>
          <w:b/>
          <w:bCs/>
          <w:i/>
          <w:iCs/>
        </w:rPr>
        <w:t>1</w:t>
      </w:r>
      <w:r w:rsidR="00BA329F" w:rsidRPr="00C95105">
        <w:rPr>
          <w:rFonts w:asciiTheme="minorHAnsi" w:hAnsiTheme="minorHAnsi" w:cstheme="minorHAnsi"/>
          <w:b/>
          <w:bCs/>
          <w:i/>
          <w:iCs/>
        </w:rPr>
        <w:t xml:space="preserve">. </w:t>
      </w:r>
      <w:r w:rsidRPr="00C95105">
        <w:rPr>
          <w:rFonts w:asciiTheme="minorHAnsi" w:hAnsiTheme="minorHAnsi" w:cstheme="minorHAnsi"/>
          <w:i/>
          <w:iCs/>
        </w:rPr>
        <w:t>PRISMA Flow Diagram summarising literature search and inclusion</w:t>
      </w:r>
      <w:r w:rsidR="00C834DC" w:rsidRPr="00C95105">
        <w:rPr>
          <w:rFonts w:asciiTheme="minorHAnsi" w:hAnsiTheme="minorHAnsi" w:cstheme="minorHAnsi"/>
          <w:i/>
          <w:iCs/>
        </w:rPr>
        <w:t xml:space="preserve"> for AAP</w:t>
      </w:r>
      <w:bookmarkEnd w:id="127"/>
      <w:bookmarkEnd w:id="128"/>
    </w:p>
    <w:p w14:paraId="49B63A0E" w14:textId="77777777" w:rsidR="003D7E84" w:rsidRDefault="003D7E84" w:rsidP="004A2E25">
      <w:pPr>
        <w:pStyle w:val="ListParagraph"/>
        <w:ind w:left="0"/>
        <w:rPr>
          <w:rFonts w:asciiTheme="minorHAnsi" w:hAnsiTheme="minorHAnsi" w:cstheme="minorHAnsi"/>
          <w:b/>
          <w:bCs/>
          <w:i/>
          <w:iCs/>
        </w:rPr>
      </w:pPr>
    </w:p>
    <w:p w14:paraId="3CE7FFF5" w14:textId="7C73E0F0" w:rsidR="005B1729" w:rsidRPr="00C95105" w:rsidRDefault="005B1729" w:rsidP="004A2E25">
      <w:pPr>
        <w:pStyle w:val="ListParagraph"/>
        <w:ind w:left="0"/>
        <w:rPr>
          <w:rFonts w:asciiTheme="minorHAnsi" w:hAnsiTheme="minorHAnsi" w:cstheme="minorHAnsi"/>
          <w:b/>
          <w:bCs/>
          <w:i/>
          <w:iCs/>
        </w:rPr>
      </w:pPr>
      <w:r>
        <w:rPr>
          <w:rFonts w:asciiTheme="minorHAnsi" w:hAnsiTheme="minorHAnsi" w:cstheme="minorHAnsi"/>
          <w:b/>
          <w:bCs/>
          <w:i/>
          <w:iCs/>
          <w:noProof/>
        </w:rPr>
        <w:drawing>
          <wp:inline distT="0" distB="0" distL="0" distR="0" wp14:anchorId="46758B8C" wp14:editId="778F6FB4">
            <wp:extent cx="5729605" cy="5211445"/>
            <wp:effectExtent l="0" t="0" r="4445" b="8255"/>
            <wp:docPr id="260" name="Picture 260" descr="Flow diagram showing identification phase includes 25,035 records identified through database searching and 1,312 additional records identified through other sourced. In screening, 19,190 records after duplicates remove were screened. 19,164 records were excluded. 30 full text articles were assed for eligibility. 15 full text articles excluded, with reasons being that 4 were not an original empirical study, 5 didn't manipulate anonymisation, 4 didn't measure outcome variable of interest and 2 were dupl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low diagram showing identification phase includes 25,035 records identified through database searching and 1,312 additional records identified through other sourced. In screening, 19,190 records after duplicates remove were screened. 19,164 records were excluded. 30 full text articles were assed for eligibility. 15 full text articles excluded, with reasons being that 4 were not an original empirical study, 5 didn't manipulate anonymisation, 4 didn't measure outcome variable of interest and 2 were duplicat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9605" cy="5211445"/>
                    </a:xfrm>
                    <a:prstGeom prst="rect">
                      <a:avLst/>
                    </a:prstGeom>
                    <a:noFill/>
                    <a:ln>
                      <a:noFill/>
                    </a:ln>
                  </pic:spPr>
                </pic:pic>
              </a:graphicData>
            </a:graphic>
          </wp:inline>
        </w:drawing>
      </w:r>
    </w:p>
    <w:p w14:paraId="4B23975E" w14:textId="7C27D6B1" w:rsidR="003726F3" w:rsidRPr="00C95105" w:rsidRDefault="003726F3" w:rsidP="005D5F97">
      <w:pPr>
        <w:spacing w:after="120"/>
        <w:ind w:left="360"/>
        <w:rPr>
          <w:rFonts w:asciiTheme="minorHAnsi" w:hAnsiTheme="minorHAnsi" w:cstheme="minorHAnsi"/>
          <w:i/>
          <w:iCs/>
          <w:sz w:val="22"/>
          <w:szCs w:val="22"/>
        </w:rPr>
      </w:pPr>
    </w:p>
    <w:p w14:paraId="2F72BDBA" w14:textId="77D1467D" w:rsidR="003726F3" w:rsidRPr="00C95105" w:rsidRDefault="003726F3" w:rsidP="005D5F97">
      <w:pPr>
        <w:spacing w:after="120"/>
        <w:ind w:left="360"/>
        <w:rPr>
          <w:rFonts w:asciiTheme="minorHAnsi" w:hAnsiTheme="minorHAnsi" w:cstheme="minorHAnsi"/>
          <w:i/>
          <w:iCs/>
          <w:sz w:val="22"/>
          <w:szCs w:val="22"/>
        </w:rPr>
      </w:pPr>
    </w:p>
    <w:p w14:paraId="5FE55479" w14:textId="77777777" w:rsidR="003726F3" w:rsidRPr="00C95105" w:rsidRDefault="003726F3" w:rsidP="005D5F97">
      <w:pPr>
        <w:spacing w:after="120"/>
        <w:ind w:left="360"/>
        <w:rPr>
          <w:rFonts w:asciiTheme="minorHAnsi" w:hAnsiTheme="minorHAnsi" w:cstheme="minorHAnsi"/>
          <w:i/>
          <w:iCs/>
          <w:sz w:val="22"/>
          <w:szCs w:val="22"/>
        </w:rPr>
      </w:pPr>
    </w:p>
    <w:p w14:paraId="7BE67FDE" w14:textId="77777777" w:rsidR="003726F3" w:rsidRPr="00C95105" w:rsidRDefault="003726F3" w:rsidP="005D5F97">
      <w:pPr>
        <w:spacing w:after="120"/>
        <w:rPr>
          <w:rFonts w:asciiTheme="minorHAnsi" w:hAnsiTheme="minorHAnsi" w:cstheme="minorHAnsi"/>
          <w:i/>
          <w:iCs/>
          <w:sz w:val="22"/>
          <w:szCs w:val="22"/>
        </w:rPr>
      </w:pPr>
    </w:p>
    <w:p w14:paraId="54C466A7" w14:textId="77777777" w:rsidR="003726F3" w:rsidRPr="00C95105" w:rsidRDefault="003726F3" w:rsidP="005D5F97">
      <w:pPr>
        <w:spacing w:after="120"/>
        <w:ind w:left="360"/>
        <w:rPr>
          <w:rFonts w:asciiTheme="minorHAnsi" w:hAnsiTheme="minorHAnsi" w:cstheme="minorHAnsi"/>
          <w:sz w:val="22"/>
          <w:szCs w:val="22"/>
        </w:rPr>
      </w:pPr>
    </w:p>
    <w:p w14:paraId="0DA2EA04" w14:textId="77777777" w:rsidR="003726F3" w:rsidRPr="00C95105" w:rsidRDefault="003726F3" w:rsidP="005D5F97">
      <w:pPr>
        <w:spacing w:after="120"/>
        <w:rPr>
          <w:rFonts w:asciiTheme="minorHAnsi" w:hAnsiTheme="minorHAnsi" w:cstheme="minorHAnsi"/>
          <w:i/>
          <w:iCs/>
          <w:sz w:val="22"/>
          <w:szCs w:val="22"/>
        </w:rPr>
      </w:pPr>
    </w:p>
    <w:p w14:paraId="3DF84AA9" w14:textId="77777777" w:rsidR="003726F3" w:rsidRPr="00C95105" w:rsidRDefault="003726F3" w:rsidP="005D5F97">
      <w:pPr>
        <w:spacing w:after="120"/>
        <w:rPr>
          <w:rFonts w:asciiTheme="minorHAnsi" w:hAnsiTheme="minorHAnsi" w:cstheme="minorHAnsi"/>
          <w:b/>
          <w:bCs/>
          <w:sz w:val="22"/>
          <w:szCs w:val="22"/>
        </w:rPr>
      </w:pPr>
      <w:r w:rsidRPr="00C95105">
        <w:rPr>
          <w:rFonts w:asciiTheme="minorHAnsi" w:hAnsiTheme="minorHAnsi" w:cstheme="minorHAnsi"/>
          <w:b/>
          <w:bCs/>
          <w:sz w:val="22"/>
          <w:szCs w:val="22"/>
        </w:rPr>
        <w:br w:type="page"/>
      </w:r>
    </w:p>
    <w:p w14:paraId="79B995C9" w14:textId="27997C4A" w:rsidR="009072A2" w:rsidRPr="00C95105" w:rsidRDefault="009072A2" w:rsidP="0093280F">
      <w:pPr>
        <w:pStyle w:val="Heading3"/>
        <w:numPr>
          <w:ilvl w:val="2"/>
          <w:numId w:val="8"/>
        </w:numPr>
        <w:spacing w:before="0" w:after="120"/>
        <w:ind w:left="567" w:hanging="567"/>
        <w:rPr>
          <w:rFonts w:asciiTheme="minorHAnsi" w:hAnsiTheme="minorHAnsi" w:cstheme="minorHAnsi"/>
          <w:b/>
          <w:bCs/>
          <w:i/>
          <w:iCs/>
          <w:color w:val="2F5496" w:themeColor="accent1" w:themeShade="BF"/>
          <w:sz w:val="22"/>
          <w:szCs w:val="22"/>
        </w:rPr>
      </w:pPr>
      <w:bookmarkStart w:id="129" w:name="_Toc96957673"/>
      <w:r w:rsidRPr="00C95105">
        <w:rPr>
          <w:rFonts w:asciiTheme="minorHAnsi" w:hAnsiTheme="minorHAnsi" w:cstheme="minorHAnsi"/>
          <w:b/>
          <w:bCs/>
          <w:i/>
          <w:iCs/>
          <w:color w:val="2F5496" w:themeColor="accent1" w:themeShade="BF"/>
          <w:sz w:val="22"/>
          <w:szCs w:val="22"/>
        </w:rPr>
        <w:lastRenderedPageBreak/>
        <w:t>Data extraction</w:t>
      </w:r>
      <w:bookmarkEnd w:id="129"/>
    </w:p>
    <w:p w14:paraId="5FB42D6A" w14:textId="37440F0C" w:rsidR="009072A2" w:rsidRPr="00C95105" w:rsidRDefault="009072A2" w:rsidP="00AD1898">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The final set of eligible references were independently coded by two members of the research team. The coding was performed using a data extraction tool capturing information regarding the setting and nature of the intervention, the anonymisation target and process, results and conclusions, potential contributing factors, and quality assessment. A member of the research team identified discrepancies between coders, which were resolved through discussion</w:t>
      </w:r>
      <w:r w:rsidR="00F122C8" w:rsidRPr="00C95105">
        <w:rPr>
          <w:rFonts w:asciiTheme="minorHAnsi" w:hAnsiTheme="minorHAnsi" w:cstheme="minorHAnsi"/>
          <w:sz w:val="22"/>
          <w:szCs w:val="22"/>
        </w:rPr>
        <w:t>s</w:t>
      </w:r>
      <w:r w:rsidRPr="00C95105">
        <w:rPr>
          <w:rFonts w:asciiTheme="minorHAnsi" w:hAnsiTheme="minorHAnsi" w:cstheme="minorHAnsi"/>
          <w:sz w:val="22"/>
          <w:szCs w:val="22"/>
        </w:rPr>
        <w:t xml:space="preserve">. All identified discrepancies resolved in this manner were minor and no discrepancies were identified in coding of the nature or direction of the study results. </w:t>
      </w:r>
      <w:r w:rsidR="00B701E9" w:rsidRPr="00C95105">
        <w:rPr>
          <w:rFonts w:asciiTheme="minorHAnsi" w:hAnsiTheme="minorHAnsi" w:cstheme="minorHAnsi"/>
          <w:sz w:val="22"/>
          <w:szCs w:val="22"/>
        </w:rPr>
        <w:t>To our knowledge, t</w:t>
      </w:r>
      <w:r w:rsidR="00742964" w:rsidRPr="00C95105">
        <w:rPr>
          <w:rFonts w:asciiTheme="minorHAnsi" w:hAnsiTheme="minorHAnsi" w:cstheme="minorHAnsi"/>
          <w:sz w:val="22"/>
          <w:szCs w:val="22"/>
        </w:rPr>
        <w:t>his is the most comprehensive review of AAP ever conducted.</w:t>
      </w:r>
    </w:p>
    <w:p w14:paraId="51D33EE8" w14:textId="77777777" w:rsidR="005F2BD8" w:rsidRPr="00C95105" w:rsidRDefault="005F2BD8" w:rsidP="005D5F97">
      <w:pPr>
        <w:spacing w:after="120"/>
        <w:rPr>
          <w:rFonts w:asciiTheme="minorHAnsi" w:hAnsiTheme="minorHAnsi" w:cstheme="minorHAnsi"/>
          <w:sz w:val="22"/>
          <w:szCs w:val="22"/>
        </w:rPr>
      </w:pPr>
    </w:p>
    <w:p w14:paraId="0508AD31" w14:textId="016E88FE" w:rsidR="005F2BD8" w:rsidRPr="00C95105" w:rsidRDefault="005F2BD8" w:rsidP="0093280F">
      <w:pPr>
        <w:pStyle w:val="Heading2"/>
        <w:numPr>
          <w:ilvl w:val="1"/>
          <w:numId w:val="8"/>
        </w:numPr>
        <w:spacing w:before="0" w:after="120"/>
        <w:ind w:left="426" w:hanging="426"/>
        <w:rPr>
          <w:rFonts w:asciiTheme="minorHAnsi" w:hAnsiTheme="minorHAnsi" w:cstheme="minorHAnsi"/>
          <w:b/>
          <w:bCs/>
        </w:rPr>
      </w:pPr>
      <w:bookmarkStart w:id="130" w:name="_Toc96957674"/>
      <w:r w:rsidRPr="00C95105">
        <w:rPr>
          <w:rFonts w:asciiTheme="minorHAnsi" w:hAnsiTheme="minorHAnsi" w:cstheme="minorHAnsi"/>
          <w:b/>
          <w:bCs/>
        </w:rPr>
        <w:t xml:space="preserve">Findings and </w:t>
      </w:r>
      <w:r w:rsidR="00C73984" w:rsidRPr="00C95105">
        <w:rPr>
          <w:rFonts w:asciiTheme="minorHAnsi" w:hAnsiTheme="minorHAnsi" w:cstheme="minorHAnsi"/>
          <w:b/>
          <w:bCs/>
        </w:rPr>
        <w:t>R</w:t>
      </w:r>
      <w:r w:rsidRPr="00C95105">
        <w:rPr>
          <w:rFonts w:asciiTheme="minorHAnsi" w:hAnsiTheme="minorHAnsi" w:cstheme="minorHAnsi"/>
          <w:b/>
          <w:bCs/>
        </w:rPr>
        <w:t>ecommendations</w:t>
      </w:r>
      <w:bookmarkEnd w:id="130"/>
    </w:p>
    <w:p w14:paraId="08857777" w14:textId="23B82972" w:rsidR="00DB7AC9" w:rsidRPr="00C95105" w:rsidRDefault="00DB7AC9" w:rsidP="00DB7AC9">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this section of the report, we provide summaries of the evidence about </w:t>
      </w:r>
      <w:r w:rsidR="001A2A60" w:rsidRPr="00C95105">
        <w:rPr>
          <w:rFonts w:asciiTheme="minorHAnsi" w:hAnsiTheme="minorHAnsi" w:cstheme="minorHAnsi"/>
          <w:sz w:val="22"/>
          <w:szCs w:val="22"/>
        </w:rPr>
        <w:t>when AAP is most effective, factors that might hinder its implementation and recommendations to increase its effectiveness</w:t>
      </w:r>
      <w:r w:rsidR="00DD3E26" w:rsidRPr="00C95105">
        <w:rPr>
          <w:rFonts w:asciiTheme="minorHAnsi" w:hAnsiTheme="minorHAnsi" w:cstheme="minorHAnsi"/>
          <w:sz w:val="22"/>
          <w:szCs w:val="22"/>
        </w:rPr>
        <w:t xml:space="preserve"> (see Table 2.2)</w:t>
      </w:r>
      <w:r w:rsidRPr="00C95105">
        <w:rPr>
          <w:rFonts w:asciiTheme="minorHAnsi" w:hAnsiTheme="minorHAnsi" w:cstheme="minorHAnsi"/>
          <w:sz w:val="22"/>
          <w:szCs w:val="22"/>
        </w:rPr>
        <w:t xml:space="preserve">. </w:t>
      </w:r>
    </w:p>
    <w:p w14:paraId="1A26A652" w14:textId="77777777" w:rsidR="00DB7AC9" w:rsidRPr="00C95105" w:rsidRDefault="00DB7AC9" w:rsidP="00DB7AC9">
      <w:pPr>
        <w:rPr>
          <w:rFonts w:asciiTheme="minorHAnsi" w:hAnsiTheme="minorHAnsi" w:cstheme="minorHAnsi"/>
        </w:rPr>
      </w:pPr>
    </w:p>
    <w:p w14:paraId="6D92EC2B" w14:textId="03D076DE" w:rsidR="001A2A60" w:rsidRPr="00C95105" w:rsidRDefault="001A2A60" w:rsidP="008E4B7A">
      <w:pPr>
        <w:pStyle w:val="TableParagraph"/>
        <w:spacing w:after="120"/>
        <w:ind w:left="0"/>
        <w:rPr>
          <w:rFonts w:asciiTheme="minorHAnsi" w:hAnsiTheme="minorHAnsi" w:cstheme="minorHAnsi"/>
          <w:b/>
          <w:bCs/>
          <w:lang w:val="en-AU"/>
        </w:rPr>
      </w:pPr>
      <w:bookmarkStart w:id="131" w:name="_Toc96878636"/>
      <w:r w:rsidRPr="00C95105">
        <w:rPr>
          <w:rFonts w:asciiTheme="minorHAnsi" w:hAnsiTheme="minorHAnsi" w:cstheme="minorHAnsi"/>
          <w:b/>
          <w:bCs/>
          <w:lang w:val="en-AU"/>
        </w:rPr>
        <w:t xml:space="preserve">Table 2.2. </w:t>
      </w:r>
      <w:r w:rsidRPr="00C95105">
        <w:rPr>
          <w:rFonts w:asciiTheme="minorHAnsi" w:hAnsiTheme="minorHAnsi" w:cstheme="minorHAnsi"/>
          <w:lang w:val="en-AU"/>
        </w:rPr>
        <w:t>Evidence of AAP impact and recommendations to improve effectiveness</w:t>
      </w:r>
      <w:bookmarkEnd w:id="131"/>
    </w:p>
    <w:tbl>
      <w:tblPr>
        <w:tblStyle w:val="TableGrid"/>
        <w:tblW w:w="9072" w:type="dxa"/>
        <w:tblLook w:val="04A0" w:firstRow="1" w:lastRow="0" w:firstColumn="1" w:lastColumn="0" w:noHBand="0" w:noVBand="1"/>
      </w:tblPr>
      <w:tblGrid>
        <w:gridCol w:w="1560"/>
        <w:gridCol w:w="3686"/>
        <w:gridCol w:w="3826"/>
      </w:tblGrid>
      <w:tr w:rsidR="00535E57" w:rsidRPr="00C95105" w14:paraId="064FF0D7" w14:textId="77777777" w:rsidTr="009046B5">
        <w:trPr>
          <w:tblHeader/>
        </w:trPr>
        <w:tc>
          <w:tcPr>
            <w:tcW w:w="1560" w:type="dxa"/>
            <w:tcBorders>
              <w:left w:val="nil"/>
              <w:bottom w:val="single" w:sz="4" w:space="0" w:color="auto"/>
              <w:right w:val="nil"/>
            </w:tcBorders>
          </w:tcPr>
          <w:p w14:paraId="4CB54A0B" w14:textId="5F70CFB4" w:rsidR="00F13C3B" w:rsidRPr="00C95105" w:rsidRDefault="0044505A" w:rsidP="005D5F97">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Area</w:t>
            </w:r>
          </w:p>
        </w:tc>
        <w:tc>
          <w:tcPr>
            <w:tcW w:w="3686" w:type="dxa"/>
            <w:tcBorders>
              <w:left w:val="nil"/>
              <w:right w:val="nil"/>
            </w:tcBorders>
          </w:tcPr>
          <w:p w14:paraId="61E663EE" w14:textId="4C76A415" w:rsidR="00F13C3B" w:rsidRPr="00C95105" w:rsidRDefault="005F2BD8" w:rsidP="005D5F97">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Summary of findings</w:t>
            </w:r>
          </w:p>
        </w:tc>
        <w:tc>
          <w:tcPr>
            <w:tcW w:w="3826" w:type="dxa"/>
            <w:tcBorders>
              <w:left w:val="nil"/>
              <w:right w:val="nil"/>
            </w:tcBorders>
          </w:tcPr>
          <w:p w14:paraId="5E949CCB" w14:textId="0C79DDD5" w:rsidR="00F13C3B" w:rsidRPr="00C95105" w:rsidRDefault="005F2BD8" w:rsidP="005D5F97">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Recommendations</w:t>
            </w:r>
          </w:p>
        </w:tc>
      </w:tr>
      <w:tr w:rsidR="00535E57" w:rsidRPr="00C95105" w14:paraId="3D437A78" w14:textId="77777777" w:rsidTr="7AA29099">
        <w:tc>
          <w:tcPr>
            <w:tcW w:w="1560" w:type="dxa"/>
            <w:tcBorders>
              <w:left w:val="nil"/>
              <w:bottom w:val="nil"/>
              <w:right w:val="nil"/>
            </w:tcBorders>
          </w:tcPr>
          <w:p w14:paraId="43D71A75" w14:textId="33FFCE27" w:rsidR="00CC4AEC" w:rsidRPr="00C95105" w:rsidRDefault="00CC4AEC"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Impact of AAP on interview </w:t>
            </w:r>
            <w:r w:rsidR="00E104E8" w:rsidRPr="00C95105">
              <w:rPr>
                <w:rFonts w:asciiTheme="minorHAnsi" w:hAnsiTheme="minorHAnsi" w:cstheme="minorHAnsi"/>
                <w:sz w:val="22"/>
                <w:szCs w:val="22"/>
              </w:rPr>
              <w:t>offer</w:t>
            </w:r>
            <w:r w:rsidR="005C0740" w:rsidRPr="00C95105">
              <w:rPr>
                <w:rFonts w:asciiTheme="minorHAnsi" w:hAnsiTheme="minorHAnsi" w:cstheme="minorHAnsi"/>
                <w:sz w:val="22"/>
                <w:szCs w:val="22"/>
              </w:rPr>
              <w:t xml:space="preserve">s </w:t>
            </w:r>
            <w:r w:rsidRPr="00C95105">
              <w:rPr>
                <w:rFonts w:asciiTheme="minorHAnsi" w:hAnsiTheme="minorHAnsi" w:cstheme="minorHAnsi"/>
                <w:sz w:val="22"/>
                <w:szCs w:val="22"/>
              </w:rPr>
              <w:t xml:space="preserve">for </w:t>
            </w:r>
            <w:r w:rsidR="00CE2217" w:rsidRPr="00C95105">
              <w:rPr>
                <w:rFonts w:asciiTheme="minorHAnsi" w:hAnsiTheme="minorHAnsi" w:cstheme="minorHAnsi"/>
                <w:sz w:val="22"/>
                <w:szCs w:val="22"/>
              </w:rPr>
              <w:t xml:space="preserve">women and </w:t>
            </w:r>
            <w:r w:rsidRPr="00C95105">
              <w:rPr>
                <w:rFonts w:asciiTheme="minorHAnsi" w:hAnsiTheme="minorHAnsi" w:cstheme="minorHAnsi"/>
                <w:sz w:val="22"/>
                <w:szCs w:val="22"/>
              </w:rPr>
              <w:t>ethnic minorities</w:t>
            </w:r>
          </w:p>
        </w:tc>
        <w:tc>
          <w:tcPr>
            <w:tcW w:w="3686" w:type="dxa"/>
            <w:tcBorders>
              <w:left w:val="nil"/>
              <w:right w:val="nil"/>
            </w:tcBorders>
          </w:tcPr>
          <w:p w14:paraId="2E1ED6BE" w14:textId="7A4927E6" w:rsidR="00CC4AEC" w:rsidRPr="00C95105" w:rsidRDefault="26FAB0C3"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AAP had a positive effect on getting </w:t>
            </w:r>
            <w:r w:rsidR="2E593E96" w:rsidRPr="00C95105">
              <w:rPr>
                <w:rFonts w:asciiTheme="minorHAnsi" w:hAnsiTheme="minorHAnsi" w:cstheme="minorHAnsi"/>
                <w:sz w:val="22"/>
                <w:szCs w:val="22"/>
              </w:rPr>
              <w:t xml:space="preserve">women and ethnic </w:t>
            </w:r>
            <w:r w:rsidRPr="00C95105">
              <w:rPr>
                <w:rFonts w:asciiTheme="minorHAnsi" w:hAnsiTheme="minorHAnsi" w:cstheme="minorHAnsi"/>
                <w:sz w:val="22"/>
                <w:szCs w:val="22"/>
              </w:rPr>
              <w:t xml:space="preserve">minority applicants </w:t>
            </w:r>
            <w:r w:rsidR="73D794A8" w:rsidRPr="00C95105">
              <w:rPr>
                <w:rFonts w:asciiTheme="minorHAnsi" w:hAnsiTheme="minorHAnsi" w:cstheme="minorHAnsi"/>
                <w:sz w:val="22"/>
                <w:szCs w:val="22"/>
              </w:rPr>
              <w:t xml:space="preserve">shortlisted for </w:t>
            </w:r>
            <w:r w:rsidRPr="00C95105">
              <w:rPr>
                <w:rFonts w:asciiTheme="minorHAnsi" w:hAnsiTheme="minorHAnsi" w:cstheme="minorHAnsi"/>
                <w:sz w:val="22"/>
                <w:szCs w:val="22"/>
              </w:rPr>
              <w:t>job interviews</w:t>
            </w:r>
            <w:r w:rsidR="79FADA91" w:rsidRPr="00C95105">
              <w:rPr>
                <w:rFonts w:asciiTheme="minorHAnsi" w:hAnsiTheme="minorHAnsi" w:cstheme="minorHAnsi"/>
                <w:sz w:val="22"/>
                <w:szCs w:val="22"/>
              </w:rPr>
              <w:t xml:space="preserve"> at the same rate as their male</w:t>
            </w:r>
            <w:r w:rsidR="7BDFD351" w:rsidRPr="00C95105">
              <w:rPr>
                <w:rFonts w:asciiTheme="minorHAnsi" w:hAnsiTheme="minorHAnsi" w:cstheme="minorHAnsi"/>
                <w:sz w:val="22"/>
                <w:szCs w:val="22"/>
              </w:rPr>
              <w:t xml:space="preserve"> and ethnic majority counterparts</w:t>
            </w:r>
            <w:r w:rsidR="3F389174" w:rsidRPr="00C95105">
              <w:rPr>
                <w:rFonts w:asciiTheme="minorHAnsi" w:hAnsiTheme="minorHAnsi" w:cstheme="minorHAnsi"/>
                <w:sz w:val="22"/>
                <w:szCs w:val="22"/>
              </w:rPr>
              <w:t>. Th</w:t>
            </w:r>
            <w:r w:rsidR="64D1CC54" w:rsidRPr="00C95105">
              <w:rPr>
                <w:rFonts w:asciiTheme="minorHAnsi" w:hAnsiTheme="minorHAnsi" w:cstheme="minorHAnsi"/>
                <w:sz w:val="22"/>
                <w:szCs w:val="22"/>
              </w:rPr>
              <w:t>is</w:t>
            </w:r>
            <w:r w:rsidR="3F389174" w:rsidRPr="00C95105">
              <w:rPr>
                <w:rFonts w:asciiTheme="minorHAnsi" w:hAnsiTheme="minorHAnsi" w:cstheme="minorHAnsi"/>
                <w:sz w:val="22"/>
                <w:szCs w:val="22"/>
              </w:rPr>
              <w:t xml:space="preserve"> effect only occurred</w:t>
            </w:r>
            <w:r w:rsidRPr="00C95105">
              <w:rPr>
                <w:rFonts w:asciiTheme="minorHAnsi" w:hAnsiTheme="minorHAnsi" w:cstheme="minorHAnsi"/>
                <w:sz w:val="22"/>
                <w:szCs w:val="22"/>
              </w:rPr>
              <w:t xml:space="preserve"> when there was evidence of discrimination in the baseline comparison of </w:t>
            </w:r>
            <w:r w:rsidR="16A705A2" w:rsidRPr="00C95105">
              <w:rPr>
                <w:rFonts w:asciiTheme="minorHAnsi" w:hAnsiTheme="minorHAnsi" w:cstheme="minorHAnsi"/>
                <w:sz w:val="22"/>
                <w:szCs w:val="22"/>
              </w:rPr>
              <w:t xml:space="preserve">women/ethnic </w:t>
            </w:r>
            <w:r w:rsidRPr="00C95105">
              <w:rPr>
                <w:rFonts w:asciiTheme="minorHAnsi" w:hAnsiTheme="minorHAnsi" w:cstheme="minorHAnsi"/>
                <w:sz w:val="22"/>
                <w:szCs w:val="22"/>
              </w:rPr>
              <w:t xml:space="preserve">minority candidates </w:t>
            </w:r>
            <w:r w:rsidR="16A705A2" w:rsidRPr="00C95105">
              <w:rPr>
                <w:rFonts w:asciiTheme="minorHAnsi" w:hAnsiTheme="minorHAnsi" w:cstheme="minorHAnsi"/>
                <w:sz w:val="22"/>
                <w:szCs w:val="22"/>
              </w:rPr>
              <w:t>versus</w:t>
            </w:r>
            <w:r w:rsidRPr="00C95105">
              <w:rPr>
                <w:rFonts w:asciiTheme="minorHAnsi" w:hAnsiTheme="minorHAnsi" w:cstheme="minorHAnsi"/>
                <w:sz w:val="22"/>
                <w:szCs w:val="22"/>
              </w:rPr>
              <w:t xml:space="preserve"> </w:t>
            </w:r>
            <w:r w:rsidR="16A705A2" w:rsidRPr="00C95105">
              <w:rPr>
                <w:rFonts w:asciiTheme="minorHAnsi" w:hAnsiTheme="minorHAnsi" w:cstheme="minorHAnsi"/>
                <w:sz w:val="22"/>
                <w:szCs w:val="22"/>
              </w:rPr>
              <w:t xml:space="preserve">men/ethnic </w:t>
            </w:r>
            <w:r w:rsidRPr="00C95105">
              <w:rPr>
                <w:rFonts w:asciiTheme="minorHAnsi" w:hAnsiTheme="minorHAnsi" w:cstheme="minorHAnsi"/>
                <w:sz w:val="22"/>
                <w:szCs w:val="22"/>
              </w:rPr>
              <w:t>majority candidates.</w:t>
            </w:r>
          </w:p>
        </w:tc>
        <w:tc>
          <w:tcPr>
            <w:tcW w:w="3826" w:type="dxa"/>
            <w:tcBorders>
              <w:left w:val="nil"/>
              <w:right w:val="nil"/>
            </w:tcBorders>
          </w:tcPr>
          <w:p w14:paraId="70210180" w14:textId="283E5E1A" w:rsidR="00CC4AEC" w:rsidRPr="00C95105" w:rsidRDefault="00CC4AEC" w:rsidP="005D5F97">
            <w:pPr>
              <w:spacing w:after="120"/>
              <w:rPr>
                <w:rFonts w:asciiTheme="minorHAnsi" w:hAnsiTheme="minorHAnsi" w:cstheme="minorHAnsi"/>
                <w:sz w:val="22"/>
                <w:szCs w:val="22"/>
              </w:rPr>
            </w:pPr>
            <w:r w:rsidRPr="00C95105">
              <w:rPr>
                <w:rFonts w:asciiTheme="minorHAnsi" w:hAnsiTheme="minorHAnsi" w:cstheme="minorHAnsi"/>
                <w:sz w:val="22"/>
                <w:szCs w:val="22"/>
              </w:rPr>
              <w:t>AAP can be used as a</w:t>
            </w:r>
            <w:r w:rsidR="00991451" w:rsidRPr="00C95105">
              <w:rPr>
                <w:rFonts w:asciiTheme="minorHAnsi" w:hAnsiTheme="minorHAnsi" w:cstheme="minorHAnsi"/>
                <w:sz w:val="22"/>
                <w:szCs w:val="22"/>
              </w:rPr>
              <w:t xml:space="preserve">n </w:t>
            </w:r>
            <w:r w:rsidR="00DD3026" w:rsidRPr="00C95105">
              <w:rPr>
                <w:rFonts w:asciiTheme="minorHAnsi" w:hAnsiTheme="minorHAnsi" w:cstheme="minorHAnsi"/>
                <w:sz w:val="22"/>
                <w:szCs w:val="22"/>
              </w:rPr>
              <w:t>effective tool</w:t>
            </w:r>
            <w:r w:rsidRPr="00C95105">
              <w:rPr>
                <w:rFonts w:asciiTheme="minorHAnsi" w:hAnsiTheme="minorHAnsi" w:cstheme="minorHAnsi"/>
                <w:sz w:val="22"/>
                <w:szCs w:val="22"/>
              </w:rPr>
              <w:t xml:space="preserve"> to reduce discrimination against </w:t>
            </w:r>
            <w:r w:rsidR="00991451" w:rsidRPr="00C95105">
              <w:rPr>
                <w:rFonts w:asciiTheme="minorHAnsi" w:hAnsiTheme="minorHAnsi" w:cstheme="minorHAnsi"/>
                <w:sz w:val="22"/>
                <w:szCs w:val="22"/>
              </w:rPr>
              <w:t xml:space="preserve">women </w:t>
            </w:r>
            <w:r w:rsidR="00291291" w:rsidRPr="00C95105">
              <w:rPr>
                <w:rFonts w:asciiTheme="minorHAnsi" w:hAnsiTheme="minorHAnsi" w:cstheme="minorHAnsi"/>
                <w:sz w:val="22"/>
                <w:szCs w:val="22"/>
              </w:rPr>
              <w:t xml:space="preserve">and </w:t>
            </w:r>
            <w:r w:rsidRPr="00C95105">
              <w:rPr>
                <w:rFonts w:asciiTheme="minorHAnsi" w:hAnsiTheme="minorHAnsi" w:cstheme="minorHAnsi"/>
                <w:sz w:val="22"/>
                <w:szCs w:val="22"/>
              </w:rPr>
              <w:t xml:space="preserve">ethnic minorities in CV </w:t>
            </w:r>
            <w:r w:rsidR="00291291" w:rsidRPr="00C95105">
              <w:rPr>
                <w:rFonts w:asciiTheme="minorHAnsi" w:hAnsiTheme="minorHAnsi" w:cstheme="minorHAnsi"/>
                <w:sz w:val="22"/>
                <w:szCs w:val="22"/>
              </w:rPr>
              <w:t>evaluations</w:t>
            </w:r>
            <w:r w:rsidRPr="00C95105">
              <w:rPr>
                <w:rFonts w:asciiTheme="minorHAnsi" w:hAnsiTheme="minorHAnsi" w:cstheme="minorHAnsi"/>
                <w:sz w:val="22"/>
                <w:szCs w:val="22"/>
              </w:rPr>
              <w:t xml:space="preserve"> during recruitment processes.</w:t>
            </w:r>
          </w:p>
        </w:tc>
      </w:tr>
      <w:tr w:rsidR="00535E57" w:rsidRPr="00C95105" w14:paraId="10F99A10" w14:textId="77777777" w:rsidTr="7AA29099">
        <w:tc>
          <w:tcPr>
            <w:tcW w:w="1560" w:type="dxa"/>
            <w:tcBorders>
              <w:top w:val="nil"/>
              <w:left w:val="nil"/>
              <w:bottom w:val="nil"/>
              <w:right w:val="nil"/>
            </w:tcBorders>
          </w:tcPr>
          <w:p w14:paraId="60BE27E1" w14:textId="77777777" w:rsidR="00CC4AEC" w:rsidRPr="00C95105" w:rsidRDefault="00CC4AEC" w:rsidP="005D5F97">
            <w:pPr>
              <w:spacing w:after="120"/>
              <w:rPr>
                <w:rFonts w:asciiTheme="minorHAnsi" w:hAnsiTheme="minorHAnsi" w:cstheme="minorHAnsi"/>
                <w:sz w:val="22"/>
                <w:szCs w:val="22"/>
              </w:rPr>
            </w:pPr>
          </w:p>
        </w:tc>
        <w:tc>
          <w:tcPr>
            <w:tcW w:w="3686" w:type="dxa"/>
            <w:tcBorders>
              <w:left w:val="nil"/>
              <w:right w:val="nil"/>
            </w:tcBorders>
          </w:tcPr>
          <w:p w14:paraId="7A0CDE38" w14:textId="3D10A289" w:rsidR="00CC4AEC" w:rsidRPr="00C95105" w:rsidRDefault="00B24F36" w:rsidP="005D5F97">
            <w:pPr>
              <w:spacing w:after="120"/>
              <w:rPr>
                <w:rFonts w:asciiTheme="minorHAnsi" w:hAnsiTheme="minorHAnsi" w:cstheme="minorHAnsi"/>
                <w:sz w:val="22"/>
                <w:szCs w:val="22"/>
              </w:rPr>
            </w:pPr>
            <w:r w:rsidRPr="00C95105">
              <w:rPr>
                <w:rFonts w:asciiTheme="minorHAnsi" w:hAnsiTheme="minorHAnsi" w:cstheme="minorHAnsi"/>
                <w:sz w:val="22"/>
                <w:szCs w:val="22"/>
              </w:rPr>
              <w:t>When</w:t>
            </w:r>
            <w:r w:rsidR="00CC4AEC" w:rsidRPr="00C95105">
              <w:rPr>
                <w:rFonts w:asciiTheme="minorHAnsi" w:hAnsiTheme="minorHAnsi" w:cstheme="minorHAnsi"/>
                <w:sz w:val="22"/>
                <w:szCs w:val="22"/>
              </w:rPr>
              <w:t xml:space="preserve"> no discrimination was observed in the control or base-line conditions</w:t>
            </w:r>
            <w:r w:rsidR="0095273A" w:rsidRPr="00C95105">
              <w:rPr>
                <w:rFonts w:asciiTheme="minorHAnsi" w:hAnsiTheme="minorHAnsi" w:cstheme="minorHAnsi"/>
                <w:sz w:val="22"/>
                <w:szCs w:val="22"/>
              </w:rPr>
              <w:t xml:space="preserve">, </w:t>
            </w:r>
            <w:r w:rsidR="00CC4AEC" w:rsidRPr="00C95105">
              <w:rPr>
                <w:rFonts w:asciiTheme="minorHAnsi" w:hAnsiTheme="minorHAnsi" w:cstheme="minorHAnsi"/>
                <w:sz w:val="22"/>
                <w:szCs w:val="22"/>
              </w:rPr>
              <w:t>using AAP either reduce</w:t>
            </w:r>
            <w:r w:rsidRPr="00C95105">
              <w:rPr>
                <w:rFonts w:asciiTheme="minorHAnsi" w:hAnsiTheme="minorHAnsi" w:cstheme="minorHAnsi"/>
                <w:sz w:val="22"/>
                <w:szCs w:val="22"/>
              </w:rPr>
              <w:t>d</w:t>
            </w:r>
            <w:r w:rsidR="00CC4AEC" w:rsidRPr="00C95105">
              <w:rPr>
                <w:rFonts w:asciiTheme="minorHAnsi" w:hAnsiTheme="minorHAnsi" w:cstheme="minorHAnsi"/>
                <w:sz w:val="22"/>
                <w:szCs w:val="22"/>
              </w:rPr>
              <w:t xml:space="preserve"> the likelihood ethnic minority candidates would be </w:t>
            </w:r>
            <w:r w:rsidR="00302883" w:rsidRPr="00C95105">
              <w:rPr>
                <w:rFonts w:asciiTheme="minorHAnsi" w:hAnsiTheme="minorHAnsi" w:cstheme="minorHAnsi"/>
                <w:sz w:val="22"/>
                <w:szCs w:val="22"/>
              </w:rPr>
              <w:t>invited to an interview</w:t>
            </w:r>
            <w:r w:rsidR="00CC4AEC" w:rsidRPr="00C95105">
              <w:rPr>
                <w:rFonts w:asciiTheme="minorHAnsi" w:hAnsiTheme="minorHAnsi" w:cstheme="minorHAnsi"/>
                <w:sz w:val="22"/>
                <w:szCs w:val="22"/>
              </w:rPr>
              <w:t xml:space="preserve"> or had no effect on differences </w:t>
            </w:r>
            <w:r w:rsidRPr="00C95105">
              <w:rPr>
                <w:rFonts w:asciiTheme="minorHAnsi" w:hAnsiTheme="minorHAnsi" w:cstheme="minorHAnsi"/>
                <w:sz w:val="22"/>
                <w:szCs w:val="22"/>
              </w:rPr>
              <w:t>in</w:t>
            </w:r>
            <w:r w:rsidR="00CC4AEC" w:rsidRPr="00C95105">
              <w:rPr>
                <w:rFonts w:asciiTheme="minorHAnsi" w:hAnsiTheme="minorHAnsi" w:cstheme="minorHAnsi"/>
                <w:sz w:val="22"/>
                <w:szCs w:val="22"/>
              </w:rPr>
              <w:t xml:space="preserve"> interview invitations between ethnic minority and majority candidates</w:t>
            </w:r>
            <w:r w:rsidR="0086020D" w:rsidRPr="00C95105">
              <w:rPr>
                <w:rFonts w:asciiTheme="minorHAnsi" w:hAnsiTheme="minorHAnsi" w:cstheme="minorHAnsi"/>
                <w:sz w:val="22"/>
                <w:szCs w:val="22"/>
              </w:rPr>
              <w:t xml:space="preserve">. For </w:t>
            </w:r>
            <w:r w:rsidRPr="00C95105">
              <w:rPr>
                <w:rFonts w:asciiTheme="minorHAnsi" w:hAnsiTheme="minorHAnsi" w:cstheme="minorHAnsi"/>
                <w:sz w:val="22"/>
                <w:szCs w:val="22"/>
              </w:rPr>
              <w:t>gender</w:t>
            </w:r>
            <w:r w:rsidR="0086020D" w:rsidRPr="00C95105">
              <w:rPr>
                <w:rFonts w:asciiTheme="minorHAnsi" w:hAnsiTheme="minorHAnsi" w:cstheme="minorHAnsi"/>
                <w:sz w:val="22"/>
                <w:szCs w:val="22"/>
              </w:rPr>
              <w:t xml:space="preserve">, </w:t>
            </w:r>
            <w:r w:rsidR="00302883" w:rsidRPr="00C95105">
              <w:rPr>
                <w:rFonts w:asciiTheme="minorHAnsi" w:hAnsiTheme="minorHAnsi" w:cstheme="minorHAnsi"/>
                <w:sz w:val="22"/>
                <w:szCs w:val="22"/>
              </w:rPr>
              <w:t xml:space="preserve">AAP had no impact on </w:t>
            </w:r>
            <w:r w:rsidR="008061DF" w:rsidRPr="00C95105">
              <w:rPr>
                <w:rFonts w:asciiTheme="minorHAnsi" w:hAnsiTheme="minorHAnsi" w:cstheme="minorHAnsi"/>
                <w:sz w:val="22"/>
                <w:szCs w:val="22"/>
              </w:rPr>
              <w:t>interview invitations when there was no evidence of previous discrimination.</w:t>
            </w:r>
          </w:p>
        </w:tc>
        <w:tc>
          <w:tcPr>
            <w:tcW w:w="3826" w:type="dxa"/>
            <w:tcBorders>
              <w:left w:val="nil"/>
              <w:right w:val="nil"/>
            </w:tcBorders>
          </w:tcPr>
          <w:p w14:paraId="5AB5F15E" w14:textId="31E7F98C" w:rsidR="00CC4AEC" w:rsidRPr="00C95105" w:rsidRDefault="00CC4AEC"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AAP should be used to increase the </w:t>
            </w:r>
            <w:r w:rsidR="001B73FB" w:rsidRPr="00C95105">
              <w:rPr>
                <w:rFonts w:asciiTheme="minorHAnsi" w:hAnsiTheme="minorHAnsi" w:cstheme="minorHAnsi"/>
                <w:sz w:val="22"/>
                <w:szCs w:val="22"/>
              </w:rPr>
              <w:t>shortlisting/</w:t>
            </w:r>
            <w:r w:rsidRPr="00C95105">
              <w:rPr>
                <w:rFonts w:asciiTheme="minorHAnsi" w:hAnsiTheme="minorHAnsi" w:cstheme="minorHAnsi"/>
                <w:sz w:val="22"/>
                <w:szCs w:val="22"/>
              </w:rPr>
              <w:t xml:space="preserve">interview </w:t>
            </w:r>
            <w:r w:rsidR="001B73FB" w:rsidRPr="00C95105">
              <w:rPr>
                <w:rFonts w:asciiTheme="minorHAnsi" w:hAnsiTheme="minorHAnsi" w:cstheme="minorHAnsi"/>
                <w:sz w:val="22"/>
                <w:szCs w:val="22"/>
              </w:rPr>
              <w:t xml:space="preserve">invitation </w:t>
            </w:r>
            <w:r w:rsidRPr="00C95105">
              <w:rPr>
                <w:rFonts w:asciiTheme="minorHAnsi" w:hAnsiTheme="minorHAnsi" w:cstheme="minorHAnsi"/>
                <w:sz w:val="22"/>
                <w:szCs w:val="22"/>
              </w:rPr>
              <w:t xml:space="preserve">rate of minority candidates </w:t>
            </w:r>
            <w:r w:rsidR="00DD3026" w:rsidRPr="00C95105">
              <w:rPr>
                <w:rFonts w:asciiTheme="minorHAnsi" w:hAnsiTheme="minorHAnsi" w:cstheme="minorHAnsi"/>
                <w:sz w:val="22"/>
                <w:szCs w:val="22"/>
              </w:rPr>
              <w:t xml:space="preserve">and women </w:t>
            </w:r>
            <w:r w:rsidRPr="00C95105">
              <w:rPr>
                <w:rFonts w:asciiTheme="minorHAnsi" w:hAnsiTheme="minorHAnsi" w:cstheme="minorHAnsi"/>
                <w:sz w:val="22"/>
                <w:szCs w:val="22"/>
              </w:rPr>
              <w:t xml:space="preserve">in situations where there is evidence of previous and continuing discrimination </w:t>
            </w:r>
            <w:r w:rsidR="00D4351D" w:rsidRPr="00C95105">
              <w:rPr>
                <w:rFonts w:asciiTheme="minorHAnsi" w:hAnsiTheme="minorHAnsi" w:cstheme="minorHAnsi"/>
                <w:sz w:val="22"/>
                <w:szCs w:val="22"/>
              </w:rPr>
              <w:t xml:space="preserve">in recruitment and selection </w:t>
            </w:r>
            <w:r w:rsidRPr="00C95105">
              <w:rPr>
                <w:rFonts w:asciiTheme="minorHAnsi" w:hAnsiTheme="minorHAnsi" w:cstheme="minorHAnsi"/>
                <w:sz w:val="22"/>
                <w:szCs w:val="22"/>
              </w:rPr>
              <w:t xml:space="preserve">against </w:t>
            </w:r>
            <w:r w:rsidR="00DD3026" w:rsidRPr="00C95105">
              <w:rPr>
                <w:rFonts w:asciiTheme="minorHAnsi" w:hAnsiTheme="minorHAnsi" w:cstheme="minorHAnsi"/>
                <w:sz w:val="22"/>
                <w:szCs w:val="22"/>
              </w:rPr>
              <w:t>these groups of</w:t>
            </w:r>
            <w:r w:rsidRPr="00C95105">
              <w:rPr>
                <w:rFonts w:asciiTheme="minorHAnsi" w:hAnsiTheme="minorHAnsi" w:cstheme="minorHAnsi"/>
                <w:sz w:val="22"/>
                <w:szCs w:val="22"/>
              </w:rPr>
              <w:t xml:space="preserve"> </w:t>
            </w:r>
            <w:r w:rsidR="00DD3026" w:rsidRPr="00C95105">
              <w:rPr>
                <w:rFonts w:asciiTheme="minorHAnsi" w:hAnsiTheme="minorHAnsi" w:cstheme="minorHAnsi"/>
                <w:sz w:val="22"/>
                <w:szCs w:val="22"/>
              </w:rPr>
              <w:t>applicants.</w:t>
            </w:r>
          </w:p>
        </w:tc>
      </w:tr>
      <w:tr w:rsidR="00535E57" w:rsidRPr="00C95105" w14:paraId="3F338F6B" w14:textId="77777777" w:rsidTr="7AA29099">
        <w:tc>
          <w:tcPr>
            <w:tcW w:w="1560" w:type="dxa"/>
            <w:tcBorders>
              <w:top w:val="nil"/>
              <w:left w:val="nil"/>
              <w:right w:val="nil"/>
            </w:tcBorders>
          </w:tcPr>
          <w:p w14:paraId="52981567" w14:textId="77777777" w:rsidR="00CC4AEC" w:rsidRPr="00C95105" w:rsidRDefault="00CC4AEC" w:rsidP="005D5F97">
            <w:pPr>
              <w:spacing w:after="120"/>
              <w:rPr>
                <w:rFonts w:asciiTheme="minorHAnsi" w:hAnsiTheme="minorHAnsi" w:cstheme="minorHAnsi"/>
                <w:sz w:val="22"/>
                <w:szCs w:val="22"/>
              </w:rPr>
            </w:pPr>
          </w:p>
        </w:tc>
        <w:tc>
          <w:tcPr>
            <w:tcW w:w="3686" w:type="dxa"/>
            <w:tcBorders>
              <w:left w:val="nil"/>
              <w:right w:val="nil"/>
            </w:tcBorders>
          </w:tcPr>
          <w:p w14:paraId="2F79F619" w14:textId="643B66E5" w:rsidR="00CC4AEC" w:rsidRPr="00C95105" w:rsidRDefault="00CC4AEC"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Organisations that are already engaging in equal </w:t>
            </w:r>
            <w:r w:rsidR="005A6403" w:rsidRPr="00C95105">
              <w:rPr>
                <w:rFonts w:asciiTheme="minorHAnsi" w:hAnsiTheme="minorHAnsi" w:cstheme="minorHAnsi"/>
                <w:sz w:val="22"/>
                <w:szCs w:val="22"/>
              </w:rPr>
              <w:t xml:space="preserve">employment </w:t>
            </w:r>
            <w:r w:rsidRPr="00C95105">
              <w:rPr>
                <w:rFonts w:asciiTheme="minorHAnsi" w:hAnsiTheme="minorHAnsi" w:cstheme="minorHAnsi"/>
                <w:sz w:val="22"/>
                <w:szCs w:val="22"/>
              </w:rPr>
              <w:t>opportunity or preferential selection strategies</w:t>
            </w:r>
            <w:r w:rsidR="0075083C" w:rsidRPr="00C95105">
              <w:rPr>
                <w:rFonts w:asciiTheme="minorHAnsi" w:hAnsiTheme="minorHAnsi" w:cstheme="minorHAnsi"/>
                <w:sz w:val="22"/>
                <w:szCs w:val="22"/>
              </w:rPr>
              <w:t xml:space="preserve"> (e.g., </w:t>
            </w:r>
            <w:r w:rsidRPr="00C95105">
              <w:rPr>
                <w:rFonts w:asciiTheme="minorHAnsi" w:hAnsiTheme="minorHAnsi" w:cstheme="minorHAnsi"/>
                <w:sz w:val="22"/>
                <w:szCs w:val="22"/>
              </w:rPr>
              <w:t>shortlisting a minority candidate over a non-minority candidate when the two are matched on skill and job fitness</w:t>
            </w:r>
            <w:r w:rsidR="0075083C" w:rsidRPr="00C95105">
              <w:rPr>
                <w:rFonts w:asciiTheme="minorHAnsi" w:hAnsiTheme="minorHAnsi" w:cstheme="minorHAnsi"/>
                <w:sz w:val="22"/>
                <w:szCs w:val="22"/>
              </w:rPr>
              <w:t>)</w:t>
            </w:r>
            <w:r w:rsidRPr="00C95105">
              <w:rPr>
                <w:rFonts w:asciiTheme="minorHAnsi" w:hAnsiTheme="minorHAnsi" w:cstheme="minorHAnsi"/>
                <w:sz w:val="22"/>
                <w:szCs w:val="22"/>
              </w:rPr>
              <w:t xml:space="preserve">, </w:t>
            </w:r>
            <w:r w:rsidR="00503D05" w:rsidRPr="00C95105">
              <w:rPr>
                <w:rFonts w:asciiTheme="minorHAnsi" w:hAnsiTheme="minorHAnsi" w:cstheme="minorHAnsi"/>
                <w:sz w:val="22"/>
                <w:szCs w:val="22"/>
              </w:rPr>
              <w:t>saw</w:t>
            </w:r>
            <w:r w:rsidRPr="00C95105">
              <w:rPr>
                <w:rFonts w:asciiTheme="minorHAnsi" w:hAnsiTheme="minorHAnsi" w:cstheme="minorHAnsi"/>
                <w:sz w:val="22"/>
                <w:szCs w:val="22"/>
              </w:rPr>
              <w:t xml:space="preserve"> no benefit or </w:t>
            </w:r>
            <w:r w:rsidR="00C81074" w:rsidRPr="00C95105">
              <w:rPr>
                <w:rFonts w:asciiTheme="minorHAnsi" w:hAnsiTheme="minorHAnsi" w:cstheme="minorHAnsi"/>
                <w:sz w:val="22"/>
                <w:szCs w:val="22"/>
              </w:rPr>
              <w:t>went</w:t>
            </w:r>
            <w:r w:rsidRPr="00C95105">
              <w:rPr>
                <w:rFonts w:asciiTheme="minorHAnsi" w:hAnsiTheme="minorHAnsi" w:cstheme="minorHAnsi"/>
                <w:sz w:val="22"/>
                <w:szCs w:val="22"/>
              </w:rPr>
              <w:t xml:space="preserve"> backwards when </w:t>
            </w:r>
            <w:r w:rsidRPr="00C95105">
              <w:rPr>
                <w:rFonts w:asciiTheme="minorHAnsi" w:hAnsiTheme="minorHAnsi" w:cstheme="minorHAnsi"/>
                <w:sz w:val="22"/>
                <w:szCs w:val="22"/>
              </w:rPr>
              <w:lastRenderedPageBreak/>
              <w:t xml:space="preserve">implementing AAP to reduce ethnicity </w:t>
            </w:r>
            <w:r w:rsidR="00ED3AE5" w:rsidRPr="00C95105">
              <w:rPr>
                <w:rFonts w:asciiTheme="minorHAnsi" w:hAnsiTheme="minorHAnsi" w:cstheme="minorHAnsi"/>
                <w:sz w:val="22"/>
                <w:szCs w:val="22"/>
              </w:rPr>
              <w:t xml:space="preserve">and gender </w:t>
            </w:r>
            <w:r w:rsidRPr="00C95105">
              <w:rPr>
                <w:rFonts w:asciiTheme="minorHAnsi" w:hAnsiTheme="minorHAnsi" w:cstheme="minorHAnsi"/>
                <w:sz w:val="22"/>
                <w:szCs w:val="22"/>
              </w:rPr>
              <w:t>discrimination.</w:t>
            </w:r>
          </w:p>
        </w:tc>
        <w:tc>
          <w:tcPr>
            <w:tcW w:w="3826" w:type="dxa"/>
            <w:tcBorders>
              <w:left w:val="nil"/>
              <w:right w:val="nil"/>
            </w:tcBorders>
          </w:tcPr>
          <w:p w14:paraId="74E2E336" w14:textId="7E573F1D" w:rsidR="00CC4AEC" w:rsidRPr="00C95105" w:rsidRDefault="3D4CD556" w:rsidP="005D5F97">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 xml:space="preserve">Organisations should take a holistic look at the range of activities they are undertaking to diversify their pool of candidates and employees and only use AAP when it would not hinder other, more cost-effective actions </w:t>
            </w:r>
            <w:r w:rsidR="73D2F425" w:rsidRPr="00C95105">
              <w:rPr>
                <w:rFonts w:asciiTheme="minorHAnsi" w:hAnsiTheme="minorHAnsi" w:cstheme="minorHAnsi"/>
                <w:sz w:val="22"/>
                <w:szCs w:val="22"/>
              </w:rPr>
              <w:t xml:space="preserve">that </w:t>
            </w:r>
            <w:r w:rsidRPr="00C95105">
              <w:rPr>
                <w:rFonts w:asciiTheme="minorHAnsi" w:hAnsiTheme="minorHAnsi" w:cstheme="minorHAnsi"/>
                <w:sz w:val="22"/>
                <w:szCs w:val="22"/>
              </w:rPr>
              <w:t>are already</w:t>
            </w:r>
            <w:r w:rsidR="44B75BA2" w:rsidRPr="00C95105">
              <w:rPr>
                <w:rFonts w:asciiTheme="minorHAnsi" w:hAnsiTheme="minorHAnsi" w:cstheme="minorHAnsi"/>
                <w:sz w:val="22"/>
                <w:szCs w:val="22"/>
              </w:rPr>
              <w:t xml:space="preserve"> (or could be)</w:t>
            </w:r>
            <w:r w:rsidRPr="00C95105">
              <w:rPr>
                <w:rFonts w:asciiTheme="minorHAnsi" w:hAnsiTheme="minorHAnsi" w:cstheme="minorHAnsi"/>
                <w:sz w:val="22"/>
                <w:szCs w:val="22"/>
              </w:rPr>
              <w:t xml:space="preserve"> </w:t>
            </w:r>
            <w:r w:rsidR="54D1090E" w:rsidRPr="00C95105">
              <w:rPr>
                <w:rFonts w:asciiTheme="minorHAnsi" w:hAnsiTheme="minorHAnsi" w:cstheme="minorHAnsi"/>
                <w:sz w:val="22"/>
                <w:szCs w:val="22"/>
              </w:rPr>
              <w:t>in place.</w:t>
            </w:r>
          </w:p>
        </w:tc>
      </w:tr>
      <w:tr w:rsidR="00535E57" w:rsidRPr="00C95105" w14:paraId="5CFA5842" w14:textId="77777777" w:rsidTr="7AA29099">
        <w:tc>
          <w:tcPr>
            <w:tcW w:w="1560" w:type="dxa"/>
            <w:tcBorders>
              <w:left w:val="nil"/>
              <w:right w:val="nil"/>
            </w:tcBorders>
          </w:tcPr>
          <w:p w14:paraId="135F5D38" w14:textId="2883E394" w:rsidR="00BD11C4" w:rsidRPr="00C95105" w:rsidRDefault="00BD11C4" w:rsidP="005D5F97">
            <w:pPr>
              <w:spacing w:after="120"/>
              <w:rPr>
                <w:rFonts w:asciiTheme="minorHAnsi" w:hAnsiTheme="minorHAnsi" w:cstheme="minorHAnsi"/>
                <w:sz w:val="22"/>
                <w:szCs w:val="22"/>
              </w:rPr>
            </w:pPr>
            <w:r w:rsidRPr="00C95105">
              <w:rPr>
                <w:rFonts w:asciiTheme="minorHAnsi" w:hAnsiTheme="minorHAnsi" w:cstheme="minorHAnsi"/>
                <w:sz w:val="22"/>
                <w:szCs w:val="22"/>
              </w:rPr>
              <w:t>Impact of AAP on job offer</w:t>
            </w:r>
            <w:r w:rsidR="00C566CE" w:rsidRPr="00C95105">
              <w:rPr>
                <w:rFonts w:asciiTheme="minorHAnsi" w:hAnsiTheme="minorHAnsi" w:cstheme="minorHAnsi"/>
                <w:sz w:val="22"/>
                <w:szCs w:val="22"/>
              </w:rPr>
              <w:t>s</w:t>
            </w:r>
            <w:r w:rsidRPr="00C95105">
              <w:rPr>
                <w:rFonts w:asciiTheme="minorHAnsi" w:hAnsiTheme="minorHAnsi" w:cstheme="minorHAnsi"/>
                <w:sz w:val="22"/>
                <w:szCs w:val="22"/>
              </w:rPr>
              <w:t xml:space="preserve"> for women</w:t>
            </w:r>
          </w:p>
        </w:tc>
        <w:tc>
          <w:tcPr>
            <w:tcW w:w="3686" w:type="dxa"/>
            <w:tcBorders>
              <w:left w:val="nil"/>
              <w:right w:val="nil"/>
            </w:tcBorders>
          </w:tcPr>
          <w:p w14:paraId="4C87E337" w14:textId="3851B202" w:rsidR="00BD11C4" w:rsidRPr="00C95105" w:rsidRDefault="00750414"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In workplaces where men were more likely than women to get </w:t>
            </w:r>
            <w:r w:rsidR="00523004" w:rsidRPr="00C95105">
              <w:rPr>
                <w:rFonts w:asciiTheme="minorHAnsi" w:hAnsiTheme="minorHAnsi" w:cstheme="minorHAnsi"/>
                <w:sz w:val="22"/>
                <w:szCs w:val="22"/>
              </w:rPr>
              <w:t xml:space="preserve">post-interview </w:t>
            </w:r>
            <w:r w:rsidRPr="00C95105">
              <w:rPr>
                <w:rFonts w:asciiTheme="minorHAnsi" w:hAnsiTheme="minorHAnsi" w:cstheme="minorHAnsi"/>
                <w:sz w:val="22"/>
                <w:szCs w:val="22"/>
              </w:rPr>
              <w:t>job offers</w:t>
            </w:r>
            <w:r w:rsidR="007108E0" w:rsidRPr="00C95105">
              <w:rPr>
                <w:rFonts w:asciiTheme="minorHAnsi" w:hAnsiTheme="minorHAnsi" w:cstheme="minorHAnsi"/>
                <w:sz w:val="22"/>
                <w:szCs w:val="22"/>
              </w:rPr>
              <w:t>,</w:t>
            </w:r>
            <w:r w:rsidRPr="00C95105">
              <w:rPr>
                <w:rFonts w:asciiTheme="minorHAnsi" w:hAnsiTheme="minorHAnsi" w:cstheme="minorHAnsi"/>
                <w:sz w:val="22"/>
                <w:szCs w:val="22"/>
              </w:rPr>
              <w:t xml:space="preserve"> under control and baseline conditions, AAP </w:t>
            </w:r>
            <w:r w:rsidR="00FF6B59" w:rsidRPr="00C95105">
              <w:rPr>
                <w:rFonts w:asciiTheme="minorHAnsi" w:hAnsiTheme="minorHAnsi" w:cstheme="minorHAnsi"/>
                <w:sz w:val="22"/>
                <w:szCs w:val="22"/>
              </w:rPr>
              <w:t>worked to reduce discrimination against women in job offers.</w:t>
            </w:r>
          </w:p>
        </w:tc>
        <w:tc>
          <w:tcPr>
            <w:tcW w:w="3826" w:type="dxa"/>
            <w:tcBorders>
              <w:left w:val="nil"/>
              <w:right w:val="nil"/>
            </w:tcBorders>
          </w:tcPr>
          <w:p w14:paraId="1424A5D3" w14:textId="3A9D9B10" w:rsidR="00BD11C4" w:rsidRPr="00C95105" w:rsidRDefault="114619CE"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AAP can be implemented as an effective tool to give women </w:t>
            </w:r>
            <w:r w:rsidR="0BDDDC41" w:rsidRPr="00C95105">
              <w:rPr>
                <w:rFonts w:asciiTheme="minorHAnsi" w:hAnsiTheme="minorHAnsi" w:cstheme="minorHAnsi"/>
                <w:sz w:val="22"/>
                <w:szCs w:val="22"/>
              </w:rPr>
              <w:t xml:space="preserve">more than a </w:t>
            </w:r>
            <w:r w:rsidRPr="00C95105">
              <w:rPr>
                <w:rFonts w:asciiTheme="minorHAnsi" w:hAnsiTheme="minorHAnsi" w:cstheme="minorHAnsi"/>
                <w:sz w:val="22"/>
                <w:szCs w:val="22"/>
              </w:rPr>
              <w:t xml:space="preserve">“foot in the door” </w:t>
            </w:r>
            <w:r w:rsidR="0BDDDC41" w:rsidRPr="00C95105">
              <w:rPr>
                <w:rFonts w:asciiTheme="minorHAnsi" w:hAnsiTheme="minorHAnsi" w:cstheme="minorHAnsi"/>
                <w:sz w:val="22"/>
                <w:szCs w:val="22"/>
              </w:rPr>
              <w:t>and help them progress</w:t>
            </w:r>
            <w:r w:rsidR="00B36818" w:rsidRPr="00C95105">
              <w:rPr>
                <w:rFonts w:asciiTheme="minorHAnsi" w:hAnsiTheme="minorHAnsi" w:cstheme="minorHAnsi"/>
                <w:sz w:val="22"/>
                <w:szCs w:val="22"/>
              </w:rPr>
              <w:t xml:space="preserve"> to </w:t>
            </w:r>
            <w:r w:rsidR="69D32EE2" w:rsidRPr="00C95105">
              <w:rPr>
                <w:rFonts w:asciiTheme="minorHAnsi" w:hAnsiTheme="minorHAnsi" w:cstheme="minorHAnsi"/>
                <w:sz w:val="22"/>
                <w:szCs w:val="22"/>
              </w:rPr>
              <w:t xml:space="preserve">the </w:t>
            </w:r>
            <w:r w:rsidR="00B36818" w:rsidRPr="00C95105">
              <w:rPr>
                <w:rFonts w:asciiTheme="minorHAnsi" w:hAnsiTheme="minorHAnsi" w:cstheme="minorHAnsi"/>
                <w:sz w:val="22"/>
                <w:szCs w:val="22"/>
              </w:rPr>
              <w:t xml:space="preserve">job offer stage when there was </w:t>
            </w:r>
            <w:r w:rsidR="7CF59A23" w:rsidRPr="00C95105">
              <w:rPr>
                <w:rFonts w:asciiTheme="minorHAnsi" w:hAnsiTheme="minorHAnsi" w:cstheme="minorHAnsi"/>
                <w:sz w:val="22"/>
                <w:szCs w:val="22"/>
              </w:rPr>
              <w:t xml:space="preserve">previous </w:t>
            </w:r>
            <w:r w:rsidR="00B36818" w:rsidRPr="00C95105">
              <w:rPr>
                <w:rFonts w:asciiTheme="minorHAnsi" w:hAnsiTheme="minorHAnsi" w:cstheme="minorHAnsi"/>
                <w:sz w:val="22"/>
                <w:szCs w:val="22"/>
              </w:rPr>
              <w:t>evidence of discrimination</w:t>
            </w:r>
            <w:r w:rsidR="1B58151B" w:rsidRPr="00C95105">
              <w:rPr>
                <w:rFonts w:asciiTheme="minorHAnsi" w:hAnsiTheme="minorHAnsi" w:cstheme="minorHAnsi"/>
                <w:sz w:val="22"/>
                <w:szCs w:val="22"/>
              </w:rPr>
              <w:t>.</w:t>
            </w:r>
          </w:p>
        </w:tc>
      </w:tr>
      <w:tr w:rsidR="00535E57" w:rsidRPr="00C95105" w14:paraId="2375714D" w14:textId="77777777" w:rsidTr="7AA29099">
        <w:tc>
          <w:tcPr>
            <w:tcW w:w="1560" w:type="dxa"/>
            <w:tcBorders>
              <w:left w:val="nil"/>
              <w:right w:val="nil"/>
            </w:tcBorders>
          </w:tcPr>
          <w:p w14:paraId="3811DF01" w14:textId="66BE722A" w:rsidR="00CC4AEC" w:rsidRPr="00C95105" w:rsidRDefault="00CC4AEC" w:rsidP="005D5F97">
            <w:pPr>
              <w:spacing w:after="120"/>
              <w:rPr>
                <w:rFonts w:asciiTheme="minorHAnsi" w:hAnsiTheme="minorHAnsi" w:cstheme="minorHAnsi"/>
                <w:sz w:val="22"/>
                <w:szCs w:val="22"/>
              </w:rPr>
            </w:pPr>
            <w:r w:rsidRPr="00C95105">
              <w:rPr>
                <w:rFonts w:asciiTheme="minorHAnsi" w:hAnsiTheme="minorHAnsi" w:cstheme="minorHAnsi"/>
                <w:sz w:val="22"/>
                <w:szCs w:val="22"/>
              </w:rPr>
              <w:t>Impact of AAP on job offer</w:t>
            </w:r>
            <w:r w:rsidR="00C566CE" w:rsidRPr="00C95105">
              <w:rPr>
                <w:rFonts w:asciiTheme="minorHAnsi" w:hAnsiTheme="minorHAnsi" w:cstheme="minorHAnsi"/>
                <w:sz w:val="22"/>
                <w:szCs w:val="22"/>
              </w:rPr>
              <w:t>s</w:t>
            </w:r>
            <w:r w:rsidRPr="00C95105">
              <w:rPr>
                <w:rFonts w:asciiTheme="minorHAnsi" w:hAnsiTheme="minorHAnsi" w:cstheme="minorHAnsi"/>
                <w:sz w:val="22"/>
                <w:szCs w:val="22"/>
              </w:rPr>
              <w:t xml:space="preserve"> for ethnic minorities</w:t>
            </w:r>
          </w:p>
        </w:tc>
        <w:tc>
          <w:tcPr>
            <w:tcW w:w="3686" w:type="dxa"/>
            <w:tcBorders>
              <w:left w:val="nil"/>
              <w:right w:val="nil"/>
            </w:tcBorders>
          </w:tcPr>
          <w:p w14:paraId="20A4E8C1" w14:textId="72046A0A" w:rsidR="00CC4AEC" w:rsidRPr="00C95105" w:rsidRDefault="3D4CD556"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The current evidence on whether AAP increase the chances of ethnic </w:t>
            </w:r>
            <w:r w:rsidR="009C7C3D" w:rsidRPr="00C95105">
              <w:rPr>
                <w:rFonts w:asciiTheme="minorHAnsi" w:hAnsiTheme="minorHAnsi" w:cstheme="minorHAnsi"/>
                <w:sz w:val="22"/>
                <w:szCs w:val="22"/>
              </w:rPr>
              <w:t>minorities</w:t>
            </w:r>
            <w:r w:rsidRPr="00C95105">
              <w:rPr>
                <w:rFonts w:asciiTheme="minorHAnsi" w:hAnsiTheme="minorHAnsi" w:cstheme="minorHAnsi"/>
                <w:sz w:val="22"/>
                <w:szCs w:val="22"/>
              </w:rPr>
              <w:t xml:space="preserve"> getting a post-interview job offer is not consistent </w:t>
            </w:r>
            <w:r w:rsidR="0C6F50FA" w:rsidRPr="00C95105">
              <w:rPr>
                <w:rFonts w:asciiTheme="minorHAnsi" w:hAnsiTheme="minorHAnsi" w:cstheme="minorHAnsi"/>
                <w:sz w:val="22"/>
                <w:szCs w:val="22"/>
              </w:rPr>
              <w:t xml:space="preserve">or </w:t>
            </w:r>
            <w:r w:rsidRPr="00C95105">
              <w:rPr>
                <w:rFonts w:asciiTheme="minorHAnsi" w:hAnsiTheme="minorHAnsi" w:cstheme="minorHAnsi"/>
                <w:sz w:val="22"/>
                <w:szCs w:val="22"/>
              </w:rPr>
              <w:t>robust enough to be helpful in developing policy</w:t>
            </w:r>
            <w:r w:rsidR="2C34F328" w:rsidRPr="00C95105">
              <w:rPr>
                <w:rFonts w:asciiTheme="minorHAnsi" w:hAnsiTheme="minorHAnsi" w:cstheme="minorHAnsi"/>
                <w:sz w:val="22"/>
                <w:szCs w:val="22"/>
              </w:rPr>
              <w:t>.</w:t>
            </w:r>
          </w:p>
        </w:tc>
        <w:tc>
          <w:tcPr>
            <w:tcW w:w="3826" w:type="dxa"/>
            <w:tcBorders>
              <w:left w:val="nil"/>
              <w:right w:val="nil"/>
            </w:tcBorders>
          </w:tcPr>
          <w:p w14:paraId="71820136" w14:textId="7C07D1DF" w:rsidR="00CC4AEC" w:rsidRPr="00C95105" w:rsidRDefault="00CC4AEC"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Organisations need to consider discrimination mitigation strategies other than AAP </w:t>
            </w:r>
            <w:r w:rsidR="00281E81" w:rsidRPr="00C95105">
              <w:rPr>
                <w:rFonts w:asciiTheme="minorHAnsi" w:hAnsiTheme="minorHAnsi" w:cstheme="minorHAnsi"/>
                <w:sz w:val="22"/>
                <w:szCs w:val="22"/>
              </w:rPr>
              <w:t xml:space="preserve">(e.g., prejudice reduction interventions, bias mitigation prompts, targets or quotas) </w:t>
            </w:r>
            <w:r w:rsidRPr="00C95105">
              <w:rPr>
                <w:rFonts w:asciiTheme="minorHAnsi" w:hAnsiTheme="minorHAnsi" w:cstheme="minorHAnsi"/>
                <w:sz w:val="22"/>
                <w:szCs w:val="22"/>
              </w:rPr>
              <w:t xml:space="preserve">if they want to protect ethnic minorities from discrimination at the interview and job-offer stages. </w:t>
            </w:r>
          </w:p>
        </w:tc>
      </w:tr>
      <w:tr w:rsidR="00535E57" w:rsidRPr="00C95105" w14:paraId="50F7618A" w14:textId="77777777" w:rsidTr="7AA29099">
        <w:tc>
          <w:tcPr>
            <w:tcW w:w="1560" w:type="dxa"/>
            <w:tcBorders>
              <w:left w:val="nil"/>
              <w:right w:val="nil"/>
            </w:tcBorders>
          </w:tcPr>
          <w:p w14:paraId="6B885409" w14:textId="332EA773" w:rsidR="00F76028" w:rsidRPr="00C95105" w:rsidRDefault="00F76028" w:rsidP="005D5F97">
            <w:pPr>
              <w:spacing w:after="120"/>
              <w:rPr>
                <w:rFonts w:asciiTheme="minorHAnsi" w:hAnsiTheme="minorHAnsi" w:cstheme="minorHAnsi"/>
                <w:sz w:val="22"/>
                <w:szCs w:val="22"/>
              </w:rPr>
            </w:pPr>
            <w:r w:rsidRPr="00C95105">
              <w:rPr>
                <w:rFonts w:asciiTheme="minorHAnsi" w:hAnsiTheme="minorHAnsi" w:cstheme="minorHAnsi"/>
                <w:sz w:val="22"/>
                <w:szCs w:val="22"/>
              </w:rPr>
              <w:t>Impact of AAP on interview offer</w:t>
            </w:r>
            <w:r w:rsidR="00C566CE" w:rsidRPr="00C95105">
              <w:rPr>
                <w:rFonts w:asciiTheme="minorHAnsi" w:hAnsiTheme="minorHAnsi" w:cstheme="minorHAnsi"/>
                <w:sz w:val="22"/>
                <w:szCs w:val="22"/>
              </w:rPr>
              <w:t>s</w:t>
            </w:r>
            <w:r w:rsidRPr="00C95105">
              <w:rPr>
                <w:rFonts w:asciiTheme="minorHAnsi" w:hAnsiTheme="minorHAnsi" w:cstheme="minorHAnsi"/>
                <w:sz w:val="22"/>
                <w:szCs w:val="22"/>
              </w:rPr>
              <w:t xml:space="preserve"> for weight groups</w:t>
            </w:r>
          </w:p>
        </w:tc>
        <w:tc>
          <w:tcPr>
            <w:tcW w:w="3686" w:type="dxa"/>
            <w:tcBorders>
              <w:left w:val="nil"/>
              <w:right w:val="nil"/>
            </w:tcBorders>
          </w:tcPr>
          <w:p w14:paraId="680CDEE5" w14:textId="7EB82C05" w:rsidR="00F76028" w:rsidRPr="00C95105" w:rsidRDefault="00F76028" w:rsidP="005D5F97">
            <w:pPr>
              <w:spacing w:after="120"/>
              <w:rPr>
                <w:rFonts w:asciiTheme="minorHAnsi" w:hAnsiTheme="minorHAnsi" w:cstheme="minorHAnsi"/>
                <w:sz w:val="22"/>
                <w:szCs w:val="22"/>
              </w:rPr>
            </w:pPr>
            <w:r w:rsidRPr="00C95105">
              <w:rPr>
                <w:rFonts w:asciiTheme="minorHAnsi" w:hAnsiTheme="minorHAnsi" w:cstheme="minorHAnsi"/>
                <w:sz w:val="22"/>
                <w:szCs w:val="22"/>
              </w:rPr>
              <w:t>Only one study focused on this topic and found a reduction in discrimination in interview offers towards overweight applicants in the AAP condition</w:t>
            </w:r>
            <w:r w:rsidR="002C594B" w:rsidRPr="00C95105">
              <w:rPr>
                <w:rFonts w:asciiTheme="minorHAnsi" w:hAnsiTheme="minorHAnsi" w:cstheme="minorHAnsi"/>
                <w:sz w:val="22"/>
                <w:szCs w:val="22"/>
              </w:rPr>
              <w:t>,</w:t>
            </w:r>
            <w:r w:rsidRPr="00C95105">
              <w:rPr>
                <w:rFonts w:asciiTheme="minorHAnsi" w:hAnsiTheme="minorHAnsi" w:cstheme="minorHAnsi"/>
                <w:sz w:val="22"/>
                <w:szCs w:val="22"/>
              </w:rPr>
              <w:t xml:space="preserve"> relative to </w:t>
            </w:r>
            <w:r w:rsidR="002C594B" w:rsidRPr="00C95105">
              <w:rPr>
                <w:rFonts w:asciiTheme="minorHAnsi" w:hAnsiTheme="minorHAnsi" w:cstheme="minorHAnsi"/>
                <w:sz w:val="22"/>
                <w:szCs w:val="22"/>
              </w:rPr>
              <w:t xml:space="preserve">the </w:t>
            </w:r>
            <w:r w:rsidRPr="00C95105">
              <w:rPr>
                <w:rFonts w:asciiTheme="minorHAnsi" w:hAnsiTheme="minorHAnsi" w:cstheme="minorHAnsi"/>
                <w:sz w:val="22"/>
                <w:szCs w:val="22"/>
              </w:rPr>
              <w:t>control</w:t>
            </w:r>
            <w:r w:rsidR="00314001" w:rsidRPr="00C95105">
              <w:rPr>
                <w:rFonts w:asciiTheme="minorHAnsi" w:hAnsiTheme="minorHAnsi" w:cstheme="minorHAnsi"/>
                <w:sz w:val="22"/>
                <w:szCs w:val="22"/>
              </w:rPr>
              <w:t xml:space="preserve"> condition</w:t>
            </w:r>
            <w:r w:rsidRPr="00C95105">
              <w:rPr>
                <w:rFonts w:asciiTheme="minorHAnsi" w:hAnsiTheme="minorHAnsi" w:cstheme="minorHAnsi"/>
                <w:sz w:val="22"/>
                <w:szCs w:val="22"/>
              </w:rPr>
              <w:t>. No evidence is available about the impact of AAP on job offer discrimination towards overweight people</w:t>
            </w:r>
            <w:r w:rsidR="00CE4971" w:rsidRPr="00C95105">
              <w:rPr>
                <w:rFonts w:asciiTheme="minorHAnsi" w:hAnsiTheme="minorHAnsi" w:cstheme="minorHAnsi"/>
                <w:sz w:val="22"/>
                <w:szCs w:val="22"/>
              </w:rPr>
              <w:t>.</w:t>
            </w:r>
          </w:p>
        </w:tc>
        <w:tc>
          <w:tcPr>
            <w:tcW w:w="3826" w:type="dxa"/>
            <w:tcBorders>
              <w:left w:val="nil"/>
              <w:right w:val="nil"/>
            </w:tcBorders>
          </w:tcPr>
          <w:p w14:paraId="50CFDA52" w14:textId="515856FD" w:rsidR="00F76028" w:rsidRPr="00C95105" w:rsidRDefault="03481D71"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AAP might be used as an effective strategy to reduce weight-based discrimination in CV </w:t>
            </w:r>
            <w:r w:rsidR="4EF231EB" w:rsidRPr="00C95105">
              <w:rPr>
                <w:rFonts w:asciiTheme="minorHAnsi" w:hAnsiTheme="minorHAnsi" w:cstheme="minorHAnsi"/>
                <w:sz w:val="22"/>
                <w:szCs w:val="22"/>
              </w:rPr>
              <w:t xml:space="preserve">shortlisting for </w:t>
            </w:r>
            <w:r w:rsidR="3B3E9B36" w:rsidRPr="00C95105">
              <w:rPr>
                <w:rFonts w:asciiTheme="minorHAnsi" w:hAnsiTheme="minorHAnsi" w:cstheme="minorHAnsi"/>
                <w:sz w:val="22"/>
                <w:szCs w:val="22"/>
              </w:rPr>
              <w:t xml:space="preserve">the </w:t>
            </w:r>
            <w:r w:rsidRPr="00C95105">
              <w:rPr>
                <w:rFonts w:asciiTheme="minorHAnsi" w:hAnsiTheme="minorHAnsi" w:cstheme="minorHAnsi"/>
                <w:sz w:val="22"/>
                <w:szCs w:val="22"/>
              </w:rPr>
              <w:t>interview stage. However, the evidence here is limited</w:t>
            </w:r>
            <w:r w:rsidR="4DC9860E" w:rsidRPr="00C95105">
              <w:rPr>
                <w:rFonts w:asciiTheme="minorHAnsi" w:hAnsiTheme="minorHAnsi" w:cstheme="minorHAnsi"/>
                <w:sz w:val="22"/>
                <w:szCs w:val="22"/>
              </w:rPr>
              <w:t>,</w:t>
            </w:r>
            <w:r w:rsidRPr="00C95105">
              <w:rPr>
                <w:rFonts w:asciiTheme="minorHAnsi" w:hAnsiTheme="minorHAnsi" w:cstheme="minorHAnsi"/>
                <w:sz w:val="22"/>
                <w:szCs w:val="22"/>
              </w:rPr>
              <w:t xml:space="preserve"> and we suggest proceeding with caution. </w:t>
            </w:r>
          </w:p>
        </w:tc>
      </w:tr>
      <w:tr w:rsidR="00535E57" w:rsidRPr="00C95105" w14:paraId="0FA1C7F2" w14:textId="77777777" w:rsidTr="7AA29099">
        <w:tc>
          <w:tcPr>
            <w:tcW w:w="1560" w:type="dxa"/>
            <w:tcBorders>
              <w:left w:val="nil"/>
              <w:right w:val="nil"/>
            </w:tcBorders>
          </w:tcPr>
          <w:p w14:paraId="4303B881" w14:textId="5676215F" w:rsidR="00F76028" w:rsidRPr="00C95105" w:rsidRDefault="00F76028"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Impact of AAP on </w:t>
            </w:r>
            <w:r w:rsidR="004D2A40" w:rsidRPr="00C95105">
              <w:rPr>
                <w:rFonts w:asciiTheme="minorHAnsi" w:hAnsiTheme="minorHAnsi" w:cstheme="minorHAnsi"/>
                <w:sz w:val="22"/>
                <w:szCs w:val="22"/>
              </w:rPr>
              <w:t xml:space="preserve">shortlisting for </w:t>
            </w:r>
            <w:r w:rsidRPr="00C95105">
              <w:rPr>
                <w:rFonts w:asciiTheme="minorHAnsi" w:hAnsiTheme="minorHAnsi" w:cstheme="minorHAnsi"/>
                <w:sz w:val="22"/>
                <w:szCs w:val="22"/>
              </w:rPr>
              <w:t>interview and job offer</w:t>
            </w:r>
            <w:r w:rsidR="00C566CE" w:rsidRPr="00C95105">
              <w:rPr>
                <w:rFonts w:asciiTheme="minorHAnsi" w:hAnsiTheme="minorHAnsi" w:cstheme="minorHAnsi"/>
                <w:sz w:val="22"/>
                <w:szCs w:val="22"/>
              </w:rPr>
              <w:t>s</w:t>
            </w:r>
            <w:r w:rsidRPr="00C95105">
              <w:rPr>
                <w:rFonts w:asciiTheme="minorHAnsi" w:hAnsiTheme="minorHAnsi" w:cstheme="minorHAnsi"/>
                <w:sz w:val="22"/>
                <w:szCs w:val="22"/>
              </w:rPr>
              <w:t xml:space="preserve"> for age, university prestige, and socio-economic status groups</w:t>
            </w:r>
          </w:p>
        </w:tc>
        <w:tc>
          <w:tcPr>
            <w:tcW w:w="3686" w:type="dxa"/>
            <w:tcBorders>
              <w:left w:val="nil"/>
              <w:right w:val="nil"/>
            </w:tcBorders>
          </w:tcPr>
          <w:p w14:paraId="00CA1338" w14:textId="595CAC27" w:rsidR="00F76028" w:rsidRPr="00C95105" w:rsidRDefault="03481D71" w:rsidP="005D5F97">
            <w:pPr>
              <w:spacing w:after="120"/>
              <w:rPr>
                <w:rFonts w:asciiTheme="minorHAnsi" w:hAnsiTheme="minorHAnsi" w:cstheme="minorHAnsi"/>
                <w:sz w:val="22"/>
                <w:szCs w:val="22"/>
              </w:rPr>
            </w:pPr>
            <w:r w:rsidRPr="00C95105">
              <w:rPr>
                <w:rFonts w:asciiTheme="minorHAnsi" w:hAnsiTheme="minorHAnsi" w:cstheme="minorHAnsi"/>
                <w:sz w:val="22"/>
                <w:szCs w:val="22"/>
              </w:rPr>
              <w:t>The current evidence on whether AAP reduce age, university prestige</w:t>
            </w:r>
            <w:r w:rsidR="12C4AEAF" w:rsidRPr="00C95105">
              <w:rPr>
                <w:rFonts w:asciiTheme="minorHAnsi" w:hAnsiTheme="minorHAnsi" w:cstheme="minorHAnsi"/>
                <w:sz w:val="22"/>
                <w:szCs w:val="22"/>
              </w:rPr>
              <w:t>,</w:t>
            </w:r>
            <w:r w:rsidRPr="00C95105">
              <w:rPr>
                <w:rFonts w:asciiTheme="minorHAnsi" w:hAnsiTheme="minorHAnsi" w:cstheme="minorHAnsi"/>
                <w:sz w:val="22"/>
                <w:szCs w:val="22"/>
              </w:rPr>
              <w:t xml:space="preserve"> and </w:t>
            </w:r>
            <w:r w:rsidR="4D0F1AA4" w:rsidRPr="00C95105">
              <w:rPr>
                <w:rFonts w:asciiTheme="minorHAnsi" w:hAnsiTheme="minorHAnsi" w:cstheme="minorHAnsi"/>
                <w:sz w:val="22"/>
                <w:szCs w:val="22"/>
              </w:rPr>
              <w:t>SES</w:t>
            </w:r>
            <w:r w:rsidRPr="00C95105">
              <w:rPr>
                <w:rFonts w:asciiTheme="minorHAnsi" w:hAnsiTheme="minorHAnsi" w:cstheme="minorHAnsi"/>
                <w:sz w:val="22"/>
                <w:szCs w:val="22"/>
              </w:rPr>
              <w:t xml:space="preserve"> discrimination in recruitment and selection is not consistent </w:t>
            </w:r>
            <w:r w:rsidR="27BB0A34" w:rsidRPr="00C95105">
              <w:rPr>
                <w:rFonts w:asciiTheme="minorHAnsi" w:hAnsiTheme="minorHAnsi" w:cstheme="minorHAnsi"/>
                <w:sz w:val="22"/>
                <w:szCs w:val="22"/>
              </w:rPr>
              <w:t xml:space="preserve">or </w:t>
            </w:r>
            <w:r w:rsidRPr="00C95105">
              <w:rPr>
                <w:rFonts w:asciiTheme="minorHAnsi" w:hAnsiTheme="minorHAnsi" w:cstheme="minorHAnsi"/>
                <w:sz w:val="22"/>
                <w:szCs w:val="22"/>
              </w:rPr>
              <w:t>robust enough to be helpful in developing policy.</w:t>
            </w:r>
          </w:p>
        </w:tc>
        <w:tc>
          <w:tcPr>
            <w:tcW w:w="3826" w:type="dxa"/>
            <w:tcBorders>
              <w:left w:val="nil"/>
              <w:right w:val="nil"/>
            </w:tcBorders>
          </w:tcPr>
          <w:p w14:paraId="63500377" w14:textId="6A82D481" w:rsidR="00F76028" w:rsidRPr="00C95105" w:rsidRDefault="03481D71"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Organisations need to consider discrimination mitigation strategies other than AAP </w:t>
            </w:r>
            <w:r w:rsidR="56519563" w:rsidRPr="00C95105">
              <w:rPr>
                <w:rFonts w:asciiTheme="minorHAnsi" w:hAnsiTheme="minorHAnsi" w:cstheme="minorHAnsi"/>
                <w:sz w:val="22"/>
                <w:szCs w:val="22"/>
              </w:rPr>
              <w:t xml:space="preserve">(e.g., prejudice reduction interventions, bias mitigation prompts, targets or quotas) </w:t>
            </w:r>
            <w:r w:rsidRPr="00C95105">
              <w:rPr>
                <w:rFonts w:asciiTheme="minorHAnsi" w:hAnsiTheme="minorHAnsi" w:cstheme="minorHAnsi"/>
                <w:sz w:val="22"/>
                <w:szCs w:val="22"/>
              </w:rPr>
              <w:t>if they want to protect age</w:t>
            </w:r>
            <w:r w:rsidR="3BDF7B32" w:rsidRPr="00C95105">
              <w:rPr>
                <w:rFonts w:asciiTheme="minorHAnsi" w:hAnsiTheme="minorHAnsi" w:cstheme="minorHAnsi"/>
                <w:sz w:val="22"/>
                <w:szCs w:val="22"/>
              </w:rPr>
              <w:t>, university prestige</w:t>
            </w:r>
            <w:r w:rsidR="481B8BFC" w:rsidRPr="00C95105">
              <w:rPr>
                <w:rFonts w:asciiTheme="minorHAnsi" w:hAnsiTheme="minorHAnsi" w:cstheme="minorHAnsi"/>
                <w:sz w:val="22"/>
                <w:szCs w:val="22"/>
              </w:rPr>
              <w:t>,</w:t>
            </w:r>
            <w:r w:rsidR="3BDF7B32" w:rsidRPr="00C95105">
              <w:rPr>
                <w:rFonts w:asciiTheme="minorHAnsi" w:hAnsiTheme="minorHAnsi" w:cstheme="minorHAnsi"/>
                <w:sz w:val="22"/>
                <w:szCs w:val="22"/>
              </w:rPr>
              <w:t xml:space="preserve"> and socio-economic </w:t>
            </w:r>
            <w:r w:rsidR="054785CF" w:rsidRPr="00C95105">
              <w:rPr>
                <w:rFonts w:asciiTheme="minorHAnsi" w:hAnsiTheme="minorHAnsi" w:cstheme="minorHAnsi"/>
                <w:sz w:val="22"/>
                <w:szCs w:val="22"/>
              </w:rPr>
              <w:t>status</w:t>
            </w:r>
            <w:r w:rsidRPr="00C95105">
              <w:rPr>
                <w:rFonts w:asciiTheme="minorHAnsi" w:hAnsiTheme="minorHAnsi" w:cstheme="minorHAnsi"/>
                <w:sz w:val="22"/>
                <w:szCs w:val="22"/>
              </w:rPr>
              <w:t xml:space="preserve"> groups from discrimination in recruitment and selection</w:t>
            </w:r>
            <w:r w:rsidR="3BDF7B32" w:rsidRPr="00C95105">
              <w:rPr>
                <w:rFonts w:asciiTheme="minorHAnsi" w:hAnsiTheme="minorHAnsi" w:cstheme="minorHAnsi"/>
                <w:sz w:val="22"/>
                <w:szCs w:val="22"/>
              </w:rPr>
              <w:t>.</w:t>
            </w:r>
          </w:p>
        </w:tc>
      </w:tr>
      <w:tr w:rsidR="00535E57" w:rsidRPr="00C95105" w14:paraId="6FBD07BD" w14:textId="77777777" w:rsidTr="7AA29099">
        <w:tc>
          <w:tcPr>
            <w:tcW w:w="1560" w:type="dxa"/>
            <w:tcBorders>
              <w:left w:val="nil"/>
              <w:bottom w:val="single" w:sz="4" w:space="0" w:color="auto"/>
              <w:right w:val="nil"/>
            </w:tcBorders>
          </w:tcPr>
          <w:p w14:paraId="636B104C" w14:textId="54F5AA89" w:rsidR="00633C61" w:rsidRPr="00C95105" w:rsidRDefault="00633C61" w:rsidP="005D5F97">
            <w:pPr>
              <w:spacing w:after="120"/>
              <w:rPr>
                <w:rFonts w:asciiTheme="minorHAnsi" w:hAnsiTheme="minorHAnsi" w:cstheme="minorHAnsi"/>
                <w:sz w:val="22"/>
                <w:szCs w:val="22"/>
              </w:rPr>
            </w:pPr>
            <w:r w:rsidRPr="00C95105">
              <w:rPr>
                <w:rFonts w:asciiTheme="minorHAnsi" w:hAnsiTheme="minorHAnsi" w:cstheme="minorHAnsi"/>
                <w:sz w:val="22"/>
                <w:szCs w:val="22"/>
              </w:rPr>
              <w:t>Impact of visual cues</w:t>
            </w:r>
          </w:p>
        </w:tc>
        <w:tc>
          <w:tcPr>
            <w:tcW w:w="3686" w:type="dxa"/>
            <w:tcBorders>
              <w:left w:val="nil"/>
              <w:bottom w:val="single" w:sz="4" w:space="0" w:color="auto"/>
              <w:right w:val="nil"/>
            </w:tcBorders>
          </w:tcPr>
          <w:p w14:paraId="0D4EF210" w14:textId="77777777" w:rsidR="00633C61" w:rsidRPr="00C95105" w:rsidRDefault="7BE97960"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There appears to be an effect of discrimination </w:t>
            </w:r>
            <w:r w:rsidR="7D763077" w:rsidRPr="00C95105">
              <w:rPr>
                <w:rFonts w:asciiTheme="minorHAnsi" w:hAnsiTheme="minorHAnsi" w:cstheme="minorHAnsi"/>
                <w:sz w:val="22"/>
                <w:szCs w:val="22"/>
              </w:rPr>
              <w:t>based on visual cues, which</w:t>
            </w:r>
            <w:r w:rsidRPr="00C95105">
              <w:rPr>
                <w:rFonts w:asciiTheme="minorHAnsi" w:hAnsiTheme="minorHAnsi" w:cstheme="minorHAnsi"/>
                <w:sz w:val="22"/>
                <w:szCs w:val="22"/>
              </w:rPr>
              <w:t xml:space="preserve"> negatively impacts older aged, overweight</w:t>
            </w:r>
            <w:r w:rsidR="7D763077" w:rsidRPr="00C95105">
              <w:rPr>
                <w:rFonts w:asciiTheme="minorHAnsi" w:hAnsiTheme="minorHAnsi" w:cstheme="minorHAnsi"/>
                <w:sz w:val="22"/>
                <w:szCs w:val="22"/>
              </w:rPr>
              <w:t>,</w:t>
            </w:r>
            <w:r w:rsidRPr="00C95105">
              <w:rPr>
                <w:rFonts w:asciiTheme="minorHAnsi" w:hAnsiTheme="minorHAnsi" w:cstheme="minorHAnsi"/>
                <w:sz w:val="22"/>
                <w:szCs w:val="22"/>
              </w:rPr>
              <w:t xml:space="preserve"> and ethnic minorities applicants once their visible </w:t>
            </w:r>
            <w:r w:rsidR="113077B3" w:rsidRPr="00C95105">
              <w:rPr>
                <w:rFonts w:asciiTheme="minorHAnsi" w:hAnsiTheme="minorHAnsi" w:cstheme="minorHAnsi"/>
                <w:sz w:val="22"/>
                <w:szCs w:val="22"/>
              </w:rPr>
              <w:t>stigmati</w:t>
            </w:r>
            <w:r w:rsidR="40649910" w:rsidRPr="00C95105">
              <w:rPr>
                <w:rFonts w:asciiTheme="minorHAnsi" w:hAnsiTheme="minorHAnsi" w:cstheme="minorHAnsi"/>
                <w:sz w:val="22"/>
                <w:szCs w:val="22"/>
              </w:rPr>
              <w:t>s</w:t>
            </w:r>
            <w:r w:rsidR="113077B3" w:rsidRPr="00C95105">
              <w:rPr>
                <w:rFonts w:asciiTheme="minorHAnsi" w:hAnsiTheme="minorHAnsi" w:cstheme="minorHAnsi"/>
                <w:sz w:val="22"/>
                <w:szCs w:val="22"/>
              </w:rPr>
              <w:t xml:space="preserve">ed characteristics </w:t>
            </w:r>
            <w:r w:rsidRPr="00C95105">
              <w:rPr>
                <w:rFonts w:asciiTheme="minorHAnsi" w:hAnsiTheme="minorHAnsi" w:cstheme="minorHAnsi"/>
                <w:sz w:val="22"/>
                <w:szCs w:val="22"/>
              </w:rPr>
              <w:t>are un-blinded.</w:t>
            </w:r>
          </w:p>
          <w:p w14:paraId="1D5D25BA" w14:textId="2C456A64" w:rsidR="00E546AD" w:rsidRPr="00C95105" w:rsidRDefault="00E546AD"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 </w:t>
            </w:r>
          </w:p>
        </w:tc>
        <w:tc>
          <w:tcPr>
            <w:tcW w:w="3826" w:type="dxa"/>
            <w:tcBorders>
              <w:left w:val="nil"/>
              <w:right w:val="nil"/>
            </w:tcBorders>
          </w:tcPr>
          <w:p w14:paraId="197D1C8D" w14:textId="62139254" w:rsidR="00633C61" w:rsidRPr="00C95105" w:rsidRDefault="00372C83"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Organisations need to consider discrimination mitigation </w:t>
            </w:r>
            <w:r w:rsidR="00B20752" w:rsidRPr="00C95105">
              <w:rPr>
                <w:rFonts w:asciiTheme="minorHAnsi" w:hAnsiTheme="minorHAnsi" w:cstheme="minorHAnsi"/>
                <w:sz w:val="22"/>
                <w:szCs w:val="22"/>
              </w:rPr>
              <w:t>strategies other</w:t>
            </w:r>
            <w:r w:rsidRPr="00C95105">
              <w:rPr>
                <w:rFonts w:asciiTheme="minorHAnsi" w:hAnsiTheme="minorHAnsi" w:cstheme="minorHAnsi"/>
                <w:sz w:val="22"/>
                <w:szCs w:val="22"/>
              </w:rPr>
              <w:t xml:space="preserve"> than AAP </w:t>
            </w:r>
            <w:r w:rsidR="00B20752" w:rsidRPr="00C95105">
              <w:rPr>
                <w:rFonts w:asciiTheme="minorHAnsi" w:hAnsiTheme="minorHAnsi" w:cstheme="minorHAnsi"/>
                <w:sz w:val="22"/>
                <w:szCs w:val="22"/>
              </w:rPr>
              <w:t xml:space="preserve">(e.g., prejudice reduction interventions, bias mitigation prompts, targets or quotas) </w:t>
            </w:r>
            <w:r w:rsidRPr="00C95105">
              <w:rPr>
                <w:rFonts w:asciiTheme="minorHAnsi" w:hAnsiTheme="minorHAnsi" w:cstheme="minorHAnsi"/>
                <w:sz w:val="22"/>
                <w:szCs w:val="22"/>
              </w:rPr>
              <w:t xml:space="preserve">if they want to protect </w:t>
            </w:r>
            <w:r w:rsidR="00EF373F" w:rsidRPr="00C95105">
              <w:rPr>
                <w:rFonts w:asciiTheme="minorHAnsi" w:hAnsiTheme="minorHAnsi" w:cstheme="minorHAnsi"/>
                <w:sz w:val="22"/>
                <w:szCs w:val="22"/>
              </w:rPr>
              <w:t xml:space="preserve">groups stigmatised based on visual attributes </w:t>
            </w:r>
            <w:r w:rsidRPr="00C95105">
              <w:rPr>
                <w:rFonts w:asciiTheme="minorHAnsi" w:hAnsiTheme="minorHAnsi" w:cstheme="minorHAnsi"/>
                <w:sz w:val="22"/>
                <w:szCs w:val="22"/>
              </w:rPr>
              <w:t xml:space="preserve">from discrimination </w:t>
            </w:r>
            <w:r w:rsidR="003759C3" w:rsidRPr="00C95105">
              <w:rPr>
                <w:rFonts w:asciiTheme="minorHAnsi" w:hAnsiTheme="minorHAnsi" w:cstheme="minorHAnsi"/>
                <w:sz w:val="22"/>
                <w:szCs w:val="22"/>
              </w:rPr>
              <w:t>during and after interviews.</w:t>
            </w:r>
          </w:p>
        </w:tc>
      </w:tr>
      <w:tr w:rsidR="00E546AD" w:rsidRPr="00C95105" w14:paraId="43A354A0" w14:textId="77777777" w:rsidTr="7AA29099">
        <w:tc>
          <w:tcPr>
            <w:tcW w:w="1560" w:type="dxa"/>
            <w:tcBorders>
              <w:left w:val="nil"/>
              <w:bottom w:val="single" w:sz="4" w:space="0" w:color="auto"/>
              <w:right w:val="nil"/>
            </w:tcBorders>
          </w:tcPr>
          <w:p w14:paraId="021704E3" w14:textId="6DCAB56C" w:rsidR="00E546AD" w:rsidRPr="00C95105" w:rsidRDefault="00E546AD" w:rsidP="005D5F97">
            <w:pPr>
              <w:spacing w:after="120"/>
              <w:rPr>
                <w:rFonts w:asciiTheme="minorHAnsi" w:hAnsiTheme="minorHAnsi" w:cstheme="minorHAnsi"/>
                <w:sz w:val="22"/>
                <w:szCs w:val="22"/>
              </w:rPr>
            </w:pPr>
            <w:r w:rsidRPr="00C95105">
              <w:rPr>
                <w:rFonts w:asciiTheme="minorHAnsi" w:hAnsiTheme="minorHAnsi" w:cstheme="minorHAnsi"/>
                <w:sz w:val="22"/>
                <w:szCs w:val="22"/>
              </w:rPr>
              <w:t>Impact of language cues</w:t>
            </w:r>
          </w:p>
        </w:tc>
        <w:tc>
          <w:tcPr>
            <w:tcW w:w="3686" w:type="dxa"/>
            <w:tcBorders>
              <w:left w:val="nil"/>
              <w:bottom w:val="single" w:sz="4" w:space="0" w:color="auto"/>
              <w:right w:val="nil"/>
            </w:tcBorders>
          </w:tcPr>
          <w:p w14:paraId="4823214D" w14:textId="00884A6D" w:rsidR="00E546AD" w:rsidRPr="00C95105" w:rsidRDefault="00E546AD"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For minority groups with the dominant language in a society as their second language (e.g., English as </w:t>
            </w:r>
            <w:r w:rsidR="081B67A8" w:rsidRPr="00C95105">
              <w:rPr>
                <w:rFonts w:asciiTheme="minorHAnsi" w:hAnsiTheme="minorHAnsi" w:cstheme="minorHAnsi"/>
                <w:sz w:val="22"/>
                <w:szCs w:val="22"/>
              </w:rPr>
              <w:t>their</w:t>
            </w:r>
            <w:r w:rsidRPr="00C95105">
              <w:rPr>
                <w:rFonts w:asciiTheme="minorHAnsi" w:hAnsiTheme="minorHAnsi" w:cstheme="minorHAnsi"/>
                <w:sz w:val="22"/>
                <w:szCs w:val="22"/>
              </w:rPr>
              <w:t xml:space="preserve"> second language in Australia), </w:t>
            </w:r>
            <w:r w:rsidR="00FC628D" w:rsidRPr="00C95105">
              <w:rPr>
                <w:rFonts w:asciiTheme="minorHAnsi" w:hAnsiTheme="minorHAnsi" w:cstheme="minorHAnsi"/>
                <w:sz w:val="22"/>
                <w:szCs w:val="22"/>
              </w:rPr>
              <w:lastRenderedPageBreak/>
              <w:t>AA</w:t>
            </w:r>
            <w:r w:rsidR="001249AC" w:rsidRPr="00C95105">
              <w:rPr>
                <w:rFonts w:asciiTheme="minorHAnsi" w:hAnsiTheme="minorHAnsi" w:cstheme="minorHAnsi"/>
                <w:sz w:val="22"/>
                <w:szCs w:val="22"/>
              </w:rPr>
              <w:t>P</w:t>
            </w:r>
            <w:r w:rsidR="00FC628D" w:rsidRPr="00C95105">
              <w:rPr>
                <w:rFonts w:asciiTheme="minorHAnsi" w:hAnsiTheme="minorHAnsi" w:cstheme="minorHAnsi"/>
                <w:sz w:val="22"/>
                <w:szCs w:val="22"/>
              </w:rPr>
              <w:t xml:space="preserve"> might not be effective at masking their backgrounds</w:t>
            </w:r>
            <w:r w:rsidR="00A1234E" w:rsidRPr="00C95105">
              <w:rPr>
                <w:rFonts w:asciiTheme="minorHAnsi" w:hAnsiTheme="minorHAnsi" w:cstheme="minorHAnsi"/>
                <w:sz w:val="22"/>
                <w:szCs w:val="22"/>
              </w:rPr>
              <w:t>. The</w:t>
            </w:r>
            <w:r w:rsidR="00FC628D" w:rsidRPr="00C95105">
              <w:rPr>
                <w:rFonts w:asciiTheme="minorHAnsi" w:hAnsiTheme="minorHAnsi" w:cstheme="minorHAnsi"/>
                <w:sz w:val="22"/>
                <w:szCs w:val="22"/>
              </w:rPr>
              <w:t xml:space="preserve"> </w:t>
            </w:r>
            <w:r w:rsidR="00E36366" w:rsidRPr="00C95105">
              <w:rPr>
                <w:rFonts w:asciiTheme="minorHAnsi" w:hAnsiTheme="minorHAnsi" w:cstheme="minorHAnsi"/>
                <w:sz w:val="22"/>
                <w:szCs w:val="22"/>
              </w:rPr>
              <w:t xml:space="preserve">written language </w:t>
            </w:r>
            <w:r w:rsidR="00032D32" w:rsidRPr="00C95105">
              <w:rPr>
                <w:rFonts w:asciiTheme="minorHAnsi" w:hAnsiTheme="minorHAnsi" w:cstheme="minorHAnsi"/>
                <w:sz w:val="22"/>
                <w:szCs w:val="22"/>
              </w:rPr>
              <w:t xml:space="preserve">of these candidates </w:t>
            </w:r>
            <w:r w:rsidR="00A1234E" w:rsidRPr="00C95105">
              <w:rPr>
                <w:rFonts w:asciiTheme="minorHAnsi" w:hAnsiTheme="minorHAnsi" w:cstheme="minorHAnsi"/>
                <w:sz w:val="22"/>
                <w:szCs w:val="22"/>
              </w:rPr>
              <w:t>may have</w:t>
            </w:r>
            <w:r w:rsidR="00E36366" w:rsidRPr="00C95105">
              <w:rPr>
                <w:rFonts w:asciiTheme="minorHAnsi" w:hAnsiTheme="minorHAnsi" w:cstheme="minorHAnsi"/>
                <w:sz w:val="22"/>
                <w:szCs w:val="22"/>
              </w:rPr>
              <w:t xml:space="preserve"> grammatical forms or </w:t>
            </w:r>
            <w:r w:rsidR="00877C9B" w:rsidRPr="00C95105">
              <w:rPr>
                <w:rFonts w:asciiTheme="minorHAnsi" w:hAnsiTheme="minorHAnsi" w:cstheme="minorHAnsi"/>
                <w:sz w:val="22"/>
                <w:szCs w:val="22"/>
              </w:rPr>
              <w:t xml:space="preserve">spelling </w:t>
            </w:r>
            <w:r w:rsidR="004153DC" w:rsidRPr="00C95105">
              <w:rPr>
                <w:rFonts w:asciiTheme="minorHAnsi" w:hAnsiTheme="minorHAnsi" w:cstheme="minorHAnsi"/>
                <w:sz w:val="22"/>
                <w:szCs w:val="22"/>
              </w:rPr>
              <w:t xml:space="preserve">that might </w:t>
            </w:r>
            <w:r w:rsidR="00F36025" w:rsidRPr="00C95105">
              <w:rPr>
                <w:rFonts w:asciiTheme="minorHAnsi" w:hAnsiTheme="minorHAnsi" w:cstheme="minorHAnsi"/>
                <w:sz w:val="22"/>
                <w:szCs w:val="22"/>
              </w:rPr>
              <w:t xml:space="preserve">unnecessarily </w:t>
            </w:r>
            <w:r w:rsidR="001249AC" w:rsidRPr="00C95105">
              <w:rPr>
                <w:rFonts w:asciiTheme="minorHAnsi" w:hAnsiTheme="minorHAnsi" w:cstheme="minorHAnsi"/>
                <w:sz w:val="22"/>
                <w:szCs w:val="22"/>
              </w:rPr>
              <w:t xml:space="preserve">be used </w:t>
            </w:r>
            <w:r w:rsidR="00BD4668" w:rsidRPr="00C95105">
              <w:rPr>
                <w:rFonts w:asciiTheme="minorHAnsi" w:hAnsiTheme="minorHAnsi" w:cstheme="minorHAnsi"/>
                <w:sz w:val="22"/>
                <w:szCs w:val="22"/>
              </w:rPr>
              <w:t xml:space="preserve">by the recruiters </w:t>
            </w:r>
            <w:r w:rsidR="001249AC" w:rsidRPr="00C95105">
              <w:rPr>
                <w:rFonts w:asciiTheme="minorHAnsi" w:hAnsiTheme="minorHAnsi" w:cstheme="minorHAnsi"/>
                <w:sz w:val="22"/>
                <w:szCs w:val="22"/>
              </w:rPr>
              <w:t>as indicators of their first language</w:t>
            </w:r>
            <w:r w:rsidR="00A1234E" w:rsidRPr="00C95105">
              <w:rPr>
                <w:rFonts w:asciiTheme="minorHAnsi" w:hAnsiTheme="minorHAnsi" w:cstheme="minorHAnsi"/>
                <w:sz w:val="22"/>
                <w:szCs w:val="22"/>
              </w:rPr>
              <w:t xml:space="preserve"> or as proxies for their job competence.</w:t>
            </w:r>
          </w:p>
        </w:tc>
        <w:tc>
          <w:tcPr>
            <w:tcW w:w="3826" w:type="dxa"/>
            <w:tcBorders>
              <w:left w:val="nil"/>
              <w:right w:val="nil"/>
            </w:tcBorders>
          </w:tcPr>
          <w:p w14:paraId="06C16098" w14:textId="306EF41E" w:rsidR="00E546AD" w:rsidRPr="00C95105" w:rsidRDefault="3987AEA8" w:rsidP="005D5F97">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 xml:space="preserve">AAP could </w:t>
            </w:r>
            <w:r w:rsidR="60B2687A" w:rsidRPr="00C95105">
              <w:rPr>
                <w:rFonts w:asciiTheme="minorHAnsi" w:hAnsiTheme="minorHAnsi" w:cstheme="minorHAnsi"/>
                <w:sz w:val="22"/>
                <w:szCs w:val="22"/>
              </w:rPr>
              <w:t xml:space="preserve">unwittingly compound the disadvantage experienced by some minority groups. </w:t>
            </w:r>
            <w:r w:rsidR="6D8C2C99" w:rsidRPr="00C95105">
              <w:rPr>
                <w:rFonts w:asciiTheme="minorHAnsi" w:hAnsiTheme="minorHAnsi" w:cstheme="minorHAnsi"/>
                <w:sz w:val="22"/>
                <w:szCs w:val="22"/>
              </w:rPr>
              <w:t xml:space="preserve">Proper audits should be conducted whenever AAP are </w:t>
            </w:r>
            <w:r w:rsidR="6D8C2C99" w:rsidRPr="00C95105">
              <w:rPr>
                <w:rFonts w:asciiTheme="minorHAnsi" w:hAnsiTheme="minorHAnsi" w:cstheme="minorHAnsi"/>
                <w:sz w:val="22"/>
                <w:szCs w:val="22"/>
              </w:rPr>
              <w:lastRenderedPageBreak/>
              <w:t xml:space="preserve">implemented. AAP should be used in </w:t>
            </w:r>
            <w:r w:rsidR="771160A7" w:rsidRPr="00C95105">
              <w:rPr>
                <w:rFonts w:asciiTheme="minorHAnsi" w:hAnsiTheme="minorHAnsi" w:cstheme="minorHAnsi"/>
                <w:sz w:val="22"/>
                <w:szCs w:val="22"/>
              </w:rPr>
              <w:t xml:space="preserve">concert with other measures such as </w:t>
            </w:r>
            <w:r w:rsidR="14A5DA66" w:rsidRPr="00C95105">
              <w:rPr>
                <w:rFonts w:asciiTheme="minorHAnsi" w:hAnsiTheme="minorHAnsi" w:cstheme="minorHAnsi"/>
                <w:sz w:val="22"/>
                <w:szCs w:val="22"/>
              </w:rPr>
              <w:t>bias mitigation training for recruiters</w:t>
            </w:r>
            <w:r w:rsidR="025D8FBB" w:rsidRPr="00C95105">
              <w:rPr>
                <w:rFonts w:asciiTheme="minorHAnsi" w:hAnsiTheme="minorHAnsi" w:cstheme="minorHAnsi"/>
                <w:sz w:val="22"/>
                <w:szCs w:val="22"/>
              </w:rPr>
              <w:t>/interviewers</w:t>
            </w:r>
            <w:r w:rsidR="14A5DA66" w:rsidRPr="00C95105">
              <w:rPr>
                <w:rFonts w:asciiTheme="minorHAnsi" w:hAnsiTheme="minorHAnsi" w:cstheme="minorHAnsi"/>
                <w:sz w:val="22"/>
                <w:szCs w:val="22"/>
              </w:rPr>
              <w:t xml:space="preserve"> and </w:t>
            </w:r>
            <w:r w:rsidR="025D8FBB" w:rsidRPr="00C95105">
              <w:rPr>
                <w:rFonts w:asciiTheme="minorHAnsi" w:hAnsiTheme="minorHAnsi" w:cstheme="minorHAnsi"/>
                <w:sz w:val="22"/>
                <w:szCs w:val="22"/>
              </w:rPr>
              <w:t xml:space="preserve">ongoing support for minority staff </w:t>
            </w:r>
            <w:r w:rsidR="016974E8" w:rsidRPr="00C95105">
              <w:rPr>
                <w:rFonts w:asciiTheme="minorHAnsi" w:hAnsiTheme="minorHAnsi" w:cstheme="minorHAnsi"/>
                <w:sz w:val="22"/>
                <w:szCs w:val="22"/>
              </w:rPr>
              <w:t xml:space="preserve">who have been </w:t>
            </w:r>
            <w:r w:rsidR="025D8FBB" w:rsidRPr="00C95105">
              <w:rPr>
                <w:rFonts w:asciiTheme="minorHAnsi" w:hAnsiTheme="minorHAnsi" w:cstheme="minorHAnsi"/>
                <w:sz w:val="22"/>
                <w:szCs w:val="22"/>
              </w:rPr>
              <w:t>selected</w:t>
            </w:r>
          </w:p>
        </w:tc>
      </w:tr>
      <w:tr w:rsidR="00535E57" w:rsidRPr="00C95105" w14:paraId="4AB9EE3E" w14:textId="77777777" w:rsidTr="7AA29099">
        <w:tc>
          <w:tcPr>
            <w:tcW w:w="1560" w:type="dxa"/>
            <w:tcBorders>
              <w:left w:val="nil"/>
              <w:bottom w:val="nil"/>
              <w:right w:val="nil"/>
            </w:tcBorders>
          </w:tcPr>
          <w:p w14:paraId="39D3602F" w14:textId="1F87177C" w:rsidR="00F76028" w:rsidRPr="00C95105" w:rsidRDefault="00D102F7" w:rsidP="005D5F97">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Making AAP more effective</w:t>
            </w:r>
          </w:p>
        </w:tc>
        <w:tc>
          <w:tcPr>
            <w:tcW w:w="3686" w:type="dxa"/>
            <w:tcBorders>
              <w:left w:val="nil"/>
              <w:bottom w:val="nil"/>
              <w:right w:val="nil"/>
            </w:tcBorders>
          </w:tcPr>
          <w:p w14:paraId="7D1DADE8" w14:textId="764FFF4E" w:rsidR="00894AD2" w:rsidRPr="00C95105" w:rsidRDefault="50836274" w:rsidP="005D5F97">
            <w:pPr>
              <w:spacing w:after="120"/>
              <w:rPr>
                <w:rFonts w:asciiTheme="minorHAnsi" w:hAnsiTheme="minorHAnsi" w:cstheme="minorHAnsi"/>
                <w:sz w:val="22"/>
                <w:szCs w:val="22"/>
              </w:rPr>
            </w:pPr>
            <w:r w:rsidRPr="00C95105">
              <w:rPr>
                <w:rFonts w:asciiTheme="minorHAnsi" w:hAnsiTheme="minorHAnsi" w:cstheme="minorHAnsi"/>
                <w:sz w:val="22"/>
                <w:szCs w:val="22"/>
              </w:rPr>
              <w:t>AAP using s</w:t>
            </w:r>
            <w:r w:rsidR="2A670679" w:rsidRPr="00C95105">
              <w:rPr>
                <w:rFonts w:asciiTheme="minorHAnsi" w:hAnsiTheme="minorHAnsi" w:cstheme="minorHAnsi"/>
                <w:sz w:val="22"/>
                <w:szCs w:val="22"/>
              </w:rPr>
              <w:t>tandardi</w:t>
            </w:r>
            <w:r w:rsidR="572FC7A8" w:rsidRPr="00C95105">
              <w:rPr>
                <w:rFonts w:asciiTheme="minorHAnsi" w:hAnsiTheme="minorHAnsi" w:cstheme="minorHAnsi"/>
                <w:sz w:val="22"/>
                <w:szCs w:val="22"/>
              </w:rPr>
              <w:t>s</w:t>
            </w:r>
            <w:r w:rsidR="2A670679" w:rsidRPr="00C95105">
              <w:rPr>
                <w:rFonts w:asciiTheme="minorHAnsi" w:hAnsiTheme="minorHAnsi" w:cstheme="minorHAnsi"/>
                <w:sz w:val="22"/>
                <w:szCs w:val="22"/>
              </w:rPr>
              <w:t xml:space="preserve">ed application platforms/templates appear to be the most </w:t>
            </w:r>
            <w:r w:rsidR="02580ECE" w:rsidRPr="00C95105">
              <w:rPr>
                <w:rFonts w:asciiTheme="minorHAnsi" w:hAnsiTheme="minorHAnsi" w:cstheme="minorHAnsi"/>
                <w:sz w:val="22"/>
                <w:szCs w:val="22"/>
              </w:rPr>
              <w:t>useful</w:t>
            </w:r>
            <w:r w:rsidR="2A670679" w:rsidRPr="00C95105">
              <w:rPr>
                <w:rFonts w:asciiTheme="minorHAnsi" w:hAnsiTheme="minorHAnsi" w:cstheme="minorHAnsi"/>
                <w:sz w:val="22"/>
                <w:szCs w:val="22"/>
              </w:rPr>
              <w:t xml:space="preserve"> for employer</w:t>
            </w:r>
            <w:r w:rsidR="02580ECE" w:rsidRPr="00C95105">
              <w:rPr>
                <w:rFonts w:asciiTheme="minorHAnsi" w:hAnsiTheme="minorHAnsi" w:cstheme="minorHAnsi"/>
                <w:sz w:val="22"/>
                <w:szCs w:val="22"/>
              </w:rPr>
              <w:t>s</w:t>
            </w:r>
            <w:r w:rsidR="2A670679" w:rsidRPr="00C95105">
              <w:rPr>
                <w:rFonts w:asciiTheme="minorHAnsi" w:hAnsiTheme="minorHAnsi" w:cstheme="minorHAnsi"/>
                <w:sz w:val="22"/>
                <w:szCs w:val="22"/>
              </w:rPr>
              <w:t xml:space="preserve"> (due to improve</w:t>
            </w:r>
            <w:r w:rsidR="3A5F3171" w:rsidRPr="00C95105">
              <w:rPr>
                <w:rFonts w:asciiTheme="minorHAnsi" w:hAnsiTheme="minorHAnsi" w:cstheme="minorHAnsi"/>
                <w:sz w:val="22"/>
                <w:szCs w:val="22"/>
              </w:rPr>
              <w:t>d</w:t>
            </w:r>
            <w:r w:rsidR="2A670679" w:rsidRPr="00C95105">
              <w:rPr>
                <w:rFonts w:asciiTheme="minorHAnsi" w:hAnsiTheme="minorHAnsi" w:cstheme="minorHAnsi"/>
                <w:sz w:val="22"/>
                <w:szCs w:val="22"/>
              </w:rPr>
              <w:t xml:space="preserve"> efficiency) and the employee (due to </w:t>
            </w:r>
            <w:r w:rsidR="0DBF19B9" w:rsidRPr="00C95105">
              <w:rPr>
                <w:rFonts w:asciiTheme="minorHAnsi" w:hAnsiTheme="minorHAnsi" w:cstheme="minorHAnsi"/>
                <w:sz w:val="22"/>
                <w:szCs w:val="22"/>
              </w:rPr>
              <w:t xml:space="preserve">more </w:t>
            </w:r>
            <w:r w:rsidR="2A670679" w:rsidRPr="00C95105">
              <w:rPr>
                <w:rFonts w:asciiTheme="minorHAnsi" w:hAnsiTheme="minorHAnsi" w:cstheme="minorHAnsi"/>
                <w:sz w:val="22"/>
                <w:szCs w:val="22"/>
              </w:rPr>
              <w:t xml:space="preserve">effective anonymisation). </w:t>
            </w:r>
          </w:p>
        </w:tc>
        <w:tc>
          <w:tcPr>
            <w:tcW w:w="3826" w:type="dxa"/>
            <w:tcBorders>
              <w:left w:val="nil"/>
              <w:right w:val="nil"/>
            </w:tcBorders>
          </w:tcPr>
          <w:p w14:paraId="76A59E61" w14:textId="41C9E118" w:rsidR="00F76028" w:rsidRPr="00C95105" w:rsidRDefault="430800CB" w:rsidP="005D5F97">
            <w:pPr>
              <w:spacing w:after="120"/>
              <w:rPr>
                <w:rFonts w:asciiTheme="minorHAnsi" w:hAnsiTheme="minorHAnsi" w:cstheme="minorHAnsi"/>
                <w:sz w:val="22"/>
                <w:szCs w:val="22"/>
              </w:rPr>
            </w:pPr>
            <w:r w:rsidRPr="00C95105">
              <w:rPr>
                <w:rFonts w:asciiTheme="minorHAnsi" w:hAnsiTheme="minorHAnsi" w:cstheme="minorHAnsi"/>
                <w:sz w:val="22"/>
                <w:szCs w:val="22"/>
              </w:rPr>
              <w:t>AAP will be more effective via s</w:t>
            </w:r>
            <w:r w:rsidR="045107F5" w:rsidRPr="00C95105">
              <w:rPr>
                <w:rFonts w:asciiTheme="minorHAnsi" w:hAnsiTheme="minorHAnsi" w:cstheme="minorHAnsi"/>
                <w:sz w:val="22"/>
                <w:szCs w:val="22"/>
              </w:rPr>
              <w:t xml:space="preserve">tandardised </w:t>
            </w:r>
            <w:r w:rsidR="6E82BA71" w:rsidRPr="00C95105">
              <w:rPr>
                <w:rFonts w:asciiTheme="minorHAnsi" w:hAnsiTheme="minorHAnsi" w:cstheme="minorHAnsi"/>
                <w:sz w:val="22"/>
                <w:szCs w:val="22"/>
              </w:rPr>
              <w:t xml:space="preserve">software-based </w:t>
            </w:r>
            <w:r w:rsidR="045107F5" w:rsidRPr="00C95105">
              <w:rPr>
                <w:rFonts w:asciiTheme="minorHAnsi" w:hAnsiTheme="minorHAnsi" w:cstheme="minorHAnsi"/>
                <w:sz w:val="22"/>
                <w:szCs w:val="22"/>
              </w:rPr>
              <w:t>application</w:t>
            </w:r>
            <w:r w:rsidRPr="00C95105">
              <w:rPr>
                <w:rFonts w:asciiTheme="minorHAnsi" w:hAnsiTheme="minorHAnsi" w:cstheme="minorHAnsi"/>
                <w:sz w:val="22"/>
                <w:szCs w:val="22"/>
              </w:rPr>
              <w:t xml:space="preserve"> templates/forms</w:t>
            </w:r>
            <w:r w:rsidR="3FD7E6BB" w:rsidRPr="00C95105">
              <w:rPr>
                <w:rFonts w:asciiTheme="minorHAnsi" w:hAnsiTheme="minorHAnsi" w:cstheme="minorHAnsi"/>
                <w:sz w:val="22"/>
                <w:szCs w:val="22"/>
              </w:rPr>
              <w:t xml:space="preserve"> to answer </w:t>
            </w:r>
            <w:r w:rsidR="3107C029" w:rsidRPr="00C95105">
              <w:rPr>
                <w:rFonts w:asciiTheme="minorHAnsi" w:hAnsiTheme="minorHAnsi" w:cstheme="minorHAnsi"/>
                <w:sz w:val="22"/>
                <w:szCs w:val="22"/>
              </w:rPr>
              <w:t>selection questions</w:t>
            </w:r>
            <w:r w:rsidR="6E82BA71" w:rsidRPr="00C95105">
              <w:rPr>
                <w:rFonts w:asciiTheme="minorHAnsi" w:hAnsiTheme="minorHAnsi" w:cstheme="minorHAnsi"/>
                <w:sz w:val="22"/>
                <w:szCs w:val="22"/>
              </w:rPr>
              <w:t xml:space="preserve"> than</w:t>
            </w:r>
            <w:r w:rsidRPr="00C95105">
              <w:rPr>
                <w:rFonts w:asciiTheme="minorHAnsi" w:hAnsiTheme="minorHAnsi" w:cstheme="minorHAnsi"/>
                <w:sz w:val="22"/>
                <w:szCs w:val="22"/>
              </w:rPr>
              <w:t xml:space="preserve"> </w:t>
            </w:r>
            <w:r w:rsidR="121F7D3B" w:rsidRPr="00C95105">
              <w:rPr>
                <w:rFonts w:asciiTheme="minorHAnsi" w:hAnsiTheme="minorHAnsi" w:cstheme="minorHAnsi"/>
                <w:sz w:val="22"/>
                <w:szCs w:val="22"/>
              </w:rPr>
              <w:t>manually de-identifying CVs.</w:t>
            </w:r>
            <w:r w:rsidR="045107F5" w:rsidRPr="00C95105">
              <w:rPr>
                <w:rFonts w:asciiTheme="minorHAnsi" w:hAnsiTheme="minorHAnsi" w:cstheme="minorHAnsi"/>
                <w:sz w:val="22"/>
                <w:szCs w:val="22"/>
              </w:rPr>
              <w:t xml:space="preserve"> </w:t>
            </w:r>
            <w:r w:rsidR="121F7D3B" w:rsidRPr="00C95105">
              <w:rPr>
                <w:rFonts w:asciiTheme="minorHAnsi" w:hAnsiTheme="minorHAnsi" w:cstheme="minorHAnsi"/>
                <w:sz w:val="22"/>
                <w:szCs w:val="22"/>
              </w:rPr>
              <w:t>Standardi</w:t>
            </w:r>
            <w:r w:rsidR="1F73DAEC" w:rsidRPr="00C95105">
              <w:rPr>
                <w:rFonts w:asciiTheme="minorHAnsi" w:hAnsiTheme="minorHAnsi" w:cstheme="minorHAnsi"/>
                <w:sz w:val="22"/>
                <w:szCs w:val="22"/>
              </w:rPr>
              <w:t>s</w:t>
            </w:r>
            <w:r w:rsidR="121F7D3B" w:rsidRPr="00C95105">
              <w:rPr>
                <w:rFonts w:asciiTheme="minorHAnsi" w:hAnsiTheme="minorHAnsi" w:cstheme="minorHAnsi"/>
                <w:sz w:val="22"/>
                <w:szCs w:val="22"/>
              </w:rPr>
              <w:t>ation also help</w:t>
            </w:r>
            <w:r w:rsidR="15380560" w:rsidRPr="00C95105">
              <w:rPr>
                <w:rFonts w:asciiTheme="minorHAnsi" w:hAnsiTheme="minorHAnsi" w:cstheme="minorHAnsi"/>
                <w:sz w:val="22"/>
                <w:szCs w:val="22"/>
              </w:rPr>
              <w:t>s</w:t>
            </w:r>
            <w:r w:rsidR="121F7D3B" w:rsidRPr="00C95105">
              <w:rPr>
                <w:rFonts w:asciiTheme="minorHAnsi" w:hAnsiTheme="minorHAnsi" w:cstheme="minorHAnsi"/>
                <w:sz w:val="22"/>
                <w:szCs w:val="22"/>
              </w:rPr>
              <w:t xml:space="preserve"> AAP</w:t>
            </w:r>
            <w:r w:rsidR="045107F5" w:rsidRPr="00C95105">
              <w:rPr>
                <w:rFonts w:asciiTheme="minorHAnsi" w:hAnsiTheme="minorHAnsi" w:cstheme="minorHAnsi"/>
                <w:sz w:val="22"/>
                <w:szCs w:val="22"/>
              </w:rPr>
              <w:t xml:space="preserve"> to be implemented at scale.</w:t>
            </w:r>
          </w:p>
        </w:tc>
      </w:tr>
      <w:tr w:rsidR="00535E57" w:rsidRPr="00C95105" w14:paraId="783AC1CE" w14:textId="77777777" w:rsidTr="7AA29099">
        <w:tc>
          <w:tcPr>
            <w:tcW w:w="1560" w:type="dxa"/>
            <w:tcBorders>
              <w:top w:val="nil"/>
              <w:left w:val="nil"/>
              <w:right w:val="nil"/>
            </w:tcBorders>
          </w:tcPr>
          <w:p w14:paraId="3D65DE99" w14:textId="77777777" w:rsidR="00F76028" w:rsidRPr="00C95105" w:rsidRDefault="00F76028" w:rsidP="005D5F97">
            <w:pPr>
              <w:spacing w:after="120"/>
              <w:rPr>
                <w:rFonts w:asciiTheme="minorHAnsi" w:hAnsiTheme="minorHAnsi" w:cstheme="minorHAnsi"/>
                <w:sz w:val="22"/>
                <w:szCs w:val="22"/>
              </w:rPr>
            </w:pPr>
          </w:p>
        </w:tc>
        <w:tc>
          <w:tcPr>
            <w:tcW w:w="3686" w:type="dxa"/>
            <w:tcBorders>
              <w:top w:val="nil"/>
              <w:left w:val="nil"/>
              <w:right w:val="nil"/>
            </w:tcBorders>
          </w:tcPr>
          <w:p w14:paraId="081969E7" w14:textId="77777777" w:rsidR="00F76028" w:rsidRPr="00C95105" w:rsidRDefault="00F76028" w:rsidP="005D5F97">
            <w:pPr>
              <w:spacing w:after="120"/>
              <w:rPr>
                <w:rFonts w:asciiTheme="minorHAnsi" w:hAnsiTheme="minorHAnsi" w:cstheme="minorHAnsi"/>
                <w:sz w:val="22"/>
                <w:szCs w:val="22"/>
              </w:rPr>
            </w:pPr>
          </w:p>
        </w:tc>
        <w:tc>
          <w:tcPr>
            <w:tcW w:w="3826" w:type="dxa"/>
            <w:tcBorders>
              <w:left w:val="nil"/>
              <w:right w:val="nil"/>
            </w:tcBorders>
          </w:tcPr>
          <w:p w14:paraId="52007FFC" w14:textId="3357DE77" w:rsidR="00F76028" w:rsidRPr="00C95105" w:rsidRDefault="13455897" w:rsidP="005D5F97">
            <w:pPr>
              <w:spacing w:after="120"/>
              <w:rPr>
                <w:rFonts w:asciiTheme="minorHAnsi" w:hAnsiTheme="minorHAnsi" w:cstheme="minorHAnsi"/>
                <w:sz w:val="22"/>
                <w:szCs w:val="22"/>
              </w:rPr>
            </w:pPr>
            <w:r w:rsidRPr="00C95105">
              <w:rPr>
                <w:rFonts w:asciiTheme="minorHAnsi" w:hAnsiTheme="minorHAnsi" w:cstheme="minorHAnsi"/>
                <w:sz w:val="22"/>
                <w:szCs w:val="22"/>
              </w:rPr>
              <w:t>Standardised application templates/forms need to be simple</w:t>
            </w:r>
            <w:r w:rsidR="4955DC9A" w:rsidRPr="00C95105">
              <w:rPr>
                <w:rFonts w:asciiTheme="minorHAnsi" w:hAnsiTheme="minorHAnsi" w:cstheme="minorHAnsi"/>
                <w:sz w:val="22"/>
                <w:szCs w:val="22"/>
              </w:rPr>
              <w:t xml:space="preserve"> and require few steps. Cumbersome templates might discourage some minority groups from applying</w:t>
            </w:r>
            <w:r w:rsidR="2B879572" w:rsidRPr="00C95105">
              <w:rPr>
                <w:rFonts w:asciiTheme="minorHAnsi" w:hAnsiTheme="minorHAnsi" w:cstheme="minorHAnsi"/>
                <w:sz w:val="22"/>
                <w:szCs w:val="22"/>
              </w:rPr>
              <w:t xml:space="preserve"> for jobs</w:t>
            </w:r>
            <w:r w:rsidR="600C94B1" w:rsidRPr="00C95105">
              <w:rPr>
                <w:rFonts w:asciiTheme="minorHAnsi" w:hAnsiTheme="minorHAnsi" w:cstheme="minorHAnsi"/>
                <w:sz w:val="22"/>
                <w:szCs w:val="22"/>
              </w:rPr>
              <w:t xml:space="preserve">, when they might have otherwise </w:t>
            </w:r>
            <w:r w:rsidR="07AA4235" w:rsidRPr="00C95105">
              <w:rPr>
                <w:rFonts w:asciiTheme="minorHAnsi" w:hAnsiTheme="minorHAnsi" w:cstheme="minorHAnsi"/>
                <w:sz w:val="22"/>
                <w:szCs w:val="22"/>
              </w:rPr>
              <w:t xml:space="preserve">simply </w:t>
            </w:r>
            <w:r w:rsidR="53172DA4" w:rsidRPr="00C95105">
              <w:rPr>
                <w:rFonts w:asciiTheme="minorHAnsi" w:hAnsiTheme="minorHAnsi" w:cstheme="minorHAnsi"/>
                <w:sz w:val="22"/>
                <w:szCs w:val="22"/>
              </w:rPr>
              <w:t xml:space="preserve">uploaded </w:t>
            </w:r>
            <w:r w:rsidR="600C94B1" w:rsidRPr="00C95105">
              <w:rPr>
                <w:rFonts w:asciiTheme="minorHAnsi" w:hAnsiTheme="minorHAnsi" w:cstheme="minorHAnsi"/>
                <w:sz w:val="22"/>
                <w:szCs w:val="22"/>
              </w:rPr>
              <w:t>their CVs.</w:t>
            </w:r>
          </w:p>
        </w:tc>
      </w:tr>
      <w:tr w:rsidR="00535E57" w:rsidRPr="00C95105" w14:paraId="2DD00A22" w14:textId="77777777" w:rsidTr="7AA29099">
        <w:tc>
          <w:tcPr>
            <w:tcW w:w="1560" w:type="dxa"/>
            <w:tcBorders>
              <w:left w:val="nil"/>
              <w:right w:val="nil"/>
            </w:tcBorders>
          </w:tcPr>
          <w:p w14:paraId="0D42ECA3" w14:textId="77777777" w:rsidR="00335595" w:rsidRPr="00C95105" w:rsidRDefault="00335595" w:rsidP="005D5F97">
            <w:pPr>
              <w:spacing w:after="120"/>
              <w:rPr>
                <w:rFonts w:asciiTheme="minorHAnsi" w:hAnsiTheme="minorHAnsi" w:cstheme="minorHAnsi"/>
                <w:sz w:val="22"/>
                <w:szCs w:val="22"/>
              </w:rPr>
            </w:pPr>
          </w:p>
        </w:tc>
        <w:tc>
          <w:tcPr>
            <w:tcW w:w="3686" w:type="dxa"/>
            <w:tcBorders>
              <w:left w:val="nil"/>
              <w:right w:val="nil"/>
            </w:tcBorders>
          </w:tcPr>
          <w:p w14:paraId="5B7CE408" w14:textId="5181E594" w:rsidR="00335595" w:rsidRPr="00C95105" w:rsidRDefault="79F6FF08"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When CV anonymisation is </w:t>
            </w:r>
            <w:r w:rsidR="00E577CF" w:rsidRPr="00C95105">
              <w:rPr>
                <w:rFonts w:asciiTheme="minorHAnsi" w:hAnsiTheme="minorHAnsi" w:cstheme="minorHAnsi"/>
                <w:sz w:val="22"/>
                <w:szCs w:val="22"/>
              </w:rPr>
              <w:t>done</w:t>
            </w:r>
            <w:r w:rsidRPr="00C95105">
              <w:rPr>
                <w:rFonts w:asciiTheme="minorHAnsi" w:hAnsiTheme="minorHAnsi" w:cstheme="minorHAnsi"/>
                <w:sz w:val="22"/>
                <w:szCs w:val="22"/>
              </w:rPr>
              <w:t xml:space="preserve"> by the applicant</w:t>
            </w:r>
            <w:r w:rsidR="482A0615" w:rsidRPr="00C95105">
              <w:rPr>
                <w:rFonts w:asciiTheme="minorHAnsi" w:hAnsiTheme="minorHAnsi" w:cstheme="minorHAnsi"/>
                <w:sz w:val="22"/>
                <w:szCs w:val="22"/>
              </w:rPr>
              <w:t>,</w:t>
            </w:r>
            <w:r w:rsidRPr="00C95105">
              <w:rPr>
                <w:rFonts w:asciiTheme="minorHAnsi" w:hAnsiTheme="minorHAnsi" w:cstheme="minorHAnsi"/>
                <w:sz w:val="22"/>
                <w:szCs w:val="22"/>
              </w:rPr>
              <w:t xml:space="preserve"> anonymisation can be incomplete. Subtle cues containing information about the employees’ </w:t>
            </w:r>
            <w:r w:rsidR="22E0D087" w:rsidRPr="00C95105">
              <w:rPr>
                <w:rFonts w:asciiTheme="minorHAnsi" w:hAnsiTheme="minorHAnsi" w:cstheme="minorHAnsi"/>
                <w:sz w:val="22"/>
                <w:szCs w:val="22"/>
              </w:rPr>
              <w:t xml:space="preserve">protected </w:t>
            </w:r>
            <w:r w:rsidR="37B14BCB" w:rsidRPr="00C95105">
              <w:rPr>
                <w:rFonts w:asciiTheme="minorHAnsi" w:hAnsiTheme="minorHAnsi" w:cstheme="minorHAnsi"/>
                <w:sz w:val="22"/>
                <w:szCs w:val="22"/>
              </w:rPr>
              <w:t xml:space="preserve">attributes </w:t>
            </w:r>
            <w:r w:rsidR="22E0D087" w:rsidRPr="00C95105">
              <w:rPr>
                <w:rFonts w:asciiTheme="minorHAnsi" w:hAnsiTheme="minorHAnsi" w:cstheme="minorHAnsi"/>
                <w:sz w:val="22"/>
                <w:szCs w:val="22"/>
              </w:rPr>
              <w:t xml:space="preserve">(e.g., </w:t>
            </w:r>
            <w:r w:rsidRPr="00C95105">
              <w:rPr>
                <w:rFonts w:asciiTheme="minorHAnsi" w:hAnsiTheme="minorHAnsi" w:cstheme="minorHAnsi"/>
                <w:sz w:val="22"/>
                <w:szCs w:val="22"/>
              </w:rPr>
              <w:t>ethnicity</w:t>
            </w:r>
            <w:r w:rsidR="22E0D087" w:rsidRPr="00C95105">
              <w:rPr>
                <w:rFonts w:asciiTheme="minorHAnsi" w:hAnsiTheme="minorHAnsi" w:cstheme="minorHAnsi"/>
                <w:sz w:val="22"/>
                <w:szCs w:val="22"/>
              </w:rPr>
              <w:t>, SES,</w:t>
            </w:r>
            <w:r w:rsidRPr="00C95105">
              <w:rPr>
                <w:rFonts w:asciiTheme="minorHAnsi" w:hAnsiTheme="minorHAnsi" w:cstheme="minorHAnsi"/>
                <w:sz w:val="22"/>
                <w:szCs w:val="22"/>
              </w:rPr>
              <w:t xml:space="preserve"> gender</w:t>
            </w:r>
            <w:r w:rsidR="22E0D087" w:rsidRPr="00C95105">
              <w:rPr>
                <w:rFonts w:asciiTheme="minorHAnsi" w:hAnsiTheme="minorHAnsi" w:cstheme="minorHAnsi"/>
                <w:sz w:val="22"/>
                <w:szCs w:val="22"/>
              </w:rPr>
              <w:t>)</w:t>
            </w:r>
            <w:r w:rsidRPr="00C95105">
              <w:rPr>
                <w:rFonts w:asciiTheme="minorHAnsi" w:hAnsiTheme="minorHAnsi" w:cstheme="minorHAnsi"/>
                <w:sz w:val="22"/>
                <w:szCs w:val="22"/>
              </w:rPr>
              <w:t xml:space="preserve"> may be retained and used by evaluators.</w:t>
            </w:r>
          </w:p>
        </w:tc>
        <w:tc>
          <w:tcPr>
            <w:tcW w:w="3826" w:type="dxa"/>
            <w:tcBorders>
              <w:left w:val="nil"/>
              <w:right w:val="nil"/>
            </w:tcBorders>
          </w:tcPr>
          <w:p w14:paraId="7A82ABCF" w14:textId="4DD5A340" w:rsidR="005242CC" w:rsidRPr="00C95105" w:rsidRDefault="003B068D" w:rsidP="005D5F97">
            <w:pPr>
              <w:spacing w:after="120"/>
              <w:rPr>
                <w:rFonts w:asciiTheme="minorHAnsi" w:hAnsiTheme="minorHAnsi" w:cstheme="minorHAnsi"/>
                <w:sz w:val="22"/>
                <w:szCs w:val="22"/>
              </w:rPr>
            </w:pPr>
            <w:r w:rsidRPr="00C95105">
              <w:rPr>
                <w:rFonts w:asciiTheme="minorHAnsi" w:hAnsiTheme="minorHAnsi" w:cstheme="minorHAnsi"/>
                <w:sz w:val="22"/>
                <w:szCs w:val="22"/>
              </w:rPr>
              <w:t>Applicants should not be task</w:t>
            </w:r>
            <w:r w:rsidR="004E23F2" w:rsidRPr="00C95105">
              <w:rPr>
                <w:rFonts w:asciiTheme="minorHAnsi" w:hAnsiTheme="minorHAnsi" w:cstheme="minorHAnsi"/>
                <w:sz w:val="22"/>
                <w:szCs w:val="22"/>
              </w:rPr>
              <w:t>ed</w:t>
            </w:r>
            <w:r w:rsidRPr="00C95105">
              <w:rPr>
                <w:rFonts w:asciiTheme="minorHAnsi" w:hAnsiTheme="minorHAnsi" w:cstheme="minorHAnsi"/>
                <w:sz w:val="22"/>
                <w:szCs w:val="22"/>
              </w:rPr>
              <w:t xml:space="preserve"> with anonymising their own CVs. </w:t>
            </w:r>
            <w:r w:rsidR="00A679BE" w:rsidRPr="00C95105">
              <w:rPr>
                <w:rFonts w:asciiTheme="minorHAnsi" w:hAnsiTheme="minorHAnsi" w:cstheme="minorHAnsi"/>
                <w:sz w:val="22"/>
                <w:szCs w:val="22"/>
              </w:rPr>
              <w:t xml:space="preserve">Organisations </w:t>
            </w:r>
            <w:r w:rsidR="00AB2EBD" w:rsidRPr="00C95105">
              <w:rPr>
                <w:rFonts w:asciiTheme="minorHAnsi" w:hAnsiTheme="minorHAnsi" w:cstheme="minorHAnsi"/>
                <w:sz w:val="22"/>
                <w:szCs w:val="22"/>
              </w:rPr>
              <w:t>can:</w:t>
            </w:r>
          </w:p>
          <w:p w14:paraId="021DDFB9" w14:textId="5500FA7A" w:rsidR="005242CC" w:rsidRPr="00C95105" w:rsidRDefault="4588DCCE" w:rsidP="005D5F97">
            <w:pPr>
              <w:spacing w:after="120"/>
              <w:rPr>
                <w:rFonts w:asciiTheme="minorHAnsi" w:hAnsiTheme="minorHAnsi" w:cstheme="minorHAnsi"/>
                <w:sz w:val="22"/>
                <w:szCs w:val="22"/>
              </w:rPr>
            </w:pPr>
            <w:r w:rsidRPr="00C95105">
              <w:rPr>
                <w:rFonts w:asciiTheme="minorHAnsi" w:hAnsiTheme="minorHAnsi" w:cstheme="minorHAnsi"/>
                <w:sz w:val="22"/>
                <w:szCs w:val="22"/>
              </w:rPr>
              <w:t>1. U</w:t>
            </w:r>
            <w:r w:rsidR="38EBABEA" w:rsidRPr="00C95105">
              <w:rPr>
                <w:rFonts w:asciiTheme="minorHAnsi" w:hAnsiTheme="minorHAnsi" w:cstheme="minorHAnsi"/>
                <w:sz w:val="22"/>
                <w:szCs w:val="22"/>
              </w:rPr>
              <w:t xml:space="preserve">se </w:t>
            </w:r>
            <w:r w:rsidR="2C091C5F" w:rsidRPr="00C95105">
              <w:rPr>
                <w:rFonts w:asciiTheme="minorHAnsi" w:hAnsiTheme="minorHAnsi" w:cstheme="minorHAnsi"/>
                <w:sz w:val="22"/>
                <w:szCs w:val="22"/>
              </w:rPr>
              <w:t>standardised templates/forms</w:t>
            </w:r>
            <w:r w:rsidRPr="00C95105">
              <w:rPr>
                <w:rFonts w:asciiTheme="minorHAnsi" w:hAnsiTheme="minorHAnsi" w:cstheme="minorHAnsi"/>
                <w:sz w:val="22"/>
                <w:szCs w:val="22"/>
              </w:rPr>
              <w:t>;</w:t>
            </w:r>
          </w:p>
          <w:p w14:paraId="4626BF46" w14:textId="66DC635A" w:rsidR="00AB2EBD" w:rsidRPr="00C95105" w:rsidRDefault="4588DCCE" w:rsidP="005D5F97">
            <w:pPr>
              <w:spacing w:after="120"/>
              <w:rPr>
                <w:rFonts w:asciiTheme="minorHAnsi" w:hAnsiTheme="minorHAnsi" w:cstheme="minorHAnsi"/>
                <w:sz w:val="22"/>
                <w:szCs w:val="22"/>
              </w:rPr>
            </w:pPr>
            <w:r w:rsidRPr="00C95105">
              <w:rPr>
                <w:rFonts w:asciiTheme="minorHAnsi" w:hAnsiTheme="minorHAnsi" w:cstheme="minorHAnsi"/>
                <w:sz w:val="22"/>
                <w:szCs w:val="22"/>
              </w:rPr>
              <w:t>2. C</w:t>
            </w:r>
            <w:r w:rsidR="2C091C5F" w:rsidRPr="00C95105">
              <w:rPr>
                <w:rFonts w:asciiTheme="minorHAnsi" w:hAnsiTheme="minorHAnsi" w:cstheme="minorHAnsi"/>
                <w:sz w:val="22"/>
                <w:szCs w:val="22"/>
              </w:rPr>
              <w:t>lear</w:t>
            </w:r>
            <w:r w:rsidR="38EBABEA" w:rsidRPr="00C95105">
              <w:rPr>
                <w:rFonts w:asciiTheme="minorHAnsi" w:hAnsiTheme="minorHAnsi" w:cstheme="minorHAnsi"/>
                <w:sz w:val="22"/>
                <w:szCs w:val="22"/>
              </w:rPr>
              <w:t>ly</w:t>
            </w:r>
            <w:r w:rsidR="2C091C5F" w:rsidRPr="00C95105">
              <w:rPr>
                <w:rFonts w:asciiTheme="minorHAnsi" w:hAnsiTheme="minorHAnsi" w:cstheme="minorHAnsi"/>
                <w:sz w:val="22"/>
                <w:szCs w:val="22"/>
              </w:rPr>
              <w:t xml:space="preserve"> instruct </w:t>
            </w:r>
            <w:r w:rsidR="0BC60DDF" w:rsidRPr="00C95105">
              <w:rPr>
                <w:rFonts w:asciiTheme="minorHAnsi" w:hAnsiTheme="minorHAnsi" w:cstheme="minorHAnsi"/>
                <w:sz w:val="22"/>
                <w:szCs w:val="22"/>
              </w:rPr>
              <w:t xml:space="preserve">applicants </w:t>
            </w:r>
            <w:r w:rsidR="38EBABEA" w:rsidRPr="00C95105">
              <w:rPr>
                <w:rFonts w:asciiTheme="minorHAnsi" w:hAnsiTheme="minorHAnsi" w:cstheme="minorHAnsi"/>
                <w:sz w:val="22"/>
                <w:szCs w:val="22"/>
              </w:rPr>
              <w:t xml:space="preserve">on </w:t>
            </w:r>
            <w:r w:rsidR="0BC60DDF" w:rsidRPr="00C95105">
              <w:rPr>
                <w:rFonts w:asciiTheme="minorHAnsi" w:hAnsiTheme="minorHAnsi" w:cstheme="minorHAnsi"/>
                <w:sz w:val="22"/>
                <w:szCs w:val="22"/>
              </w:rPr>
              <w:t>what information to omit</w:t>
            </w:r>
            <w:r w:rsidR="00073D57" w:rsidRPr="00C95105">
              <w:rPr>
                <w:rFonts w:asciiTheme="minorHAnsi" w:hAnsiTheme="minorHAnsi" w:cstheme="minorHAnsi"/>
                <w:sz w:val="22"/>
                <w:szCs w:val="22"/>
              </w:rPr>
              <w:t xml:space="preserve"> in the application form</w:t>
            </w:r>
            <w:r w:rsidR="08E975C0" w:rsidRPr="00C95105">
              <w:rPr>
                <w:rFonts w:asciiTheme="minorHAnsi" w:hAnsiTheme="minorHAnsi" w:cstheme="minorHAnsi"/>
                <w:sz w:val="22"/>
                <w:szCs w:val="22"/>
              </w:rPr>
              <w:t>,</w:t>
            </w:r>
            <w:r w:rsidR="0BC60DDF" w:rsidRPr="00C95105">
              <w:rPr>
                <w:rFonts w:asciiTheme="minorHAnsi" w:hAnsiTheme="minorHAnsi" w:cstheme="minorHAnsi"/>
                <w:sz w:val="22"/>
                <w:szCs w:val="22"/>
              </w:rPr>
              <w:t xml:space="preserve"> and </w:t>
            </w:r>
            <w:r w:rsidR="2AACB271" w:rsidRPr="00C95105">
              <w:rPr>
                <w:rFonts w:asciiTheme="minorHAnsi" w:hAnsiTheme="minorHAnsi" w:cstheme="minorHAnsi"/>
                <w:sz w:val="22"/>
                <w:szCs w:val="22"/>
              </w:rPr>
              <w:t>to avoid using identifying information in their answers</w:t>
            </w:r>
            <w:r w:rsidRPr="00C95105">
              <w:rPr>
                <w:rFonts w:asciiTheme="minorHAnsi" w:hAnsiTheme="minorHAnsi" w:cstheme="minorHAnsi"/>
                <w:sz w:val="22"/>
                <w:szCs w:val="22"/>
              </w:rPr>
              <w:t>;</w:t>
            </w:r>
            <w:r w:rsidR="4561F655" w:rsidRPr="00C95105">
              <w:rPr>
                <w:rFonts w:asciiTheme="minorHAnsi" w:hAnsiTheme="minorHAnsi" w:cstheme="minorHAnsi"/>
                <w:sz w:val="22"/>
                <w:szCs w:val="22"/>
              </w:rPr>
              <w:t xml:space="preserve"> and</w:t>
            </w:r>
          </w:p>
          <w:p w14:paraId="6144F74C" w14:textId="025E9E10" w:rsidR="00335595" w:rsidRPr="00C95105" w:rsidRDefault="002A07B8" w:rsidP="005D5F97">
            <w:pPr>
              <w:spacing w:after="120"/>
              <w:rPr>
                <w:rFonts w:asciiTheme="minorHAnsi" w:hAnsiTheme="minorHAnsi" w:cstheme="minorHAnsi"/>
                <w:sz w:val="22"/>
                <w:szCs w:val="22"/>
              </w:rPr>
            </w:pPr>
            <w:r w:rsidRPr="00C95105">
              <w:rPr>
                <w:rFonts w:asciiTheme="minorHAnsi" w:hAnsiTheme="minorHAnsi" w:cstheme="minorHAnsi"/>
                <w:sz w:val="22"/>
                <w:szCs w:val="22"/>
              </w:rPr>
              <w:t>3. A</w:t>
            </w:r>
            <w:r w:rsidR="00AB2EBD" w:rsidRPr="00C95105">
              <w:rPr>
                <w:rFonts w:asciiTheme="minorHAnsi" w:hAnsiTheme="minorHAnsi" w:cstheme="minorHAnsi"/>
                <w:sz w:val="22"/>
                <w:szCs w:val="22"/>
              </w:rPr>
              <w:t xml:space="preserve">ppoint an </w:t>
            </w:r>
            <w:r w:rsidR="00AF3D47" w:rsidRPr="00C95105">
              <w:rPr>
                <w:rFonts w:asciiTheme="minorHAnsi" w:hAnsiTheme="minorHAnsi" w:cstheme="minorHAnsi"/>
                <w:sz w:val="22"/>
                <w:szCs w:val="22"/>
              </w:rPr>
              <w:t xml:space="preserve">independent </w:t>
            </w:r>
            <w:r w:rsidR="00855621" w:rsidRPr="00C95105">
              <w:rPr>
                <w:rFonts w:asciiTheme="minorHAnsi" w:hAnsiTheme="minorHAnsi" w:cstheme="minorHAnsi"/>
                <w:sz w:val="22"/>
                <w:szCs w:val="22"/>
              </w:rPr>
              <w:t xml:space="preserve">recruiter </w:t>
            </w:r>
            <w:r w:rsidR="00AB2EBD" w:rsidRPr="00C95105">
              <w:rPr>
                <w:rFonts w:asciiTheme="minorHAnsi" w:hAnsiTheme="minorHAnsi" w:cstheme="minorHAnsi"/>
                <w:sz w:val="22"/>
                <w:szCs w:val="22"/>
              </w:rPr>
              <w:t xml:space="preserve">to </w:t>
            </w:r>
            <w:r w:rsidR="00855621" w:rsidRPr="00C95105">
              <w:rPr>
                <w:rFonts w:asciiTheme="minorHAnsi" w:hAnsiTheme="minorHAnsi" w:cstheme="minorHAnsi"/>
                <w:sz w:val="22"/>
                <w:szCs w:val="22"/>
              </w:rPr>
              <w:t>check</w:t>
            </w:r>
            <w:r w:rsidR="00BE0E67" w:rsidRPr="00C95105">
              <w:rPr>
                <w:rFonts w:asciiTheme="minorHAnsi" w:hAnsiTheme="minorHAnsi" w:cstheme="minorHAnsi"/>
                <w:sz w:val="22"/>
                <w:szCs w:val="22"/>
              </w:rPr>
              <w:t xml:space="preserve"> applications to further de-identify answers</w:t>
            </w:r>
            <w:r w:rsidR="00A73F91" w:rsidRPr="00C95105">
              <w:rPr>
                <w:rFonts w:asciiTheme="minorHAnsi" w:hAnsiTheme="minorHAnsi" w:cstheme="minorHAnsi"/>
                <w:sz w:val="22"/>
                <w:szCs w:val="22"/>
              </w:rPr>
              <w:t>, before other</w:t>
            </w:r>
            <w:r w:rsidR="00A43641" w:rsidRPr="00C95105">
              <w:rPr>
                <w:rFonts w:asciiTheme="minorHAnsi" w:hAnsiTheme="minorHAnsi" w:cstheme="minorHAnsi"/>
                <w:sz w:val="22"/>
                <w:szCs w:val="22"/>
              </w:rPr>
              <w:t xml:space="preserve"> recruiters</w:t>
            </w:r>
            <w:r w:rsidR="00A73F91" w:rsidRPr="00C95105">
              <w:rPr>
                <w:rFonts w:asciiTheme="minorHAnsi" w:hAnsiTheme="minorHAnsi" w:cstheme="minorHAnsi"/>
                <w:sz w:val="22"/>
                <w:szCs w:val="22"/>
              </w:rPr>
              <w:t xml:space="preserve"> </w:t>
            </w:r>
            <w:r w:rsidR="00A43641" w:rsidRPr="00C95105">
              <w:rPr>
                <w:rFonts w:asciiTheme="minorHAnsi" w:hAnsiTheme="minorHAnsi" w:cstheme="minorHAnsi"/>
                <w:sz w:val="22"/>
                <w:szCs w:val="22"/>
              </w:rPr>
              <w:t>do the shortlisting.</w:t>
            </w:r>
          </w:p>
        </w:tc>
      </w:tr>
      <w:tr w:rsidR="00535E57" w:rsidRPr="00C95105" w14:paraId="5DC9A5E3" w14:textId="77777777" w:rsidTr="7AA29099">
        <w:tc>
          <w:tcPr>
            <w:tcW w:w="1560" w:type="dxa"/>
            <w:tcBorders>
              <w:left w:val="nil"/>
              <w:right w:val="nil"/>
            </w:tcBorders>
          </w:tcPr>
          <w:p w14:paraId="012A052F" w14:textId="77777777" w:rsidR="00F76028" w:rsidRPr="00C95105" w:rsidRDefault="00F76028" w:rsidP="005D5F97">
            <w:pPr>
              <w:spacing w:after="120"/>
              <w:rPr>
                <w:rFonts w:asciiTheme="minorHAnsi" w:hAnsiTheme="minorHAnsi" w:cstheme="minorHAnsi"/>
                <w:sz w:val="22"/>
                <w:szCs w:val="22"/>
              </w:rPr>
            </w:pPr>
          </w:p>
        </w:tc>
        <w:tc>
          <w:tcPr>
            <w:tcW w:w="3686" w:type="dxa"/>
            <w:tcBorders>
              <w:left w:val="nil"/>
              <w:right w:val="nil"/>
            </w:tcBorders>
          </w:tcPr>
          <w:p w14:paraId="44158D9A" w14:textId="588747E4" w:rsidR="00F76028" w:rsidRPr="00C95105" w:rsidRDefault="2971DA32"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When CV anonymisation is </w:t>
            </w:r>
            <w:r w:rsidR="6AD61D4E" w:rsidRPr="00C95105">
              <w:rPr>
                <w:rFonts w:asciiTheme="minorHAnsi" w:hAnsiTheme="minorHAnsi" w:cstheme="minorHAnsi"/>
                <w:sz w:val="22"/>
                <w:szCs w:val="22"/>
              </w:rPr>
              <w:t>done</w:t>
            </w:r>
            <w:r w:rsidRPr="00C95105">
              <w:rPr>
                <w:rFonts w:asciiTheme="minorHAnsi" w:hAnsiTheme="minorHAnsi" w:cstheme="minorHAnsi"/>
                <w:sz w:val="22"/>
                <w:szCs w:val="22"/>
              </w:rPr>
              <w:t xml:space="preserve"> by </w:t>
            </w:r>
            <w:r w:rsidR="6AD61D4E" w:rsidRPr="00C95105">
              <w:rPr>
                <w:rFonts w:asciiTheme="minorHAnsi" w:hAnsiTheme="minorHAnsi" w:cstheme="minorHAnsi"/>
                <w:sz w:val="22"/>
                <w:szCs w:val="22"/>
              </w:rPr>
              <w:t>a recruiter</w:t>
            </w:r>
            <w:r w:rsidRPr="00C95105">
              <w:rPr>
                <w:rFonts w:asciiTheme="minorHAnsi" w:hAnsiTheme="minorHAnsi" w:cstheme="minorHAnsi"/>
                <w:sz w:val="22"/>
                <w:szCs w:val="22"/>
              </w:rPr>
              <w:t xml:space="preserve">, anonymisation </w:t>
            </w:r>
            <w:r w:rsidR="4E6A59BF" w:rsidRPr="00C95105">
              <w:rPr>
                <w:rFonts w:asciiTheme="minorHAnsi" w:hAnsiTheme="minorHAnsi" w:cstheme="minorHAnsi"/>
                <w:sz w:val="22"/>
                <w:szCs w:val="22"/>
              </w:rPr>
              <w:t>can also be</w:t>
            </w:r>
            <w:r w:rsidRPr="00C95105">
              <w:rPr>
                <w:rFonts w:asciiTheme="minorHAnsi" w:hAnsiTheme="minorHAnsi" w:cstheme="minorHAnsi"/>
                <w:sz w:val="22"/>
                <w:szCs w:val="22"/>
              </w:rPr>
              <w:t xml:space="preserve"> incomplete.</w:t>
            </w:r>
            <w:r w:rsidR="104A55DC" w:rsidRPr="00C95105">
              <w:rPr>
                <w:rFonts w:asciiTheme="minorHAnsi" w:hAnsiTheme="minorHAnsi" w:cstheme="minorHAnsi"/>
                <w:sz w:val="22"/>
                <w:szCs w:val="22"/>
              </w:rPr>
              <w:t xml:space="preserve"> </w:t>
            </w:r>
            <w:r w:rsidR="22E0D087" w:rsidRPr="00C95105">
              <w:rPr>
                <w:rFonts w:asciiTheme="minorHAnsi" w:hAnsiTheme="minorHAnsi" w:cstheme="minorHAnsi"/>
                <w:sz w:val="22"/>
                <w:szCs w:val="22"/>
              </w:rPr>
              <w:t xml:space="preserve">Subtle cues containing information about the employees’ protected </w:t>
            </w:r>
            <w:r w:rsidR="37B14BCB" w:rsidRPr="00C95105">
              <w:rPr>
                <w:rFonts w:asciiTheme="minorHAnsi" w:hAnsiTheme="minorHAnsi" w:cstheme="minorHAnsi"/>
                <w:sz w:val="22"/>
                <w:szCs w:val="22"/>
              </w:rPr>
              <w:t xml:space="preserve">attributes </w:t>
            </w:r>
            <w:r w:rsidR="22E0D087" w:rsidRPr="00C95105">
              <w:rPr>
                <w:rFonts w:asciiTheme="minorHAnsi" w:hAnsiTheme="minorHAnsi" w:cstheme="minorHAnsi"/>
                <w:sz w:val="22"/>
                <w:szCs w:val="22"/>
              </w:rPr>
              <w:t>(e.g., ethnicity, SES, gender) may be retained and used by evaluators.</w:t>
            </w:r>
          </w:p>
        </w:tc>
        <w:tc>
          <w:tcPr>
            <w:tcW w:w="3826" w:type="dxa"/>
            <w:tcBorders>
              <w:left w:val="nil"/>
              <w:right w:val="nil"/>
            </w:tcBorders>
          </w:tcPr>
          <w:p w14:paraId="0CB8A66F" w14:textId="78467E9A" w:rsidR="00B30DF0" w:rsidRPr="00C95105" w:rsidRDefault="007D338F"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If </w:t>
            </w:r>
            <w:r w:rsidR="00D726CB" w:rsidRPr="00C95105">
              <w:rPr>
                <w:rFonts w:asciiTheme="minorHAnsi" w:hAnsiTheme="minorHAnsi" w:cstheme="minorHAnsi"/>
                <w:sz w:val="22"/>
                <w:szCs w:val="22"/>
              </w:rPr>
              <w:t>anonymisation</w:t>
            </w:r>
            <w:r w:rsidRPr="00C95105">
              <w:rPr>
                <w:rFonts w:asciiTheme="minorHAnsi" w:hAnsiTheme="minorHAnsi" w:cstheme="minorHAnsi"/>
                <w:sz w:val="22"/>
                <w:szCs w:val="22"/>
              </w:rPr>
              <w:t xml:space="preserve"> is done by </w:t>
            </w:r>
            <w:r w:rsidR="00F50F24" w:rsidRPr="00C95105">
              <w:rPr>
                <w:rFonts w:asciiTheme="minorHAnsi" w:hAnsiTheme="minorHAnsi" w:cstheme="minorHAnsi"/>
                <w:sz w:val="22"/>
                <w:szCs w:val="22"/>
              </w:rPr>
              <w:t>a recruiter</w:t>
            </w:r>
            <w:r w:rsidRPr="00C95105">
              <w:rPr>
                <w:rFonts w:asciiTheme="minorHAnsi" w:hAnsiTheme="minorHAnsi" w:cstheme="minorHAnsi"/>
                <w:sz w:val="22"/>
                <w:szCs w:val="22"/>
              </w:rPr>
              <w:t>, there should be</w:t>
            </w:r>
            <w:r w:rsidR="00B30DF0" w:rsidRPr="00C95105">
              <w:rPr>
                <w:rFonts w:asciiTheme="minorHAnsi" w:hAnsiTheme="minorHAnsi" w:cstheme="minorHAnsi"/>
                <w:sz w:val="22"/>
                <w:szCs w:val="22"/>
              </w:rPr>
              <w:t>:</w:t>
            </w:r>
            <w:r w:rsidRPr="00C95105">
              <w:rPr>
                <w:rFonts w:asciiTheme="minorHAnsi" w:hAnsiTheme="minorHAnsi" w:cstheme="minorHAnsi"/>
                <w:sz w:val="22"/>
                <w:szCs w:val="22"/>
              </w:rPr>
              <w:t xml:space="preserve"> </w:t>
            </w:r>
          </w:p>
          <w:p w14:paraId="5BD152D6" w14:textId="730959BD" w:rsidR="00B30DF0" w:rsidRPr="00C95105" w:rsidRDefault="002A07B8" w:rsidP="005D5F97">
            <w:pPr>
              <w:spacing w:after="120"/>
              <w:rPr>
                <w:rFonts w:asciiTheme="minorHAnsi" w:hAnsiTheme="minorHAnsi" w:cstheme="minorHAnsi"/>
                <w:sz w:val="22"/>
                <w:szCs w:val="22"/>
              </w:rPr>
            </w:pPr>
            <w:r w:rsidRPr="00C95105">
              <w:rPr>
                <w:rFonts w:asciiTheme="minorHAnsi" w:hAnsiTheme="minorHAnsi" w:cstheme="minorHAnsi"/>
                <w:sz w:val="22"/>
                <w:szCs w:val="22"/>
              </w:rPr>
              <w:t>1. C</w:t>
            </w:r>
            <w:r w:rsidR="007D338F" w:rsidRPr="00C95105">
              <w:rPr>
                <w:rFonts w:asciiTheme="minorHAnsi" w:hAnsiTheme="minorHAnsi" w:cstheme="minorHAnsi"/>
                <w:sz w:val="22"/>
                <w:szCs w:val="22"/>
              </w:rPr>
              <w:t>lear instructions on what information to omit</w:t>
            </w:r>
            <w:r w:rsidRPr="00C95105">
              <w:rPr>
                <w:rFonts w:asciiTheme="minorHAnsi" w:hAnsiTheme="minorHAnsi" w:cstheme="minorHAnsi"/>
                <w:sz w:val="22"/>
                <w:szCs w:val="22"/>
              </w:rPr>
              <w:t>;</w:t>
            </w:r>
            <w:r w:rsidR="007D338F" w:rsidRPr="00C95105">
              <w:rPr>
                <w:rFonts w:asciiTheme="minorHAnsi" w:hAnsiTheme="minorHAnsi" w:cstheme="minorHAnsi"/>
                <w:sz w:val="22"/>
                <w:szCs w:val="22"/>
              </w:rPr>
              <w:t xml:space="preserve"> and </w:t>
            </w:r>
          </w:p>
          <w:p w14:paraId="09E62943" w14:textId="7E623D22" w:rsidR="00F76028" w:rsidRPr="00C95105" w:rsidRDefault="002A07B8" w:rsidP="005D5F97">
            <w:pPr>
              <w:spacing w:after="120"/>
              <w:rPr>
                <w:rFonts w:asciiTheme="minorHAnsi" w:hAnsiTheme="minorHAnsi" w:cstheme="minorHAnsi"/>
                <w:sz w:val="22"/>
                <w:szCs w:val="22"/>
              </w:rPr>
            </w:pPr>
            <w:r w:rsidRPr="00C95105">
              <w:rPr>
                <w:rFonts w:asciiTheme="minorHAnsi" w:hAnsiTheme="minorHAnsi" w:cstheme="minorHAnsi"/>
                <w:sz w:val="22"/>
                <w:szCs w:val="22"/>
              </w:rPr>
              <w:t>2. A</w:t>
            </w:r>
            <w:r w:rsidR="001C5A37" w:rsidRPr="00C95105">
              <w:rPr>
                <w:rFonts w:asciiTheme="minorHAnsi" w:hAnsiTheme="minorHAnsi" w:cstheme="minorHAnsi"/>
                <w:sz w:val="22"/>
                <w:szCs w:val="22"/>
              </w:rPr>
              <w:t xml:space="preserve">n </w:t>
            </w:r>
            <w:r w:rsidR="00F50F24" w:rsidRPr="00C95105">
              <w:rPr>
                <w:rFonts w:asciiTheme="minorHAnsi" w:hAnsiTheme="minorHAnsi" w:cstheme="minorHAnsi"/>
                <w:sz w:val="22"/>
                <w:szCs w:val="22"/>
              </w:rPr>
              <w:t xml:space="preserve">additional </w:t>
            </w:r>
            <w:r w:rsidR="001C5A37" w:rsidRPr="00C95105">
              <w:rPr>
                <w:rFonts w:asciiTheme="minorHAnsi" w:hAnsiTheme="minorHAnsi" w:cstheme="minorHAnsi"/>
                <w:sz w:val="22"/>
                <w:szCs w:val="22"/>
              </w:rPr>
              <w:t xml:space="preserve">independent </w:t>
            </w:r>
            <w:r w:rsidR="007D338F" w:rsidRPr="00C95105">
              <w:rPr>
                <w:rFonts w:asciiTheme="minorHAnsi" w:hAnsiTheme="minorHAnsi" w:cstheme="minorHAnsi"/>
                <w:sz w:val="22"/>
                <w:szCs w:val="22"/>
              </w:rPr>
              <w:t xml:space="preserve">recruiter </w:t>
            </w:r>
            <w:r w:rsidR="005F717C" w:rsidRPr="00C95105">
              <w:rPr>
                <w:rFonts w:asciiTheme="minorHAnsi" w:hAnsiTheme="minorHAnsi" w:cstheme="minorHAnsi"/>
                <w:sz w:val="22"/>
                <w:szCs w:val="22"/>
              </w:rPr>
              <w:t xml:space="preserve">to </w:t>
            </w:r>
            <w:r w:rsidR="007D338F" w:rsidRPr="00C95105">
              <w:rPr>
                <w:rFonts w:asciiTheme="minorHAnsi" w:hAnsiTheme="minorHAnsi" w:cstheme="minorHAnsi"/>
                <w:sz w:val="22"/>
                <w:szCs w:val="22"/>
              </w:rPr>
              <w:t>review</w:t>
            </w:r>
            <w:r w:rsidR="001C5A37" w:rsidRPr="00C95105">
              <w:rPr>
                <w:rFonts w:asciiTheme="minorHAnsi" w:hAnsiTheme="minorHAnsi" w:cstheme="minorHAnsi"/>
                <w:sz w:val="22"/>
                <w:szCs w:val="22"/>
              </w:rPr>
              <w:t xml:space="preserve"> the application for quality of </w:t>
            </w:r>
            <w:r w:rsidR="00A46200" w:rsidRPr="00C95105">
              <w:rPr>
                <w:rFonts w:asciiTheme="minorHAnsi" w:hAnsiTheme="minorHAnsi" w:cstheme="minorHAnsi"/>
                <w:sz w:val="22"/>
                <w:szCs w:val="22"/>
              </w:rPr>
              <w:t>anonymisation</w:t>
            </w:r>
            <w:r w:rsidR="001C5A37" w:rsidRPr="00C95105">
              <w:rPr>
                <w:rFonts w:asciiTheme="minorHAnsi" w:hAnsiTheme="minorHAnsi" w:cstheme="minorHAnsi"/>
                <w:sz w:val="22"/>
                <w:szCs w:val="22"/>
              </w:rPr>
              <w:t xml:space="preserve"> before shortlisting</w:t>
            </w:r>
            <w:r w:rsidR="007B4C7A" w:rsidRPr="00C95105">
              <w:rPr>
                <w:rFonts w:asciiTheme="minorHAnsi" w:hAnsiTheme="minorHAnsi" w:cstheme="minorHAnsi"/>
                <w:sz w:val="22"/>
                <w:szCs w:val="22"/>
              </w:rPr>
              <w:t xml:space="preserve"> by </w:t>
            </w:r>
            <w:r w:rsidR="001B2729" w:rsidRPr="00C95105">
              <w:rPr>
                <w:rFonts w:asciiTheme="minorHAnsi" w:hAnsiTheme="minorHAnsi" w:cstheme="minorHAnsi"/>
                <w:sz w:val="22"/>
                <w:szCs w:val="22"/>
              </w:rPr>
              <w:t>other recruiters</w:t>
            </w:r>
            <w:r w:rsidR="007B4C7A" w:rsidRPr="00C95105">
              <w:rPr>
                <w:rFonts w:asciiTheme="minorHAnsi" w:hAnsiTheme="minorHAnsi" w:cstheme="minorHAnsi"/>
                <w:sz w:val="22"/>
                <w:szCs w:val="22"/>
              </w:rPr>
              <w:t>.</w:t>
            </w:r>
          </w:p>
        </w:tc>
      </w:tr>
      <w:tr w:rsidR="00535E57" w:rsidRPr="00C95105" w14:paraId="44492B15" w14:textId="77777777" w:rsidTr="7AA29099">
        <w:tc>
          <w:tcPr>
            <w:tcW w:w="1560" w:type="dxa"/>
            <w:tcBorders>
              <w:left w:val="nil"/>
              <w:right w:val="nil"/>
            </w:tcBorders>
          </w:tcPr>
          <w:p w14:paraId="6C0A2F13" w14:textId="1A7855E6" w:rsidR="00A864F1" w:rsidRPr="00C95105" w:rsidRDefault="00A864F1" w:rsidP="005D5F97">
            <w:pPr>
              <w:spacing w:after="120"/>
              <w:rPr>
                <w:rFonts w:asciiTheme="minorHAnsi" w:hAnsiTheme="minorHAnsi" w:cstheme="minorHAnsi"/>
                <w:sz w:val="22"/>
                <w:szCs w:val="22"/>
              </w:rPr>
            </w:pPr>
            <w:r w:rsidRPr="00C95105">
              <w:rPr>
                <w:rFonts w:asciiTheme="minorHAnsi" w:hAnsiTheme="minorHAnsi" w:cstheme="minorHAnsi"/>
                <w:sz w:val="22"/>
                <w:szCs w:val="22"/>
              </w:rPr>
              <w:t>Un</w:t>
            </w:r>
            <w:r w:rsidR="004D118D" w:rsidRPr="00C95105">
              <w:rPr>
                <w:rFonts w:asciiTheme="minorHAnsi" w:hAnsiTheme="minorHAnsi" w:cstheme="minorHAnsi"/>
                <w:sz w:val="22"/>
                <w:szCs w:val="22"/>
              </w:rPr>
              <w:t xml:space="preserve">intended </w:t>
            </w:r>
            <w:r w:rsidR="00CF2A30" w:rsidRPr="00C95105">
              <w:rPr>
                <w:rFonts w:asciiTheme="minorHAnsi" w:hAnsiTheme="minorHAnsi" w:cstheme="minorHAnsi"/>
                <w:sz w:val="22"/>
                <w:szCs w:val="22"/>
              </w:rPr>
              <w:t>consequences</w:t>
            </w:r>
          </w:p>
        </w:tc>
        <w:tc>
          <w:tcPr>
            <w:tcW w:w="3686" w:type="dxa"/>
            <w:tcBorders>
              <w:left w:val="nil"/>
              <w:right w:val="nil"/>
            </w:tcBorders>
          </w:tcPr>
          <w:p w14:paraId="5DBCDE64" w14:textId="605673F5" w:rsidR="00A864F1" w:rsidRPr="00C95105" w:rsidRDefault="67CBA020" w:rsidP="005D5F97">
            <w:pPr>
              <w:spacing w:after="120"/>
              <w:rPr>
                <w:rFonts w:asciiTheme="minorHAnsi" w:hAnsiTheme="minorHAnsi" w:cstheme="minorHAnsi"/>
                <w:sz w:val="22"/>
                <w:szCs w:val="22"/>
              </w:rPr>
            </w:pPr>
            <w:r w:rsidRPr="00C95105">
              <w:rPr>
                <w:rFonts w:asciiTheme="minorHAnsi" w:hAnsiTheme="minorHAnsi" w:cstheme="minorHAnsi"/>
                <w:sz w:val="22"/>
                <w:szCs w:val="22"/>
              </w:rPr>
              <w:t xml:space="preserve">Some studies found </w:t>
            </w:r>
            <w:r w:rsidR="00B6255E" w:rsidRPr="00C95105">
              <w:rPr>
                <w:rFonts w:asciiTheme="minorHAnsi" w:hAnsiTheme="minorHAnsi" w:cstheme="minorHAnsi"/>
                <w:sz w:val="22"/>
                <w:szCs w:val="22"/>
              </w:rPr>
              <w:t xml:space="preserve">that </w:t>
            </w:r>
            <w:r w:rsidRPr="00C95105">
              <w:rPr>
                <w:rFonts w:asciiTheme="minorHAnsi" w:hAnsiTheme="minorHAnsi" w:cstheme="minorHAnsi"/>
                <w:sz w:val="22"/>
                <w:szCs w:val="22"/>
              </w:rPr>
              <w:t>AAP increase</w:t>
            </w:r>
            <w:r w:rsidR="50F45C54" w:rsidRPr="00C95105">
              <w:rPr>
                <w:rFonts w:asciiTheme="minorHAnsi" w:hAnsiTheme="minorHAnsi" w:cstheme="minorHAnsi"/>
                <w:sz w:val="22"/>
                <w:szCs w:val="22"/>
              </w:rPr>
              <w:t>d</w:t>
            </w:r>
            <w:r w:rsidRPr="00C95105">
              <w:rPr>
                <w:rFonts w:asciiTheme="minorHAnsi" w:hAnsiTheme="minorHAnsi" w:cstheme="minorHAnsi"/>
                <w:sz w:val="22"/>
                <w:szCs w:val="22"/>
              </w:rPr>
              <w:t xml:space="preserve"> the number of shortlisted candidates</w:t>
            </w:r>
            <w:r w:rsidR="3E3B6E85" w:rsidRPr="00C95105">
              <w:rPr>
                <w:rFonts w:asciiTheme="minorHAnsi" w:hAnsiTheme="minorHAnsi" w:cstheme="minorHAnsi"/>
                <w:sz w:val="22"/>
                <w:szCs w:val="22"/>
              </w:rPr>
              <w:t xml:space="preserve">. This effect might mean that more candidates are considered </w:t>
            </w:r>
            <w:r w:rsidR="3E3B6E85" w:rsidRPr="00C95105">
              <w:rPr>
                <w:rFonts w:asciiTheme="minorHAnsi" w:hAnsiTheme="minorHAnsi" w:cstheme="minorHAnsi"/>
                <w:sz w:val="22"/>
                <w:szCs w:val="22"/>
              </w:rPr>
              <w:lastRenderedPageBreak/>
              <w:t>suitable under AAP. However,</w:t>
            </w:r>
            <w:r w:rsidR="17779245" w:rsidRPr="00C95105">
              <w:rPr>
                <w:rFonts w:asciiTheme="minorHAnsi" w:hAnsiTheme="minorHAnsi" w:cstheme="minorHAnsi"/>
                <w:sz w:val="22"/>
                <w:szCs w:val="22"/>
              </w:rPr>
              <w:t xml:space="preserve"> other</w:t>
            </w:r>
            <w:r w:rsidR="3E3B6E85" w:rsidRPr="00C95105">
              <w:rPr>
                <w:rFonts w:asciiTheme="minorHAnsi" w:hAnsiTheme="minorHAnsi" w:cstheme="minorHAnsi"/>
                <w:sz w:val="22"/>
                <w:szCs w:val="22"/>
              </w:rPr>
              <w:t xml:space="preserve"> studies</w:t>
            </w:r>
            <w:r w:rsidR="17779245" w:rsidRPr="00C95105">
              <w:rPr>
                <w:rFonts w:asciiTheme="minorHAnsi" w:hAnsiTheme="minorHAnsi" w:cstheme="minorHAnsi"/>
                <w:sz w:val="22"/>
                <w:szCs w:val="22"/>
              </w:rPr>
              <w:t xml:space="preserve"> found no impact of AAP on the number of candidates shortlisted.</w:t>
            </w:r>
            <w:r w:rsidR="52569C1F" w:rsidRPr="00C95105">
              <w:rPr>
                <w:rFonts w:asciiTheme="minorHAnsi" w:hAnsiTheme="minorHAnsi" w:cstheme="minorHAnsi"/>
                <w:sz w:val="22"/>
                <w:szCs w:val="22"/>
              </w:rPr>
              <w:t xml:space="preserve"> </w:t>
            </w:r>
          </w:p>
        </w:tc>
        <w:tc>
          <w:tcPr>
            <w:tcW w:w="3826" w:type="dxa"/>
            <w:tcBorders>
              <w:left w:val="nil"/>
              <w:right w:val="nil"/>
            </w:tcBorders>
          </w:tcPr>
          <w:p w14:paraId="31AC9126" w14:textId="6A74112F" w:rsidR="00A864F1" w:rsidRPr="00C95105" w:rsidRDefault="0A296671" w:rsidP="005D5F97">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 xml:space="preserve">Organisations should monitor </w:t>
            </w:r>
            <w:r w:rsidR="50BBE868" w:rsidRPr="00C95105">
              <w:rPr>
                <w:rFonts w:asciiTheme="minorHAnsi" w:hAnsiTheme="minorHAnsi" w:cstheme="minorHAnsi"/>
                <w:sz w:val="22"/>
                <w:szCs w:val="22"/>
              </w:rPr>
              <w:t>changes in the percentages of shortlisted candidates under AAP conditions (e.g., relative to previous</w:t>
            </w:r>
            <w:r w:rsidR="344CA1AD" w:rsidRPr="00C95105">
              <w:rPr>
                <w:rFonts w:asciiTheme="minorHAnsi" w:hAnsiTheme="minorHAnsi" w:cstheme="minorHAnsi"/>
                <w:sz w:val="22"/>
                <w:szCs w:val="22"/>
              </w:rPr>
              <w:t xml:space="preserve"> non-AAP</w:t>
            </w:r>
            <w:r w:rsidR="50BBE868" w:rsidRPr="00C95105">
              <w:rPr>
                <w:rFonts w:asciiTheme="minorHAnsi" w:hAnsiTheme="minorHAnsi" w:cstheme="minorHAnsi"/>
                <w:sz w:val="22"/>
                <w:szCs w:val="22"/>
              </w:rPr>
              <w:t xml:space="preserve"> </w:t>
            </w:r>
            <w:r w:rsidR="344CA1AD" w:rsidRPr="00C95105">
              <w:rPr>
                <w:rFonts w:asciiTheme="minorHAnsi" w:hAnsiTheme="minorHAnsi" w:cstheme="minorHAnsi"/>
                <w:sz w:val="22"/>
                <w:szCs w:val="22"/>
              </w:rPr>
              <w:t xml:space="preserve">rounds of </w:t>
            </w:r>
            <w:r w:rsidR="344CA1AD" w:rsidRPr="00C95105">
              <w:rPr>
                <w:rFonts w:asciiTheme="minorHAnsi" w:hAnsiTheme="minorHAnsi" w:cstheme="minorHAnsi"/>
                <w:sz w:val="22"/>
                <w:szCs w:val="22"/>
              </w:rPr>
              <w:lastRenderedPageBreak/>
              <w:t>recruitment)</w:t>
            </w:r>
            <w:r w:rsidR="18B4675B" w:rsidRPr="00C95105">
              <w:rPr>
                <w:rFonts w:asciiTheme="minorHAnsi" w:hAnsiTheme="minorHAnsi" w:cstheme="minorHAnsi"/>
                <w:sz w:val="22"/>
                <w:szCs w:val="22"/>
              </w:rPr>
              <w:t xml:space="preserve">. In particular, they should be mindful of situations where minority groups are </w:t>
            </w:r>
            <w:r w:rsidR="5797FDD7" w:rsidRPr="00C95105">
              <w:rPr>
                <w:rFonts w:asciiTheme="minorHAnsi" w:hAnsiTheme="minorHAnsi" w:cstheme="minorHAnsi"/>
                <w:sz w:val="22"/>
                <w:szCs w:val="22"/>
              </w:rPr>
              <w:t xml:space="preserve">disproportionally dropped </w:t>
            </w:r>
            <w:r w:rsidR="2E6A9306" w:rsidRPr="00C95105">
              <w:rPr>
                <w:rFonts w:asciiTheme="minorHAnsi" w:hAnsiTheme="minorHAnsi" w:cstheme="minorHAnsi"/>
                <w:sz w:val="22"/>
                <w:szCs w:val="22"/>
              </w:rPr>
              <w:t>after the interview.</w:t>
            </w:r>
          </w:p>
        </w:tc>
      </w:tr>
    </w:tbl>
    <w:p w14:paraId="6609D1CD" w14:textId="77777777" w:rsidR="00F13C3B" w:rsidRPr="00C95105" w:rsidRDefault="00F13C3B" w:rsidP="005D5F97">
      <w:pPr>
        <w:spacing w:after="120"/>
        <w:rPr>
          <w:rFonts w:asciiTheme="minorHAnsi" w:hAnsiTheme="minorHAnsi" w:cstheme="minorHAnsi"/>
          <w:sz w:val="22"/>
          <w:szCs w:val="22"/>
        </w:rPr>
      </w:pPr>
    </w:p>
    <w:p w14:paraId="069A2FCF" w14:textId="602FA63E" w:rsidR="004060FE" w:rsidRPr="00C95105" w:rsidRDefault="00FB2F11" w:rsidP="0093280F">
      <w:pPr>
        <w:pStyle w:val="Heading2"/>
        <w:numPr>
          <w:ilvl w:val="1"/>
          <w:numId w:val="8"/>
        </w:numPr>
        <w:spacing w:before="0" w:after="120"/>
        <w:ind w:left="426" w:hanging="426"/>
        <w:rPr>
          <w:rFonts w:asciiTheme="minorHAnsi" w:hAnsiTheme="minorHAnsi" w:cstheme="minorHAnsi"/>
          <w:b/>
          <w:bCs/>
        </w:rPr>
      </w:pPr>
      <w:bookmarkStart w:id="132" w:name="_Toc96957675"/>
      <w:r w:rsidRPr="00C95105">
        <w:rPr>
          <w:rFonts w:asciiTheme="minorHAnsi" w:hAnsiTheme="minorHAnsi" w:cstheme="minorHAnsi"/>
          <w:b/>
          <w:bCs/>
        </w:rPr>
        <w:t>Key</w:t>
      </w:r>
      <w:r w:rsidR="004060FE" w:rsidRPr="00C95105">
        <w:rPr>
          <w:rFonts w:asciiTheme="minorHAnsi" w:hAnsiTheme="minorHAnsi" w:cstheme="minorHAnsi"/>
          <w:b/>
          <w:bCs/>
        </w:rPr>
        <w:t xml:space="preserve"> Considerations </w:t>
      </w:r>
      <w:r w:rsidRPr="00C95105">
        <w:rPr>
          <w:rFonts w:asciiTheme="minorHAnsi" w:hAnsiTheme="minorHAnsi" w:cstheme="minorHAnsi"/>
          <w:b/>
          <w:bCs/>
        </w:rPr>
        <w:t>from the Research</w:t>
      </w:r>
      <w:bookmarkEnd w:id="132"/>
    </w:p>
    <w:p w14:paraId="22F19CBF" w14:textId="77777777" w:rsidR="00355FA4" w:rsidRPr="00C95105" w:rsidRDefault="00FC2C4C" w:rsidP="00355FA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Our review found that </w:t>
      </w:r>
      <w:r w:rsidR="00FB2F11" w:rsidRPr="00C95105">
        <w:rPr>
          <w:rFonts w:asciiTheme="minorHAnsi" w:hAnsiTheme="minorHAnsi" w:cstheme="minorHAnsi"/>
          <w:sz w:val="22"/>
          <w:szCs w:val="22"/>
        </w:rPr>
        <w:t>AAP were effective at reducing discrimination against women and ethnic minority groups during the CV review for shortlisting phase of the selection process. However, evidence indicates that there are divergent impacts of APP for women and ethnic minorities at the interview-job offer phase. While AAP reduce discrimination for women in job offers, such an effect was not present for ethnic minority applicants. This disparity in outcomes indicates that at the interview stage, women might be able to both show their skills and job fit and be perceived as an in-group by the interviewers, whereas ethnic minority applicants might not. This situation calls for a range of other interventions to reduce discrimination and increase perceptions of fit towards and representation of ethnic minority candidates of all genders (Cooney-O'Donoghue, Adamovic, &amp; Sojo, 2021), including prejudice reduction interventions (Paluck &amp; Green, 2008) and affirmative action (Sojo et al., 2016).</w:t>
      </w:r>
    </w:p>
    <w:p w14:paraId="2D7DD360" w14:textId="77777777" w:rsidR="00355FA4" w:rsidRPr="00C95105" w:rsidRDefault="00FB2F11" w:rsidP="00355FA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value of AAP is realised under three specific conditions: (i) when there is a critical mass of job-ready members of protected categories who are (ii) being discriminated against in recruitment and selection, and (iii) when selecting for a relatively larger number of jobs. That is, if there are few job-ready members of a specific protected category and when only selecting a few people, AAP might not be the most appropriate strategy to diversify your pool of candidates and final recruits. Similarly, when there is no clear evidence of discrimination or organisations are already making </w:t>
      </w:r>
      <w:r w:rsidRPr="00C95105">
        <w:rPr>
          <w:rFonts w:asciiTheme="minorHAnsi" w:hAnsiTheme="minorHAnsi" w:cstheme="minorHAnsi"/>
          <w:i/>
          <w:iCs/>
          <w:sz w:val="22"/>
          <w:szCs w:val="22"/>
        </w:rPr>
        <w:t xml:space="preserve">effective </w:t>
      </w:r>
      <w:r w:rsidRPr="00C95105">
        <w:rPr>
          <w:rFonts w:asciiTheme="minorHAnsi" w:hAnsiTheme="minorHAnsi" w:cstheme="minorHAnsi"/>
          <w:sz w:val="22"/>
          <w:szCs w:val="22"/>
        </w:rPr>
        <w:t>effort to diversify their pool of recruits, AAP might not yield positive effects.</w:t>
      </w:r>
    </w:p>
    <w:p w14:paraId="384C69EE" w14:textId="77777777" w:rsidR="00355FA4" w:rsidRPr="00C95105" w:rsidRDefault="033D52F0" w:rsidP="00355FA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AAP were described as very costly in the reviewed literature. Even when using computer-based application templates with clear instructions, independent recruiters need to spend hours reviewing the applications to make sure identifying information is not present, before moving to the evaluation phase. Of course, the investment in personnel is even higher when organisations try to manually blank out information in CVs submitted by applicants in different formats, which also leads to more identifying cues left unchanged. Therefore, AAP are probably best suited for large recruitment campaigns, where organisations can use online/computer-based application forms with clear instructions to applicants, requiring fewer hours for recruiters to review and mask information, (i.e., economies of scale).</w:t>
      </w:r>
    </w:p>
    <w:p w14:paraId="7704B98E" w14:textId="77777777" w:rsidR="00355FA4" w:rsidRPr="00C95105" w:rsidRDefault="033D52F0" w:rsidP="00355FA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Importantly, AAP promise to level the playing field. By largely getting rid of information about protected attributes, AAP are expected to support efforts to evaluate personnel </w:t>
      </w:r>
      <w:r w:rsidRPr="00C95105">
        <w:rPr>
          <w:rFonts w:asciiTheme="minorHAnsi" w:hAnsiTheme="minorHAnsi" w:cstheme="minorHAnsi"/>
          <w:i/>
          <w:iCs/>
          <w:sz w:val="22"/>
          <w:szCs w:val="22"/>
        </w:rPr>
        <w:t xml:space="preserve">only </w:t>
      </w:r>
      <w:r w:rsidRPr="00C95105">
        <w:rPr>
          <w:rFonts w:asciiTheme="minorHAnsi" w:hAnsiTheme="minorHAnsi" w:cstheme="minorHAnsi"/>
          <w:sz w:val="22"/>
          <w:szCs w:val="22"/>
        </w:rPr>
        <w:t xml:space="preserve">on their experience and expertise. The inherent fairness of this premise makes AAP easier to sell as a morally right intervention. However, AAP do not solve the problem of previous unequal access to opportunities and resources that are correlated with protected categories and might impact access to said experience and expertise. </w:t>
      </w:r>
    </w:p>
    <w:p w14:paraId="1D707E0A" w14:textId="77777777" w:rsidR="00355FA4" w:rsidRPr="00C95105" w:rsidRDefault="00FB2F11" w:rsidP="00355FA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We also identified areas for further research. The impact of AAP on job offers for minorities requires further research, as this outcome was less likely to be explored in the literature we reviewed. Also, in the studies that considered it, the sample sizes to test the impact of AAP on job offers were too small. Therefore, these findings need to be interpreted with caution, and further studies are required.</w:t>
      </w:r>
    </w:p>
    <w:p w14:paraId="51AC118F" w14:textId="00E2F227" w:rsidR="003C0428" w:rsidRPr="00C95105" w:rsidRDefault="28AB65AE" w:rsidP="00355FA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studies we reviewed largely focused on one attribute (either gender or ethnic background). Only a few focused on more than one attribute and, even then, there was no </w:t>
      </w:r>
      <w:r w:rsidRPr="00C95105">
        <w:rPr>
          <w:rFonts w:asciiTheme="minorHAnsi" w:hAnsiTheme="minorHAnsi" w:cstheme="minorHAnsi"/>
          <w:sz w:val="22"/>
          <w:szCs w:val="22"/>
        </w:rPr>
        <w:lastRenderedPageBreak/>
        <w:t>intersectional analysis of the data. Future AAP studies need to investigate the impact of AAP to reduce discrimination in shortlisting and whether the effects carry over at the interview phase for applicants with intersecting protected attributes.</w:t>
      </w:r>
    </w:p>
    <w:p w14:paraId="2CABE0E8" w14:textId="77777777" w:rsidR="008E4B7A" w:rsidRPr="00C95105" w:rsidRDefault="008E4B7A" w:rsidP="00355FA4">
      <w:pPr>
        <w:spacing w:after="120"/>
        <w:ind w:firstLine="567"/>
        <w:rPr>
          <w:rFonts w:asciiTheme="minorHAnsi" w:hAnsiTheme="minorHAnsi" w:cstheme="minorHAnsi"/>
          <w:sz w:val="22"/>
          <w:szCs w:val="22"/>
        </w:rPr>
      </w:pPr>
    </w:p>
    <w:p w14:paraId="1575CBB4" w14:textId="57202472" w:rsidR="00B36818" w:rsidRPr="00C95105" w:rsidRDefault="00EC4881" w:rsidP="0093280F">
      <w:pPr>
        <w:pStyle w:val="Heading2"/>
        <w:numPr>
          <w:ilvl w:val="1"/>
          <w:numId w:val="8"/>
        </w:numPr>
        <w:spacing w:before="0" w:after="120"/>
        <w:ind w:left="426" w:hanging="426"/>
        <w:rPr>
          <w:rFonts w:asciiTheme="minorHAnsi" w:hAnsiTheme="minorHAnsi" w:cstheme="minorHAnsi"/>
          <w:b/>
          <w:bCs/>
        </w:rPr>
      </w:pPr>
      <w:bookmarkStart w:id="133" w:name="_Toc96957676"/>
      <w:r>
        <w:rPr>
          <w:rFonts w:asciiTheme="minorHAnsi" w:hAnsiTheme="minorHAnsi" w:cstheme="minorHAnsi"/>
          <w:b/>
          <w:bCs/>
        </w:rPr>
        <w:t xml:space="preserve">A </w:t>
      </w:r>
      <w:r w:rsidR="00E762CB" w:rsidRPr="00C95105">
        <w:rPr>
          <w:rFonts w:asciiTheme="minorHAnsi" w:hAnsiTheme="minorHAnsi" w:cstheme="minorHAnsi"/>
          <w:b/>
          <w:bCs/>
        </w:rPr>
        <w:t>Roadmap for Action</w:t>
      </w:r>
      <w:bookmarkEnd w:id="133"/>
    </w:p>
    <w:p w14:paraId="6E75299F" w14:textId="77777777" w:rsidR="00355FA4" w:rsidRPr="00C95105" w:rsidRDefault="00AB3DFA" w:rsidP="00355FA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Reducing discrimination in recruitment and selection processes has received decades of attention in organisational psychology and management research.</w:t>
      </w:r>
      <w:r w:rsidR="004060FE" w:rsidRPr="00C95105">
        <w:rPr>
          <w:rFonts w:asciiTheme="minorHAnsi" w:hAnsiTheme="minorHAnsi" w:cstheme="minorHAnsi"/>
          <w:sz w:val="22"/>
          <w:szCs w:val="22"/>
        </w:rPr>
        <w:t xml:space="preserve"> The </w:t>
      </w:r>
      <w:r w:rsidR="00CA0C57" w:rsidRPr="00C95105">
        <w:rPr>
          <w:rFonts w:asciiTheme="minorHAnsi" w:hAnsiTheme="minorHAnsi" w:cstheme="minorHAnsi"/>
          <w:sz w:val="22"/>
          <w:szCs w:val="22"/>
        </w:rPr>
        <w:t>strategies</w:t>
      </w:r>
      <w:r w:rsidR="004060FE" w:rsidRPr="00C95105">
        <w:rPr>
          <w:rFonts w:asciiTheme="minorHAnsi" w:hAnsiTheme="minorHAnsi" w:cstheme="minorHAnsi"/>
          <w:sz w:val="22"/>
          <w:szCs w:val="22"/>
        </w:rPr>
        <w:t xml:space="preserve"> to address this issue have become more sophisticated</w:t>
      </w:r>
      <w:r w:rsidR="00CA0C57" w:rsidRPr="00C95105">
        <w:rPr>
          <w:rFonts w:asciiTheme="minorHAnsi" w:hAnsiTheme="minorHAnsi" w:cstheme="minorHAnsi"/>
          <w:sz w:val="22"/>
          <w:szCs w:val="22"/>
        </w:rPr>
        <w:t xml:space="preserve"> over the years, and for many </w:t>
      </w:r>
      <w:r w:rsidR="00EF708A" w:rsidRPr="00C95105">
        <w:rPr>
          <w:rFonts w:asciiTheme="minorHAnsi" w:hAnsiTheme="minorHAnsi" w:cstheme="minorHAnsi"/>
          <w:sz w:val="22"/>
          <w:szCs w:val="22"/>
        </w:rPr>
        <w:t xml:space="preserve">of them, </w:t>
      </w:r>
      <w:r w:rsidR="00CA0C57" w:rsidRPr="00C95105">
        <w:rPr>
          <w:rFonts w:asciiTheme="minorHAnsi" w:hAnsiTheme="minorHAnsi" w:cstheme="minorHAnsi"/>
          <w:sz w:val="22"/>
          <w:szCs w:val="22"/>
        </w:rPr>
        <w:t>we have empirical research to support their implementation</w:t>
      </w:r>
      <w:r w:rsidR="00DA358D" w:rsidRPr="00C95105">
        <w:rPr>
          <w:rFonts w:asciiTheme="minorHAnsi" w:hAnsiTheme="minorHAnsi" w:cstheme="minorHAnsi"/>
          <w:sz w:val="22"/>
          <w:szCs w:val="22"/>
        </w:rPr>
        <w:t xml:space="preserve"> in a comprehensive way.</w:t>
      </w:r>
    </w:p>
    <w:p w14:paraId="0E5BFFFB" w14:textId="77777777" w:rsidR="00F365F0" w:rsidRPr="00C95105" w:rsidRDefault="4AEB636D" w:rsidP="00355FA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Addressing discrimination in recruitment and selection processes in the public sector would require an employee-lifecycle approach. </w:t>
      </w:r>
      <w:r w:rsidR="50125006" w:rsidRPr="00C95105">
        <w:rPr>
          <w:rFonts w:asciiTheme="minorHAnsi" w:hAnsiTheme="minorHAnsi" w:cstheme="minorHAnsi"/>
          <w:sz w:val="22"/>
          <w:szCs w:val="22"/>
        </w:rPr>
        <w:t>Employment inclusion should</w:t>
      </w:r>
      <w:r w:rsidR="2A39A875" w:rsidRPr="00C95105">
        <w:rPr>
          <w:rFonts w:asciiTheme="minorHAnsi" w:hAnsiTheme="minorHAnsi" w:cstheme="minorHAnsi"/>
          <w:sz w:val="22"/>
          <w:szCs w:val="22"/>
        </w:rPr>
        <w:t xml:space="preserve"> start before the selection process and end when </w:t>
      </w:r>
      <w:r w:rsidR="50125006" w:rsidRPr="00C95105">
        <w:rPr>
          <w:rFonts w:asciiTheme="minorHAnsi" w:hAnsiTheme="minorHAnsi" w:cstheme="minorHAnsi"/>
          <w:sz w:val="22"/>
          <w:szCs w:val="22"/>
        </w:rPr>
        <w:t>staff</w:t>
      </w:r>
      <w:r w:rsidR="2A39A875" w:rsidRPr="00C95105">
        <w:rPr>
          <w:rFonts w:asciiTheme="minorHAnsi" w:hAnsiTheme="minorHAnsi" w:cstheme="minorHAnsi"/>
          <w:sz w:val="22"/>
          <w:szCs w:val="22"/>
        </w:rPr>
        <w:t xml:space="preserve"> leave or retire from a job. </w:t>
      </w:r>
      <w:r w:rsidR="641B152F" w:rsidRPr="00C95105">
        <w:rPr>
          <w:rFonts w:asciiTheme="minorHAnsi" w:hAnsiTheme="minorHAnsi" w:cstheme="minorHAnsi"/>
          <w:sz w:val="22"/>
          <w:szCs w:val="22"/>
        </w:rPr>
        <w:t>A strong focus</w:t>
      </w:r>
      <w:r w:rsidR="0226B06E" w:rsidRPr="00C95105">
        <w:rPr>
          <w:rFonts w:asciiTheme="minorHAnsi" w:hAnsiTheme="minorHAnsi" w:cstheme="minorHAnsi"/>
          <w:sz w:val="22"/>
          <w:szCs w:val="22"/>
        </w:rPr>
        <w:t xml:space="preserve"> on the nature of the relationship between the organisation and broader community where it operates</w:t>
      </w:r>
      <w:r w:rsidR="641B152F" w:rsidRPr="00C95105">
        <w:rPr>
          <w:rFonts w:asciiTheme="minorHAnsi" w:hAnsiTheme="minorHAnsi" w:cstheme="minorHAnsi"/>
          <w:sz w:val="22"/>
          <w:szCs w:val="22"/>
        </w:rPr>
        <w:t xml:space="preserve"> is critical</w:t>
      </w:r>
      <w:r w:rsidR="0226B06E" w:rsidRPr="00C95105">
        <w:rPr>
          <w:rFonts w:asciiTheme="minorHAnsi" w:hAnsiTheme="minorHAnsi" w:cstheme="minorHAnsi"/>
          <w:sz w:val="22"/>
          <w:szCs w:val="22"/>
        </w:rPr>
        <w:t>.</w:t>
      </w:r>
    </w:p>
    <w:p w14:paraId="5374D10A" w14:textId="77777777" w:rsidR="00F365F0" w:rsidRPr="00C95105" w:rsidRDefault="0226B06E" w:rsidP="00F365F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Organisations that have better relationships with the community and a social license to operate are more likely to attract job candidates that represent the community</w:t>
      </w:r>
      <w:r w:rsidR="641B152F" w:rsidRPr="00C95105">
        <w:rPr>
          <w:rFonts w:asciiTheme="minorHAnsi" w:hAnsiTheme="minorHAnsi" w:cstheme="minorHAnsi"/>
          <w:sz w:val="22"/>
          <w:szCs w:val="22"/>
        </w:rPr>
        <w:t xml:space="preserve"> and are proud to work for </w:t>
      </w:r>
      <w:r w:rsidR="3D26732F" w:rsidRPr="00C95105">
        <w:rPr>
          <w:rFonts w:asciiTheme="minorHAnsi" w:hAnsiTheme="minorHAnsi" w:cstheme="minorHAnsi"/>
          <w:sz w:val="22"/>
          <w:szCs w:val="22"/>
        </w:rPr>
        <w:t>the organisation</w:t>
      </w:r>
      <w:r w:rsidR="5830D3F5" w:rsidRPr="00C95105">
        <w:rPr>
          <w:rFonts w:asciiTheme="minorHAnsi" w:hAnsiTheme="minorHAnsi" w:cstheme="minorHAnsi"/>
          <w:sz w:val="22"/>
          <w:szCs w:val="22"/>
        </w:rPr>
        <w:t xml:space="preserve"> (</w:t>
      </w:r>
      <w:r w:rsidR="2F083540" w:rsidRPr="00C95105">
        <w:rPr>
          <w:rFonts w:asciiTheme="minorHAnsi" w:hAnsiTheme="minorHAnsi" w:cstheme="minorHAnsi"/>
          <w:sz w:val="22"/>
          <w:szCs w:val="22"/>
        </w:rPr>
        <w:t xml:space="preserve">HealthWest Partnership, 2020; </w:t>
      </w:r>
      <w:r w:rsidR="5830D3F5" w:rsidRPr="00C95105">
        <w:rPr>
          <w:rFonts w:asciiTheme="minorHAnsi" w:hAnsiTheme="minorHAnsi" w:cstheme="minorHAnsi"/>
          <w:sz w:val="22"/>
          <w:szCs w:val="22"/>
        </w:rPr>
        <w:t>Jones, Willness, &amp; Madey, 2014; Turban &amp; Greening, 1997)</w:t>
      </w:r>
      <w:r w:rsidR="641B152F" w:rsidRPr="00C95105">
        <w:rPr>
          <w:rFonts w:asciiTheme="minorHAnsi" w:hAnsiTheme="minorHAnsi" w:cstheme="minorHAnsi"/>
          <w:sz w:val="22"/>
          <w:szCs w:val="22"/>
        </w:rPr>
        <w:t>.</w:t>
      </w:r>
      <w:r w:rsidR="0C72BFDF" w:rsidRPr="00C95105">
        <w:rPr>
          <w:rFonts w:asciiTheme="minorHAnsi" w:hAnsiTheme="minorHAnsi" w:cstheme="minorHAnsi"/>
          <w:sz w:val="22"/>
          <w:szCs w:val="22"/>
        </w:rPr>
        <w:t xml:space="preserve"> </w:t>
      </w:r>
      <w:r w:rsidR="7029E7E7" w:rsidRPr="00C95105">
        <w:rPr>
          <w:rFonts w:asciiTheme="minorHAnsi" w:hAnsiTheme="minorHAnsi" w:cstheme="minorHAnsi"/>
          <w:sz w:val="22"/>
          <w:szCs w:val="22"/>
        </w:rPr>
        <w:t xml:space="preserve">Strong engagement with community, peak bodies, and local business will enhance the </w:t>
      </w:r>
      <w:r w:rsidR="4B65E839" w:rsidRPr="00C95105">
        <w:rPr>
          <w:rFonts w:asciiTheme="minorHAnsi" w:hAnsiTheme="minorHAnsi" w:cstheme="minorHAnsi"/>
          <w:sz w:val="22"/>
          <w:szCs w:val="22"/>
        </w:rPr>
        <w:t xml:space="preserve">VPS’ opportunities to attract a diverse pool of job candidates. </w:t>
      </w:r>
      <w:r w:rsidR="0C72BFDF" w:rsidRPr="00C95105">
        <w:rPr>
          <w:rFonts w:asciiTheme="minorHAnsi" w:hAnsiTheme="minorHAnsi" w:cstheme="minorHAnsi"/>
          <w:sz w:val="22"/>
          <w:szCs w:val="22"/>
        </w:rPr>
        <w:t>In general, the VPS</w:t>
      </w:r>
      <w:r w:rsidR="0D443205" w:rsidRPr="00C95105">
        <w:rPr>
          <w:rFonts w:asciiTheme="minorHAnsi" w:hAnsiTheme="minorHAnsi" w:cstheme="minorHAnsi"/>
          <w:sz w:val="22"/>
          <w:szCs w:val="22"/>
        </w:rPr>
        <w:t xml:space="preserve"> needs to understand how it is perceived by the broader community, particularly by job seekers who belong to minority groups, and consider a workforce mutuality approach to community relations and employment pathways (HealthWest Partnership, 2020)</w:t>
      </w:r>
      <w:r w:rsidR="002B3CF4" w:rsidRPr="00C95105">
        <w:rPr>
          <w:rFonts w:asciiTheme="minorHAnsi" w:hAnsiTheme="minorHAnsi" w:cstheme="minorHAnsi"/>
          <w:sz w:val="22"/>
          <w:szCs w:val="22"/>
        </w:rPr>
        <w:t>.</w:t>
      </w:r>
    </w:p>
    <w:p w14:paraId="4C648318" w14:textId="2EB0E603" w:rsidR="00DA358D" w:rsidRPr="00C95105" w:rsidRDefault="000F2D03" w:rsidP="00F365F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the following paragraphs, we provide recommendations for actions to </w:t>
      </w:r>
      <w:r w:rsidR="00891DC7" w:rsidRPr="00C95105">
        <w:rPr>
          <w:rFonts w:asciiTheme="minorHAnsi" w:hAnsiTheme="minorHAnsi" w:cstheme="minorHAnsi"/>
          <w:sz w:val="22"/>
          <w:szCs w:val="22"/>
        </w:rPr>
        <w:t xml:space="preserve">both </w:t>
      </w:r>
      <w:r w:rsidRPr="00C95105">
        <w:rPr>
          <w:rFonts w:asciiTheme="minorHAnsi" w:hAnsiTheme="minorHAnsi" w:cstheme="minorHAnsi"/>
          <w:sz w:val="22"/>
          <w:szCs w:val="22"/>
        </w:rPr>
        <w:t xml:space="preserve">reduce discrimination during the recruitment and selection processes and </w:t>
      </w:r>
      <w:r w:rsidR="00891DC7" w:rsidRPr="00C95105">
        <w:rPr>
          <w:rFonts w:asciiTheme="minorHAnsi" w:hAnsiTheme="minorHAnsi" w:cstheme="minorHAnsi"/>
          <w:sz w:val="22"/>
          <w:szCs w:val="22"/>
        </w:rPr>
        <w:t>support</w:t>
      </w:r>
      <w:r w:rsidR="005C08A4" w:rsidRPr="00C95105">
        <w:rPr>
          <w:rFonts w:asciiTheme="minorHAnsi" w:hAnsiTheme="minorHAnsi" w:cstheme="minorHAnsi"/>
          <w:sz w:val="22"/>
          <w:szCs w:val="22"/>
        </w:rPr>
        <w:t xml:space="preserve"> employees who have been selected</w:t>
      </w:r>
      <w:r w:rsidR="00891DC7" w:rsidRPr="00C95105">
        <w:rPr>
          <w:rFonts w:asciiTheme="minorHAnsi" w:hAnsiTheme="minorHAnsi" w:cstheme="minorHAnsi"/>
          <w:sz w:val="22"/>
          <w:szCs w:val="22"/>
        </w:rPr>
        <w:t xml:space="preserve">. </w:t>
      </w:r>
      <w:r w:rsidR="00416A68" w:rsidRPr="00C95105">
        <w:rPr>
          <w:rFonts w:asciiTheme="minorHAnsi" w:hAnsiTheme="minorHAnsi" w:cstheme="minorHAnsi"/>
          <w:sz w:val="22"/>
          <w:szCs w:val="22"/>
        </w:rPr>
        <w:t xml:space="preserve">When considering the kind of actions that can be taken, we </w:t>
      </w:r>
      <w:r w:rsidR="00A30DEF" w:rsidRPr="00C95105">
        <w:rPr>
          <w:rFonts w:asciiTheme="minorHAnsi" w:hAnsiTheme="minorHAnsi" w:cstheme="minorHAnsi"/>
          <w:sz w:val="22"/>
          <w:szCs w:val="22"/>
        </w:rPr>
        <w:t>propose</w:t>
      </w:r>
      <w:r w:rsidR="00416A68" w:rsidRPr="00C95105">
        <w:rPr>
          <w:rFonts w:asciiTheme="minorHAnsi" w:hAnsiTheme="minorHAnsi" w:cstheme="minorHAnsi"/>
          <w:sz w:val="22"/>
          <w:szCs w:val="22"/>
        </w:rPr>
        <w:t xml:space="preserve"> three kinds of psychological interventions that have been successful in the past to address prejudice in occupational context: </w:t>
      </w:r>
      <w:r w:rsidR="00416A68" w:rsidRPr="00C95105">
        <w:rPr>
          <w:rFonts w:asciiTheme="minorHAnsi" w:hAnsiTheme="minorHAnsi" w:cstheme="minorHAnsi"/>
          <w:color w:val="000000" w:themeColor="text1"/>
          <w:sz w:val="22"/>
          <w:szCs w:val="22"/>
        </w:rPr>
        <w:t xml:space="preserve">(a) prejudice reduction, (b) </w:t>
      </w:r>
      <w:r w:rsidR="002B3CF4" w:rsidRPr="00C95105">
        <w:rPr>
          <w:rFonts w:asciiTheme="minorHAnsi" w:hAnsiTheme="minorHAnsi" w:cstheme="minorHAnsi"/>
          <w:sz w:val="22"/>
          <w:szCs w:val="22"/>
        </w:rPr>
        <w:t>bias mitigation</w:t>
      </w:r>
      <w:r w:rsidR="002B3CF4" w:rsidRPr="00C95105">
        <w:rPr>
          <w:rFonts w:asciiTheme="minorHAnsi" w:hAnsiTheme="minorHAnsi" w:cstheme="minorHAnsi"/>
          <w:color w:val="000000" w:themeColor="text1"/>
          <w:sz w:val="22"/>
          <w:szCs w:val="22"/>
        </w:rPr>
        <w:t xml:space="preserve"> and nudging, and (c) </w:t>
      </w:r>
      <w:r w:rsidR="00416A68" w:rsidRPr="00C95105">
        <w:rPr>
          <w:rFonts w:asciiTheme="minorHAnsi" w:hAnsiTheme="minorHAnsi" w:cstheme="minorHAnsi"/>
          <w:color w:val="000000" w:themeColor="text1"/>
          <w:sz w:val="22"/>
          <w:szCs w:val="22"/>
        </w:rPr>
        <w:t xml:space="preserve">direct action </w:t>
      </w:r>
      <w:r w:rsidR="008D7E6B" w:rsidRPr="00C95105">
        <w:rPr>
          <w:rFonts w:asciiTheme="minorHAnsi" w:hAnsiTheme="minorHAnsi" w:cstheme="minorHAnsi"/>
          <w:color w:val="000000" w:themeColor="text1"/>
          <w:sz w:val="22"/>
          <w:szCs w:val="22"/>
        </w:rPr>
        <w:t>(Paluck &amp; Green, 2008; Sojo et al., 2016; Stratemeyer et al., 2018)</w:t>
      </w:r>
      <w:r w:rsidR="00B3425D" w:rsidRPr="00C95105">
        <w:rPr>
          <w:rFonts w:asciiTheme="minorHAnsi" w:hAnsiTheme="minorHAnsi" w:cstheme="minorHAnsi"/>
          <w:color w:val="000000" w:themeColor="text1"/>
          <w:sz w:val="22"/>
          <w:szCs w:val="22"/>
        </w:rPr>
        <w:t>.</w:t>
      </w:r>
    </w:p>
    <w:p w14:paraId="5BB42DB1" w14:textId="77777777" w:rsidR="00B60FAC" w:rsidRPr="00C95105" w:rsidRDefault="00B60FAC" w:rsidP="005D5F97">
      <w:pPr>
        <w:spacing w:after="120"/>
        <w:rPr>
          <w:rFonts w:asciiTheme="minorHAnsi" w:hAnsiTheme="minorHAnsi" w:cstheme="minorHAnsi"/>
          <w:b/>
          <w:bCs/>
          <w:color w:val="000000"/>
          <w:sz w:val="22"/>
          <w:szCs w:val="22"/>
        </w:rPr>
      </w:pPr>
    </w:p>
    <w:p w14:paraId="39C3060A" w14:textId="730A3838" w:rsidR="005801FF" w:rsidRPr="00C95105" w:rsidRDefault="005801FF" w:rsidP="0093280F">
      <w:pPr>
        <w:pStyle w:val="Heading3"/>
        <w:numPr>
          <w:ilvl w:val="2"/>
          <w:numId w:val="8"/>
        </w:numPr>
        <w:spacing w:before="0" w:after="120"/>
        <w:ind w:left="567" w:hanging="567"/>
        <w:rPr>
          <w:rFonts w:asciiTheme="minorHAnsi" w:hAnsiTheme="minorHAnsi" w:cstheme="minorHAnsi"/>
          <w:b/>
          <w:bCs/>
          <w:i/>
          <w:iCs/>
          <w:color w:val="2F5496" w:themeColor="accent1" w:themeShade="BF"/>
          <w:sz w:val="22"/>
          <w:szCs w:val="22"/>
        </w:rPr>
      </w:pPr>
      <w:bookmarkStart w:id="134" w:name="_Toc96957677"/>
      <w:r w:rsidRPr="00C95105">
        <w:rPr>
          <w:rFonts w:asciiTheme="minorHAnsi" w:hAnsiTheme="minorHAnsi" w:cstheme="minorHAnsi"/>
          <w:b/>
          <w:bCs/>
          <w:i/>
          <w:iCs/>
          <w:color w:val="2F5496" w:themeColor="accent1" w:themeShade="BF"/>
          <w:sz w:val="22"/>
          <w:szCs w:val="22"/>
        </w:rPr>
        <w:t>Prejudice reduction</w:t>
      </w:r>
      <w:bookmarkEnd w:id="134"/>
      <w:r w:rsidRPr="00C95105">
        <w:rPr>
          <w:rFonts w:asciiTheme="minorHAnsi" w:hAnsiTheme="minorHAnsi" w:cstheme="minorHAnsi"/>
          <w:b/>
          <w:bCs/>
          <w:i/>
          <w:iCs/>
          <w:color w:val="2F5496" w:themeColor="accent1" w:themeShade="BF"/>
          <w:sz w:val="22"/>
          <w:szCs w:val="22"/>
        </w:rPr>
        <w:t xml:space="preserve"> </w:t>
      </w:r>
    </w:p>
    <w:p w14:paraId="2300768C" w14:textId="77777777" w:rsidR="00F365F0" w:rsidRPr="00C95105" w:rsidRDefault="0990489F" w:rsidP="00F365F0">
      <w:pPr>
        <w:spacing w:after="120"/>
        <w:ind w:firstLine="567"/>
        <w:rPr>
          <w:rFonts w:asciiTheme="minorHAnsi" w:hAnsiTheme="minorHAnsi" w:cstheme="minorHAnsi"/>
          <w:color w:val="000000"/>
          <w:sz w:val="22"/>
          <w:szCs w:val="22"/>
        </w:rPr>
      </w:pPr>
      <w:r w:rsidRPr="00C95105">
        <w:rPr>
          <w:rFonts w:asciiTheme="minorHAnsi" w:hAnsiTheme="minorHAnsi" w:cstheme="minorHAnsi"/>
          <w:color w:val="000000" w:themeColor="text1"/>
          <w:sz w:val="22"/>
          <w:szCs w:val="22"/>
        </w:rPr>
        <w:t>I</w:t>
      </w:r>
      <w:r w:rsidR="551811F5" w:rsidRPr="00C95105">
        <w:rPr>
          <w:rFonts w:asciiTheme="minorHAnsi" w:hAnsiTheme="minorHAnsi" w:cstheme="minorHAnsi"/>
          <w:color w:val="000000" w:themeColor="text1"/>
          <w:sz w:val="22"/>
          <w:szCs w:val="22"/>
        </w:rPr>
        <w:t xml:space="preserve">nterventions </w:t>
      </w:r>
      <w:r w:rsidRPr="00C95105">
        <w:rPr>
          <w:rFonts w:asciiTheme="minorHAnsi" w:hAnsiTheme="minorHAnsi" w:cstheme="minorHAnsi"/>
          <w:color w:val="000000" w:themeColor="text1"/>
          <w:sz w:val="22"/>
          <w:szCs w:val="22"/>
        </w:rPr>
        <w:t xml:space="preserve">that attempt to reduce prejudice </w:t>
      </w:r>
      <w:r w:rsidR="551811F5" w:rsidRPr="00C95105">
        <w:rPr>
          <w:rFonts w:asciiTheme="minorHAnsi" w:hAnsiTheme="minorHAnsi" w:cstheme="minorHAnsi"/>
          <w:color w:val="000000" w:themeColor="text1"/>
          <w:sz w:val="22"/>
          <w:szCs w:val="22"/>
        </w:rPr>
        <w:t xml:space="preserve">can be the baseline for action in addressing discrimination in recruitment and selection. </w:t>
      </w:r>
      <w:r w:rsidR="61D59CA8" w:rsidRPr="00C95105">
        <w:rPr>
          <w:rFonts w:asciiTheme="minorHAnsi" w:hAnsiTheme="minorHAnsi" w:cstheme="minorHAnsi"/>
          <w:color w:val="000000" w:themeColor="text1"/>
          <w:sz w:val="22"/>
          <w:szCs w:val="22"/>
        </w:rPr>
        <w:t>Start at the top</w:t>
      </w:r>
      <w:r w:rsidR="5214BBC6" w:rsidRPr="00C95105">
        <w:rPr>
          <w:rFonts w:asciiTheme="minorHAnsi" w:hAnsiTheme="minorHAnsi" w:cstheme="minorHAnsi"/>
          <w:color w:val="000000" w:themeColor="text1"/>
          <w:sz w:val="22"/>
          <w:szCs w:val="22"/>
        </w:rPr>
        <w:t xml:space="preserve"> with </w:t>
      </w:r>
      <w:r w:rsidR="5214BBC6" w:rsidRPr="00C95105">
        <w:rPr>
          <w:rFonts w:asciiTheme="minorHAnsi" w:hAnsiTheme="minorHAnsi" w:cstheme="minorHAnsi"/>
          <w:i/>
          <w:iCs/>
          <w:color w:val="000000" w:themeColor="text1"/>
          <w:sz w:val="22"/>
          <w:szCs w:val="22"/>
        </w:rPr>
        <w:t>n</w:t>
      </w:r>
      <w:r w:rsidR="61D59CA8" w:rsidRPr="00C95105">
        <w:rPr>
          <w:rFonts w:asciiTheme="minorHAnsi" w:hAnsiTheme="minorHAnsi" w:cstheme="minorHAnsi"/>
          <w:i/>
          <w:iCs/>
          <w:color w:val="000000" w:themeColor="text1"/>
          <w:sz w:val="22"/>
          <w:szCs w:val="22"/>
        </w:rPr>
        <w:t>ormative influence and value consistency</w:t>
      </w:r>
      <w:r w:rsidR="61D59CA8" w:rsidRPr="00C95105">
        <w:rPr>
          <w:rFonts w:asciiTheme="minorHAnsi" w:hAnsiTheme="minorHAnsi" w:cstheme="minorHAnsi"/>
          <w:color w:val="000000" w:themeColor="text1"/>
          <w:sz w:val="22"/>
          <w:szCs w:val="22"/>
        </w:rPr>
        <w:t xml:space="preserve"> (Paluck &amp; Green, 2008). In particular, having senior and middle managers talk about the standard of behaviour they expect of all employees and modelling behaviours that are consistent with the VPS values of responsiveness, integrity, impartiality, accountability, respect, leadership, and human rights. Having a clear narrative to make the connection between those values and diversity and inclusion within the VPS will be part of the work needing to be done.</w:t>
      </w:r>
    </w:p>
    <w:p w14:paraId="61E98822" w14:textId="3310B51A" w:rsidR="00316C3E" w:rsidRPr="00C95105" w:rsidRDefault="5214BBC6" w:rsidP="00F365F0">
      <w:pPr>
        <w:spacing w:after="120"/>
        <w:ind w:firstLine="567"/>
        <w:rPr>
          <w:rFonts w:asciiTheme="minorHAnsi" w:hAnsiTheme="minorHAnsi" w:cstheme="minorHAnsi"/>
          <w:color w:val="000000"/>
          <w:sz w:val="22"/>
          <w:szCs w:val="22"/>
        </w:rPr>
      </w:pPr>
      <w:r w:rsidRPr="00C95105">
        <w:rPr>
          <w:rFonts w:asciiTheme="minorHAnsi" w:hAnsiTheme="minorHAnsi" w:cstheme="minorHAnsi"/>
          <w:color w:val="000000" w:themeColor="text1"/>
          <w:sz w:val="22"/>
          <w:szCs w:val="22"/>
        </w:rPr>
        <w:t>Norms and values can be reinforced with</w:t>
      </w:r>
      <w:r w:rsidRPr="00C95105">
        <w:rPr>
          <w:rFonts w:asciiTheme="minorHAnsi" w:hAnsiTheme="minorHAnsi" w:cstheme="minorHAnsi"/>
          <w:i/>
          <w:iCs/>
          <w:color w:val="000000" w:themeColor="text1"/>
          <w:sz w:val="22"/>
          <w:szCs w:val="22"/>
        </w:rPr>
        <w:t xml:space="preserve"> </w:t>
      </w:r>
      <w:r w:rsidR="6BB10A05" w:rsidRPr="00C95105">
        <w:rPr>
          <w:rFonts w:asciiTheme="minorHAnsi" w:hAnsiTheme="minorHAnsi" w:cstheme="minorHAnsi"/>
          <w:i/>
          <w:iCs/>
          <w:color w:val="000000" w:themeColor="text1"/>
          <w:sz w:val="22"/>
          <w:szCs w:val="22"/>
        </w:rPr>
        <w:t>d</w:t>
      </w:r>
      <w:r w:rsidR="01BBC6B4" w:rsidRPr="00C95105">
        <w:rPr>
          <w:rFonts w:asciiTheme="minorHAnsi" w:hAnsiTheme="minorHAnsi" w:cstheme="minorHAnsi"/>
          <w:i/>
          <w:iCs/>
          <w:color w:val="000000" w:themeColor="text1"/>
          <w:sz w:val="22"/>
          <w:szCs w:val="22"/>
        </w:rPr>
        <w:t xml:space="preserve">iversity </w:t>
      </w:r>
      <w:r w:rsidR="3879BE3C" w:rsidRPr="00C95105">
        <w:rPr>
          <w:rFonts w:asciiTheme="minorHAnsi" w:hAnsiTheme="minorHAnsi" w:cstheme="minorHAnsi"/>
          <w:i/>
          <w:iCs/>
          <w:color w:val="000000" w:themeColor="text1"/>
          <w:sz w:val="22"/>
          <w:szCs w:val="22"/>
        </w:rPr>
        <w:t>and inclusion training</w:t>
      </w:r>
      <w:r w:rsidRPr="00C95105">
        <w:rPr>
          <w:rFonts w:asciiTheme="minorHAnsi" w:hAnsiTheme="minorHAnsi" w:cstheme="minorHAnsi"/>
          <w:i/>
          <w:iCs/>
          <w:color w:val="000000" w:themeColor="text1"/>
          <w:sz w:val="22"/>
          <w:szCs w:val="22"/>
        </w:rPr>
        <w:t>.</w:t>
      </w:r>
      <w:r w:rsidR="3879BE3C" w:rsidRPr="00C95105">
        <w:rPr>
          <w:rFonts w:asciiTheme="minorHAnsi" w:hAnsiTheme="minorHAnsi" w:cstheme="minorHAnsi"/>
          <w:color w:val="000000" w:themeColor="text1"/>
          <w:sz w:val="22"/>
          <w:szCs w:val="22"/>
        </w:rPr>
        <w:t xml:space="preserve"> </w:t>
      </w:r>
      <w:r w:rsidRPr="00C95105">
        <w:rPr>
          <w:rFonts w:asciiTheme="minorHAnsi" w:hAnsiTheme="minorHAnsi" w:cstheme="minorHAnsi"/>
          <w:color w:val="000000" w:themeColor="text1"/>
          <w:sz w:val="22"/>
          <w:szCs w:val="22"/>
        </w:rPr>
        <w:t xml:space="preserve">Such training should be </w:t>
      </w:r>
      <w:r w:rsidR="5A0B5769" w:rsidRPr="00C95105">
        <w:rPr>
          <w:rFonts w:asciiTheme="minorHAnsi" w:hAnsiTheme="minorHAnsi" w:cstheme="minorHAnsi"/>
          <w:color w:val="000000" w:themeColor="text1"/>
          <w:sz w:val="22"/>
          <w:szCs w:val="22"/>
        </w:rPr>
        <w:t>customised for</w:t>
      </w:r>
      <w:r w:rsidR="17B0271B" w:rsidRPr="00C95105">
        <w:rPr>
          <w:rFonts w:asciiTheme="minorHAnsi" w:hAnsiTheme="minorHAnsi" w:cstheme="minorHAnsi"/>
          <w:color w:val="000000" w:themeColor="text1"/>
          <w:sz w:val="22"/>
          <w:szCs w:val="22"/>
        </w:rPr>
        <w:t xml:space="preserve"> managers, general staff</w:t>
      </w:r>
      <w:r w:rsidR="28C512A2" w:rsidRPr="00C95105">
        <w:rPr>
          <w:rFonts w:asciiTheme="minorHAnsi" w:hAnsiTheme="minorHAnsi" w:cstheme="minorHAnsi"/>
          <w:color w:val="000000" w:themeColor="text1"/>
          <w:sz w:val="22"/>
          <w:szCs w:val="22"/>
        </w:rPr>
        <w:t>,</w:t>
      </w:r>
      <w:r w:rsidR="17B0271B" w:rsidRPr="00C95105">
        <w:rPr>
          <w:rFonts w:asciiTheme="minorHAnsi" w:hAnsiTheme="minorHAnsi" w:cstheme="minorHAnsi"/>
          <w:color w:val="000000" w:themeColor="text1"/>
          <w:sz w:val="22"/>
          <w:szCs w:val="22"/>
        </w:rPr>
        <w:t xml:space="preserve"> and human resources professionals</w:t>
      </w:r>
      <w:r w:rsidR="5F511432" w:rsidRPr="00C95105">
        <w:rPr>
          <w:rFonts w:asciiTheme="minorHAnsi" w:hAnsiTheme="minorHAnsi" w:cstheme="minorHAnsi"/>
          <w:color w:val="000000" w:themeColor="text1"/>
          <w:sz w:val="22"/>
          <w:szCs w:val="22"/>
        </w:rPr>
        <w:t>,</w:t>
      </w:r>
      <w:r w:rsidR="17B0271B" w:rsidRPr="00C95105">
        <w:rPr>
          <w:rFonts w:asciiTheme="minorHAnsi" w:hAnsiTheme="minorHAnsi" w:cstheme="minorHAnsi"/>
          <w:color w:val="000000" w:themeColor="text1"/>
          <w:sz w:val="22"/>
          <w:szCs w:val="22"/>
        </w:rPr>
        <w:t xml:space="preserve"> </w:t>
      </w:r>
      <w:r w:rsidR="28C512A2" w:rsidRPr="00C95105">
        <w:rPr>
          <w:rFonts w:asciiTheme="minorHAnsi" w:hAnsiTheme="minorHAnsi" w:cstheme="minorHAnsi"/>
          <w:color w:val="000000" w:themeColor="text1"/>
          <w:sz w:val="22"/>
          <w:szCs w:val="22"/>
        </w:rPr>
        <w:t>and consider</w:t>
      </w:r>
      <w:r w:rsidR="3879BE3C" w:rsidRPr="00C95105">
        <w:rPr>
          <w:rFonts w:asciiTheme="minorHAnsi" w:hAnsiTheme="minorHAnsi" w:cstheme="minorHAnsi"/>
          <w:color w:val="000000" w:themeColor="text1"/>
          <w:sz w:val="22"/>
          <w:szCs w:val="22"/>
        </w:rPr>
        <w:t xml:space="preserve"> the kinds of operations that different government departments and agencies perform and the communities where they </w:t>
      </w:r>
      <w:r w:rsidR="181BEA59" w:rsidRPr="00C95105">
        <w:rPr>
          <w:rFonts w:asciiTheme="minorHAnsi" w:hAnsiTheme="minorHAnsi" w:cstheme="minorHAnsi"/>
          <w:color w:val="000000" w:themeColor="text1"/>
          <w:sz w:val="22"/>
          <w:szCs w:val="22"/>
        </w:rPr>
        <w:t>work</w:t>
      </w:r>
      <w:r w:rsidR="28C512A2" w:rsidRPr="00C95105">
        <w:rPr>
          <w:rFonts w:asciiTheme="minorHAnsi" w:hAnsiTheme="minorHAnsi" w:cstheme="minorHAnsi"/>
          <w:color w:val="000000" w:themeColor="text1"/>
          <w:sz w:val="22"/>
          <w:szCs w:val="22"/>
        </w:rPr>
        <w:t xml:space="preserve">. </w:t>
      </w:r>
      <w:r w:rsidR="36B983B3" w:rsidRPr="00C95105">
        <w:rPr>
          <w:rFonts w:asciiTheme="minorHAnsi" w:hAnsiTheme="minorHAnsi" w:cstheme="minorHAnsi"/>
          <w:color w:val="000000" w:themeColor="text1"/>
          <w:sz w:val="22"/>
          <w:szCs w:val="22"/>
        </w:rPr>
        <w:t xml:space="preserve">The training should articulate </w:t>
      </w:r>
      <w:r w:rsidR="115489EC" w:rsidRPr="00C95105">
        <w:rPr>
          <w:rFonts w:asciiTheme="minorHAnsi" w:hAnsiTheme="minorHAnsi" w:cstheme="minorHAnsi"/>
          <w:color w:val="000000" w:themeColor="text1"/>
          <w:sz w:val="22"/>
          <w:szCs w:val="22"/>
        </w:rPr>
        <w:t xml:space="preserve">(i) </w:t>
      </w:r>
      <w:r w:rsidR="36B983B3" w:rsidRPr="00C95105">
        <w:rPr>
          <w:rFonts w:asciiTheme="minorHAnsi" w:hAnsiTheme="minorHAnsi" w:cstheme="minorHAnsi"/>
          <w:color w:val="000000" w:themeColor="text1"/>
          <w:sz w:val="22"/>
          <w:szCs w:val="22"/>
        </w:rPr>
        <w:t xml:space="preserve">the demographic diversity that exists in the Victorian community and how that diversity is related to </w:t>
      </w:r>
      <w:r w:rsidR="115489EC" w:rsidRPr="00C95105">
        <w:rPr>
          <w:rFonts w:asciiTheme="minorHAnsi" w:hAnsiTheme="minorHAnsi" w:cstheme="minorHAnsi"/>
          <w:color w:val="000000" w:themeColor="text1"/>
          <w:sz w:val="22"/>
          <w:szCs w:val="22"/>
        </w:rPr>
        <w:t xml:space="preserve">economic resources and educational and employment opportunities; (ii) </w:t>
      </w:r>
      <w:r w:rsidR="5E2494ED" w:rsidRPr="00C95105">
        <w:rPr>
          <w:rFonts w:asciiTheme="minorHAnsi" w:hAnsiTheme="minorHAnsi" w:cstheme="minorHAnsi"/>
          <w:color w:val="000000" w:themeColor="text1"/>
          <w:sz w:val="22"/>
          <w:szCs w:val="22"/>
        </w:rPr>
        <w:t xml:space="preserve">the actions that the VPS is undertaking to have the broader community represented and supported </w:t>
      </w:r>
      <w:r w:rsidR="3CFCC284" w:rsidRPr="00C95105">
        <w:rPr>
          <w:rFonts w:asciiTheme="minorHAnsi" w:hAnsiTheme="minorHAnsi" w:cstheme="minorHAnsi"/>
          <w:color w:val="000000" w:themeColor="text1"/>
          <w:sz w:val="22"/>
          <w:szCs w:val="22"/>
        </w:rPr>
        <w:t>among</w:t>
      </w:r>
      <w:r w:rsidR="5E2494ED" w:rsidRPr="00C95105">
        <w:rPr>
          <w:rFonts w:asciiTheme="minorHAnsi" w:hAnsiTheme="minorHAnsi" w:cstheme="minorHAnsi"/>
          <w:color w:val="000000" w:themeColor="text1"/>
          <w:sz w:val="22"/>
          <w:szCs w:val="22"/>
        </w:rPr>
        <w:t xml:space="preserve"> </w:t>
      </w:r>
      <w:r w:rsidR="3CFCC284" w:rsidRPr="00C95105">
        <w:rPr>
          <w:rFonts w:asciiTheme="minorHAnsi" w:hAnsiTheme="minorHAnsi" w:cstheme="minorHAnsi"/>
          <w:color w:val="000000" w:themeColor="text1"/>
          <w:sz w:val="22"/>
          <w:szCs w:val="22"/>
        </w:rPr>
        <w:t xml:space="preserve">VPS employees, and (iii) the actions that managers, general staff, and human resources professionals are expected to </w:t>
      </w:r>
      <w:r w:rsidR="25D32CCC" w:rsidRPr="00C95105">
        <w:rPr>
          <w:rFonts w:asciiTheme="minorHAnsi" w:hAnsiTheme="minorHAnsi" w:cstheme="minorHAnsi"/>
          <w:color w:val="000000" w:themeColor="text1"/>
          <w:sz w:val="22"/>
          <w:szCs w:val="22"/>
        </w:rPr>
        <w:t xml:space="preserve">perform </w:t>
      </w:r>
      <w:r w:rsidR="181BEA59" w:rsidRPr="00C95105">
        <w:rPr>
          <w:rFonts w:asciiTheme="minorHAnsi" w:hAnsiTheme="minorHAnsi" w:cstheme="minorHAnsi"/>
          <w:color w:val="000000" w:themeColor="text1"/>
          <w:sz w:val="22"/>
          <w:szCs w:val="22"/>
        </w:rPr>
        <w:t xml:space="preserve">at an individual level </w:t>
      </w:r>
      <w:r w:rsidR="25D32CCC" w:rsidRPr="00C95105">
        <w:rPr>
          <w:rFonts w:asciiTheme="minorHAnsi" w:hAnsiTheme="minorHAnsi" w:cstheme="minorHAnsi"/>
          <w:color w:val="000000" w:themeColor="text1"/>
          <w:sz w:val="22"/>
          <w:szCs w:val="22"/>
        </w:rPr>
        <w:t xml:space="preserve">to be more inclusive of </w:t>
      </w:r>
      <w:r w:rsidR="72784273" w:rsidRPr="00C95105">
        <w:rPr>
          <w:rFonts w:asciiTheme="minorHAnsi" w:hAnsiTheme="minorHAnsi" w:cstheme="minorHAnsi"/>
          <w:color w:val="000000" w:themeColor="text1"/>
          <w:sz w:val="22"/>
          <w:szCs w:val="22"/>
        </w:rPr>
        <w:t xml:space="preserve">different groups. </w:t>
      </w:r>
    </w:p>
    <w:p w14:paraId="14B6B911" w14:textId="77777777" w:rsidR="00B8161E" w:rsidRPr="00C95105" w:rsidRDefault="00B8161E" w:rsidP="005D5F97">
      <w:pPr>
        <w:spacing w:after="120"/>
        <w:rPr>
          <w:rFonts w:asciiTheme="minorHAnsi" w:hAnsiTheme="minorHAnsi" w:cstheme="minorHAnsi"/>
          <w:color w:val="000000"/>
          <w:sz w:val="22"/>
          <w:szCs w:val="22"/>
        </w:rPr>
      </w:pPr>
    </w:p>
    <w:p w14:paraId="3259B732" w14:textId="5D98A760" w:rsidR="000E54BE" w:rsidRPr="00C95105" w:rsidRDefault="000E54BE" w:rsidP="0093280F">
      <w:pPr>
        <w:pStyle w:val="Heading3"/>
        <w:numPr>
          <w:ilvl w:val="2"/>
          <w:numId w:val="8"/>
        </w:numPr>
        <w:spacing w:before="0" w:after="120"/>
        <w:ind w:left="567" w:hanging="567"/>
        <w:rPr>
          <w:rFonts w:asciiTheme="minorHAnsi" w:hAnsiTheme="minorHAnsi" w:cstheme="minorHAnsi"/>
          <w:b/>
          <w:bCs/>
          <w:i/>
          <w:iCs/>
          <w:color w:val="2F5496" w:themeColor="accent1" w:themeShade="BF"/>
          <w:sz w:val="22"/>
          <w:szCs w:val="22"/>
        </w:rPr>
      </w:pPr>
      <w:bookmarkStart w:id="135" w:name="_Toc96957678"/>
      <w:r w:rsidRPr="00C95105">
        <w:rPr>
          <w:rFonts w:asciiTheme="minorHAnsi" w:hAnsiTheme="minorHAnsi" w:cstheme="minorHAnsi"/>
          <w:b/>
          <w:bCs/>
          <w:i/>
          <w:iCs/>
          <w:color w:val="2F5496" w:themeColor="accent1" w:themeShade="BF"/>
          <w:sz w:val="22"/>
          <w:szCs w:val="22"/>
        </w:rPr>
        <w:lastRenderedPageBreak/>
        <w:t>Bias mitigation and nudging</w:t>
      </w:r>
      <w:bookmarkEnd w:id="135"/>
    </w:p>
    <w:p w14:paraId="56CD7A84" w14:textId="77777777" w:rsidR="00F365F0" w:rsidRPr="00C95105" w:rsidRDefault="00001B98" w:rsidP="00F365F0">
      <w:pPr>
        <w:spacing w:after="120"/>
        <w:ind w:firstLine="567"/>
        <w:rPr>
          <w:rFonts w:asciiTheme="minorHAnsi" w:hAnsiTheme="minorHAnsi" w:cstheme="minorHAnsi"/>
          <w:color w:val="000000"/>
          <w:sz w:val="22"/>
          <w:szCs w:val="22"/>
        </w:rPr>
      </w:pPr>
      <w:r w:rsidRPr="00C95105">
        <w:rPr>
          <w:rFonts w:asciiTheme="minorHAnsi" w:hAnsiTheme="minorHAnsi" w:cstheme="minorHAnsi"/>
          <w:color w:val="000000"/>
          <w:sz w:val="22"/>
          <w:szCs w:val="22"/>
        </w:rPr>
        <w:t>In this report</w:t>
      </w:r>
      <w:r w:rsidR="00026DE3" w:rsidRPr="00C95105">
        <w:rPr>
          <w:rFonts w:asciiTheme="minorHAnsi" w:hAnsiTheme="minorHAnsi" w:cstheme="minorHAnsi"/>
          <w:color w:val="000000"/>
          <w:sz w:val="22"/>
          <w:szCs w:val="22"/>
        </w:rPr>
        <w:t>,</w:t>
      </w:r>
      <w:r w:rsidRPr="00C95105">
        <w:rPr>
          <w:rFonts w:asciiTheme="minorHAnsi" w:hAnsiTheme="minorHAnsi" w:cstheme="minorHAnsi"/>
          <w:color w:val="000000"/>
          <w:sz w:val="22"/>
          <w:szCs w:val="22"/>
        </w:rPr>
        <w:t xml:space="preserve"> we focused on AAP as a potential bias mitigation </w:t>
      </w:r>
      <w:r w:rsidR="00DF638A" w:rsidRPr="00C95105">
        <w:rPr>
          <w:rFonts w:asciiTheme="minorHAnsi" w:hAnsiTheme="minorHAnsi" w:cstheme="minorHAnsi"/>
          <w:color w:val="000000"/>
          <w:sz w:val="22"/>
          <w:szCs w:val="22"/>
        </w:rPr>
        <w:t xml:space="preserve">strategy. </w:t>
      </w:r>
      <w:r w:rsidR="00B22C8E" w:rsidRPr="00C95105">
        <w:rPr>
          <w:rFonts w:asciiTheme="minorHAnsi" w:hAnsiTheme="minorHAnsi" w:cstheme="minorHAnsi"/>
          <w:color w:val="000000"/>
          <w:sz w:val="22"/>
          <w:szCs w:val="22"/>
        </w:rPr>
        <w:t xml:space="preserve">Many other bias mitigation strategies can be implemented. For instance, organisation should closely pay attention to the </w:t>
      </w:r>
      <w:r w:rsidR="00B22C8E" w:rsidRPr="00C95105">
        <w:rPr>
          <w:rFonts w:asciiTheme="minorHAnsi" w:hAnsiTheme="minorHAnsi" w:cstheme="minorHAnsi"/>
          <w:i/>
          <w:iCs/>
          <w:color w:val="000000"/>
          <w:sz w:val="22"/>
          <w:szCs w:val="22"/>
        </w:rPr>
        <w:t>language used in job advertisement</w:t>
      </w:r>
      <w:r w:rsidR="00B22C8E" w:rsidRPr="00C95105">
        <w:rPr>
          <w:rFonts w:asciiTheme="minorHAnsi" w:hAnsiTheme="minorHAnsi" w:cstheme="minorHAnsi"/>
          <w:color w:val="000000"/>
          <w:sz w:val="22"/>
          <w:szCs w:val="22"/>
        </w:rPr>
        <w:t>, the kind of values they promote</w:t>
      </w:r>
      <w:r w:rsidR="00F55530" w:rsidRPr="00C95105">
        <w:rPr>
          <w:rFonts w:asciiTheme="minorHAnsi" w:hAnsiTheme="minorHAnsi" w:cstheme="minorHAnsi"/>
          <w:color w:val="000000"/>
          <w:sz w:val="22"/>
          <w:szCs w:val="22"/>
        </w:rPr>
        <w:t xml:space="preserve">, and the way the work environment is described. All those elements serve to attract or repel different candidates (e.g., </w:t>
      </w:r>
      <w:r w:rsidR="00F97392" w:rsidRPr="00C95105">
        <w:rPr>
          <w:rFonts w:asciiTheme="minorHAnsi" w:hAnsiTheme="minorHAnsi" w:cstheme="minorHAnsi"/>
          <w:color w:val="000000"/>
          <w:sz w:val="22"/>
          <w:szCs w:val="22"/>
        </w:rPr>
        <w:t>work environments perceived as hyper-competitive and inflexible are less likely to attract a diverse pool of candidates</w:t>
      </w:r>
      <w:r w:rsidR="00697035" w:rsidRPr="00C95105">
        <w:rPr>
          <w:rFonts w:asciiTheme="minorHAnsi" w:hAnsiTheme="minorHAnsi" w:cstheme="minorHAnsi"/>
          <w:color w:val="000000"/>
          <w:sz w:val="22"/>
          <w:szCs w:val="22"/>
        </w:rPr>
        <w:t>; Knight, 2017</w:t>
      </w:r>
      <w:r w:rsidR="00F97392" w:rsidRPr="00C95105">
        <w:rPr>
          <w:rFonts w:asciiTheme="minorHAnsi" w:hAnsiTheme="minorHAnsi" w:cstheme="minorHAnsi"/>
          <w:color w:val="000000"/>
          <w:sz w:val="22"/>
          <w:szCs w:val="22"/>
        </w:rPr>
        <w:t>).</w:t>
      </w:r>
    </w:p>
    <w:p w14:paraId="09DBBB7A" w14:textId="77777777" w:rsidR="00F365F0" w:rsidRPr="00C95105" w:rsidRDefault="4E38DA2D" w:rsidP="00F365F0">
      <w:pPr>
        <w:spacing w:after="120"/>
        <w:ind w:firstLine="567"/>
        <w:rPr>
          <w:rFonts w:asciiTheme="minorHAnsi" w:hAnsiTheme="minorHAnsi" w:cstheme="minorHAnsi"/>
          <w:color w:val="000000" w:themeColor="text1"/>
          <w:sz w:val="22"/>
          <w:szCs w:val="22"/>
        </w:rPr>
      </w:pPr>
      <w:r w:rsidRPr="00C95105">
        <w:rPr>
          <w:rFonts w:asciiTheme="minorHAnsi" w:hAnsiTheme="minorHAnsi" w:cstheme="minorHAnsi"/>
          <w:color w:val="000000" w:themeColor="text1"/>
          <w:sz w:val="22"/>
          <w:szCs w:val="22"/>
        </w:rPr>
        <w:t xml:space="preserve">Previous research has shown that using </w:t>
      </w:r>
      <w:r w:rsidRPr="00C95105">
        <w:rPr>
          <w:rFonts w:asciiTheme="minorHAnsi" w:hAnsiTheme="minorHAnsi" w:cstheme="minorHAnsi"/>
          <w:i/>
          <w:iCs/>
          <w:color w:val="000000" w:themeColor="text1"/>
          <w:sz w:val="22"/>
          <w:szCs w:val="22"/>
        </w:rPr>
        <w:t xml:space="preserve">structured and systematic </w:t>
      </w:r>
      <w:r w:rsidR="0A933624" w:rsidRPr="00C95105">
        <w:rPr>
          <w:rFonts w:asciiTheme="minorHAnsi" w:hAnsiTheme="minorHAnsi" w:cstheme="minorHAnsi"/>
          <w:i/>
          <w:iCs/>
          <w:color w:val="000000" w:themeColor="text1"/>
          <w:sz w:val="22"/>
          <w:szCs w:val="22"/>
        </w:rPr>
        <w:t>protocols</w:t>
      </w:r>
      <w:r w:rsidR="0A933624" w:rsidRPr="00C95105">
        <w:rPr>
          <w:rFonts w:asciiTheme="minorHAnsi" w:hAnsiTheme="minorHAnsi" w:cstheme="minorHAnsi"/>
          <w:color w:val="000000" w:themeColor="text1"/>
          <w:sz w:val="22"/>
          <w:szCs w:val="22"/>
        </w:rPr>
        <w:t xml:space="preserve">, including clear evaluation criteria, behavioural questions, and rubrics or anchors to evaluate candidates’ responses </w:t>
      </w:r>
      <w:r w:rsidR="10035020" w:rsidRPr="00C95105">
        <w:rPr>
          <w:rFonts w:asciiTheme="minorHAnsi" w:hAnsiTheme="minorHAnsi" w:cstheme="minorHAnsi"/>
          <w:color w:val="000000" w:themeColor="text1"/>
          <w:sz w:val="22"/>
          <w:szCs w:val="22"/>
        </w:rPr>
        <w:t>horizontally (i</w:t>
      </w:r>
      <w:r w:rsidR="6B955E4F" w:rsidRPr="00C95105">
        <w:rPr>
          <w:rFonts w:asciiTheme="minorHAnsi" w:hAnsiTheme="minorHAnsi" w:cstheme="minorHAnsi"/>
          <w:color w:val="000000" w:themeColor="text1"/>
          <w:sz w:val="22"/>
          <w:szCs w:val="22"/>
        </w:rPr>
        <w:t>.e., comparing candidates’ answers to each question at a time</w:t>
      </w:r>
      <w:r w:rsidR="15DC24D3" w:rsidRPr="00C95105">
        <w:rPr>
          <w:rFonts w:asciiTheme="minorHAnsi" w:hAnsiTheme="minorHAnsi" w:cstheme="minorHAnsi"/>
          <w:color w:val="000000" w:themeColor="text1"/>
          <w:sz w:val="22"/>
          <w:szCs w:val="22"/>
        </w:rPr>
        <w:t xml:space="preserve">, instead of doing </w:t>
      </w:r>
      <w:r w:rsidR="5E7CDBDD" w:rsidRPr="00C95105">
        <w:rPr>
          <w:rFonts w:asciiTheme="minorHAnsi" w:hAnsiTheme="minorHAnsi" w:cstheme="minorHAnsi"/>
          <w:color w:val="000000" w:themeColor="text1"/>
          <w:sz w:val="22"/>
          <w:szCs w:val="22"/>
        </w:rPr>
        <w:t xml:space="preserve">a broad </w:t>
      </w:r>
      <w:r w:rsidR="15DC24D3" w:rsidRPr="00C95105">
        <w:rPr>
          <w:rFonts w:asciiTheme="minorHAnsi" w:hAnsiTheme="minorHAnsi" w:cstheme="minorHAnsi"/>
          <w:color w:val="000000" w:themeColor="text1"/>
          <w:sz w:val="22"/>
          <w:szCs w:val="22"/>
        </w:rPr>
        <w:t xml:space="preserve">assessment of </w:t>
      </w:r>
      <w:r w:rsidR="5E7CDBDD" w:rsidRPr="00C95105">
        <w:rPr>
          <w:rFonts w:asciiTheme="minorHAnsi" w:hAnsiTheme="minorHAnsi" w:cstheme="minorHAnsi"/>
          <w:color w:val="000000" w:themeColor="text1"/>
          <w:sz w:val="22"/>
          <w:szCs w:val="22"/>
        </w:rPr>
        <w:t>all the responses</w:t>
      </w:r>
      <w:r w:rsidR="6444B689" w:rsidRPr="00C95105">
        <w:rPr>
          <w:rFonts w:asciiTheme="minorHAnsi" w:hAnsiTheme="minorHAnsi" w:cstheme="minorHAnsi"/>
          <w:color w:val="000000" w:themeColor="text1"/>
          <w:sz w:val="22"/>
          <w:szCs w:val="22"/>
        </w:rPr>
        <w:t>; Bohnet, 2016</w:t>
      </w:r>
      <w:r w:rsidR="15DC24D3" w:rsidRPr="00C95105">
        <w:rPr>
          <w:rFonts w:asciiTheme="minorHAnsi" w:hAnsiTheme="minorHAnsi" w:cstheme="minorHAnsi"/>
          <w:color w:val="000000" w:themeColor="text1"/>
          <w:sz w:val="22"/>
          <w:szCs w:val="22"/>
        </w:rPr>
        <w:t xml:space="preserve">) </w:t>
      </w:r>
      <w:r w:rsidR="0A933624" w:rsidRPr="00C95105">
        <w:rPr>
          <w:rFonts w:asciiTheme="minorHAnsi" w:hAnsiTheme="minorHAnsi" w:cstheme="minorHAnsi"/>
          <w:color w:val="000000" w:themeColor="text1"/>
          <w:sz w:val="22"/>
          <w:szCs w:val="22"/>
        </w:rPr>
        <w:t>can reduce bias in interview processes</w:t>
      </w:r>
      <w:r w:rsidR="6E28C320" w:rsidRPr="00C95105">
        <w:rPr>
          <w:rFonts w:asciiTheme="minorHAnsi" w:hAnsiTheme="minorHAnsi" w:cstheme="minorHAnsi"/>
          <w:color w:val="000000" w:themeColor="text1"/>
          <w:sz w:val="22"/>
          <w:szCs w:val="22"/>
        </w:rPr>
        <w:t xml:space="preserve"> (</w:t>
      </w:r>
      <w:r w:rsidR="32A8994D" w:rsidRPr="00C95105">
        <w:rPr>
          <w:rFonts w:asciiTheme="minorHAnsi" w:hAnsiTheme="minorHAnsi" w:cstheme="minorHAnsi"/>
          <w:color w:val="000000" w:themeColor="text1"/>
          <w:sz w:val="22"/>
          <w:szCs w:val="22"/>
        </w:rPr>
        <w:t>Genat, 2019</w:t>
      </w:r>
      <w:r w:rsidR="6E28C320" w:rsidRPr="00C95105">
        <w:rPr>
          <w:rFonts w:asciiTheme="minorHAnsi" w:hAnsiTheme="minorHAnsi" w:cstheme="minorHAnsi"/>
          <w:color w:val="000000" w:themeColor="text1"/>
          <w:sz w:val="22"/>
          <w:szCs w:val="22"/>
        </w:rPr>
        <w:t>)</w:t>
      </w:r>
      <w:r w:rsidR="0A933624" w:rsidRPr="00C95105">
        <w:rPr>
          <w:rFonts w:asciiTheme="minorHAnsi" w:hAnsiTheme="minorHAnsi" w:cstheme="minorHAnsi"/>
          <w:color w:val="000000" w:themeColor="text1"/>
          <w:sz w:val="22"/>
          <w:szCs w:val="22"/>
        </w:rPr>
        <w:t xml:space="preserve">. </w:t>
      </w:r>
      <w:r w:rsidR="7871741B" w:rsidRPr="00C95105">
        <w:rPr>
          <w:rFonts w:asciiTheme="minorHAnsi" w:hAnsiTheme="minorHAnsi" w:cstheme="minorHAnsi"/>
          <w:color w:val="000000" w:themeColor="text1"/>
          <w:sz w:val="22"/>
          <w:szCs w:val="22"/>
        </w:rPr>
        <w:t xml:space="preserve">Similarly, </w:t>
      </w:r>
      <w:r w:rsidR="7871741B" w:rsidRPr="00C95105">
        <w:rPr>
          <w:rFonts w:asciiTheme="minorHAnsi" w:hAnsiTheme="minorHAnsi" w:cstheme="minorHAnsi"/>
          <w:i/>
          <w:iCs/>
          <w:color w:val="000000" w:themeColor="text1"/>
          <w:sz w:val="22"/>
          <w:szCs w:val="22"/>
        </w:rPr>
        <w:t>bias mitigation pro</w:t>
      </w:r>
      <w:r w:rsidR="61AEA70B" w:rsidRPr="00C95105">
        <w:rPr>
          <w:rFonts w:asciiTheme="minorHAnsi" w:hAnsiTheme="minorHAnsi" w:cstheme="minorHAnsi"/>
          <w:i/>
          <w:iCs/>
          <w:color w:val="000000" w:themeColor="text1"/>
          <w:sz w:val="22"/>
          <w:szCs w:val="22"/>
        </w:rPr>
        <w:t>mpts</w:t>
      </w:r>
      <w:r w:rsidR="61AEA70B" w:rsidRPr="00C95105">
        <w:rPr>
          <w:rFonts w:asciiTheme="minorHAnsi" w:hAnsiTheme="minorHAnsi" w:cstheme="minorHAnsi"/>
          <w:color w:val="000000" w:themeColor="text1"/>
          <w:sz w:val="22"/>
          <w:szCs w:val="22"/>
        </w:rPr>
        <w:t xml:space="preserve"> can be useful tools to remind interviewers of the most common biases that appear during the interview process and </w:t>
      </w:r>
      <w:r w:rsidR="45EE8BA7" w:rsidRPr="00C95105">
        <w:rPr>
          <w:rFonts w:asciiTheme="minorHAnsi" w:hAnsiTheme="minorHAnsi" w:cstheme="minorHAnsi"/>
          <w:color w:val="000000" w:themeColor="text1"/>
          <w:sz w:val="22"/>
          <w:szCs w:val="22"/>
        </w:rPr>
        <w:t xml:space="preserve">strategies to </w:t>
      </w:r>
      <w:r w:rsidR="61AEA70B" w:rsidRPr="00C95105">
        <w:rPr>
          <w:rFonts w:asciiTheme="minorHAnsi" w:hAnsiTheme="minorHAnsi" w:cstheme="minorHAnsi"/>
          <w:color w:val="000000" w:themeColor="text1"/>
          <w:sz w:val="22"/>
          <w:szCs w:val="22"/>
        </w:rPr>
        <w:t xml:space="preserve">reduce their </w:t>
      </w:r>
      <w:r w:rsidR="42B8779A" w:rsidRPr="00C95105">
        <w:rPr>
          <w:rFonts w:asciiTheme="minorHAnsi" w:hAnsiTheme="minorHAnsi" w:cstheme="minorHAnsi"/>
          <w:color w:val="000000" w:themeColor="text1"/>
          <w:sz w:val="22"/>
          <w:szCs w:val="22"/>
        </w:rPr>
        <w:t>impact.</w:t>
      </w:r>
    </w:p>
    <w:p w14:paraId="1B48C202" w14:textId="4A57155F" w:rsidR="00F459DC" w:rsidRPr="00C95105" w:rsidRDefault="2D8B4CC6" w:rsidP="00F365F0">
      <w:pPr>
        <w:spacing w:after="120"/>
        <w:ind w:firstLine="567"/>
        <w:rPr>
          <w:rFonts w:asciiTheme="minorHAnsi" w:hAnsiTheme="minorHAnsi" w:cstheme="minorHAnsi"/>
          <w:color w:val="000000"/>
          <w:sz w:val="22"/>
          <w:szCs w:val="22"/>
        </w:rPr>
      </w:pPr>
      <w:r w:rsidRPr="00C95105">
        <w:rPr>
          <w:rFonts w:asciiTheme="minorHAnsi" w:hAnsiTheme="minorHAnsi" w:cstheme="minorHAnsi"/>
          <w:color w:val="000000" w:themeColor="text1"/>
          <w:sz w:val="22"/>
          <w:szCs w:val="22"/>
        </w:rPr>
        <w:t xml:space="preserve">Beyond recruitment and selection processes, </w:t>
      </w:r>
      <w:r w:rsidRPr="00C95105">
        <w:rPr>
          <w:rFonts w:asciiTheme="minorHAnsi" w:hAnsiTheme="minorHAnsi" w:cstheme="minorHAnsi"/>
          <w:i/>
          <w:iCs/>
          <w:color w:val="000000" w:themeColor="text1"/>
          <w:sz w:val="22"/>
          <w:szCs w:val="22"/>
        </w:rPr>
        <w:t>fairness in the allocation of in-the-job opportunities</w:t>
      </w:r>
      <w:r w:rsidRPr="00C95105">
        <w:rPr>
          <w:rFonts w:asciiTheme="minorHAnsi" w:hAnsiTheme="minorHAnsi" w:cstheme="minorHAnsi"/>
          <w:color w:val="000000" w:themeColor="text1"/>
          <w:sz w:val="22"/>
          <w:szCs w:val="22"/>
        </w:rPr>
        <w:t xml:space="preserve"> </w:t>
      </w:r>
      <w:r w:rsidR="4D161721" w:rsidRPr="00C95105">
        <w:rPr>
          <w:rFonts w:asciiTheme="minorHAnsi" w:hAnsiTheme="minorHAnsi" w:cstheme="minorHAnsi"/>
          <w:color w:val="000000" w:themeColor="text1"/>
          <w:sz w:val="22"/>
          <w:szCs w:val="22"/>
        </w:rPr>
        <w:t xml:space="preserve">to learn new skills and show </w:t>
      </w:r>
      <w:r w:rsidR="6BD14A39" w:rsidRPr="00C95105">
        <w:rPr>
          <w:rFonts w:asciiTheme="minorHAnsi" w:hAnsiTheme="minorHAnsi" w:cstheme="minorHAnsi"/>
          <w:color w:val="000000" w:themeColor="text1"/>
          <w:sz w:val="22"/>
          <w:szCs w:val="22"/>
        </w:rPr>
        <w:t xml:space="preserve">existing capabilities </w:t>
      </w:r>
      <w:r w:rsidRPr="00C95105">
        <w:rPr>
          <w:rFonts w:asciiTheme="minorHAnsi" w:hAnsiTheme="minorHAnsi" w:cstheme="minorHAnsi"/>
          <w:color w:val="000000" w:themeColor="text1"/>
          <w:sz w:val="22"/>
          <w:szCs w:val="22"/>
        </w:rPr>
        <w:t xml:space="preserve">will have a large impact on the capacity of </w:t>
      </w:r>
      <w:r w:rsidR="4D161721" w:rsidRPr="00C95105">
        <w:rPr>
          <w:rFonts w:asciiTheme="minorHAnsi" w:hAnsiTheme="minorHAnsi" w:cstheme="minorHAnsi"/>
          <w:color w:val="000000" w:themeColor="text1"/>
          <w:sz w:val="22"/>
          <w:szCs w:val="22"/>
        </w:rPr>
        <w:t>all employees, including women and minority staff, to develop their careers</w:t>
      </w:r>
      <w:r w:rsidR="6BD14A39" w:rsidRPr="00C95105">
        <w:rPr>
          <w:rFonts w:asciiTheme="minorHAnsi" w:hAnsiTheme="minorHAnsi" w:cstheme="minorHAnsi"/>
          <w:color w:val="000000" w:themeColor="text1"/>
          <w:sz w:val="22"/>
          <w:szCs w:val="22"/>
        </w:rPr>
        <w:t xml:space="preserve">. Managers should consider </w:t>
      </w:r>
      <w:r w:rsidR="2292319B" w:rsidRPr="00C95105">
        <w:rPr>
          <w:rFonts w:asciiTheme="minorHAnsi" w:hAnsiTheme="minorHAnsi" w:cstheme="minorHAnsi"/>
          <w:color w:val="000000" w:themeColor="text1"/>
          <w:sz w:val="22"/>
          <w:szCs w:val="22"/>
        </w:rPr>
        <w:t xml:space="preserve">and keep a record of </w:t>
      </w:r>
      <w:r w:rsidR="6BD14A39" w:rsidRPr="00C95105">
        <w:rPr>
          <w:rFonts w:asciiTheme="minorHAnsi" w:hAnsiTheme="minorHAnsi" w:cstheme="minorHAnsi"/>
          <w:color w:val="000000" w:themeColor="text1"/>
          <w:sz w:val="22"/>
          <w:szCs w:val="22"/>
        </w:rPr>
        <w:t>how the</w:t>
      </w:r>
      <w:r w:rsidR="0AA1519F" w:rsidRPr="00C95105">
        <w:rPr>
          <w:rFonts w:asciiTheme="minorHAnsi" w:hAnsiTheme="minorHAnsi" w:cstheme="minorHAnsi"/>
          <w:color w:val="000000" w:themeColor="text1"/>
          <w:sz w:val="22"/>
          <w:szCs w:val="22"/>
        </w:rPr>
        <w:t>y plan</w:t>
      </w:r>
      <w:r w:rsidR="6BD14A39" w:rsidRPr="00C95105">
        <w:rPr>
          <w:rFonts w:asciiTheme="minorHAnsi" w:hAnsiTheme="minorHAnsi" w:cstheme="minorHAnsi"/>
          <w:color w:val="000000" w:themeColor="text1"/>
          <w:sz w:val="22"/>
          <w:szCs w:val="22"/>
        </w:rPr>
        <w:t xml:space="preserve"> training, </w:t>
      </w:r>
      <w:r w:rsidR="0AA1519F" w:rsidRPr="00C95105">
        <w:rPr>
          <w:rFonts w:asciiTheme="minorHAnsi" w:hAnsiTheme="minorHAnsi" w:cstheme="minorHAnsi"/>
          <w:color w:val="000000" w:themeColor="text1"/>
          <w:sz w:val="22"/>
          <w:szCs w:val="22"/>
        </w:rPr>
        <w:t xml:space="preserve">provide feedback, and allocate projects that have stronger developmental potential because they involve senior internal and external stakeholders, </w:t>
      </w:r>
      <w:r w:rsidR="00C785A0" w:rsidRPr="00C95105">
        <w:rPr>
          <w:rFonts w:asciiTheme="minorHAnsi" w:hAnsiTheme="minorHAnsi" w:cstheme="minorHAnsi"/>
          <w:color w:val="000000" w:themeColor="text1"/>
          <w:sz w:val="22"/>
          <w:szCs w:val="22"/>
        </w:rPr>
        <w:t>high budgets, opportunities for learning new skills, and visibility</w:t>
      </w:r>
      <w:r w:rsidR="14692BAD" w:rsidRPr="00C95105">
        <w:rPr>
          <w:rFonts w:asciiTheme="minorHAnsi" w:hAnsiTheme="minorHAnsi" w:cstheme="minorHAnsi"/>
          <w:color w:val="000000" w:themeColor="text1"/>
          <w:sz w:val="22"/>
          <w:szCs w:val="22"/>
        </w:rPr>
        <w:t xml:space="preserve"> (Sojo &amp; Wood, 2012</w:t>
      </w:r>
      <w:r w:rsidR="43AA5435" w:rsidRPr="00C95105">
        <w:rPr>
          <w:rFonts w:asciiTheme="minorHAnsi" w:hAnsiTheme="minorHAnsi" w:cstheme="minorHAnsi"/>
          <w:color w:val="000000" w:themeColor="text1"/>
          <w:sz w:val="22"/>
          <w:szCs w:val="22"/>
        </w:rPr>
        <w:t xml:space="preserve">; Dunlea, Sojo, </w:t>
      </w:r>
      <w:r w:rsidR="38474CE9" w:rsidRPr="00C95105">
        <w:rPr>
          <w:rFonts w:asciiTheme="minorHAnsi" w:hAnsiTheme="minorHAnsi" w:cstheme="minorHAnsi"/>
          <w:color w:val="000000" w:themeColor="text1"/>
          <w:sz w:val="22"/>
          <w:szCs w:val="22"/>
        </w:rPr>
        <w:t>Thiel, &amp; Westbrook, 2015</w:t>
      </w:r>
      <w:r w:rsidR="14692BAD" w:rsidRPr="00C95105">
        <w:rPr>
          <w:rFonts w:asciiTheme="minorHAnsi" w:hAnsiTheme="minorHAnsi" w:cstheme="minorHAnsi"/>
          <w:color w:val="000000" w:themeColor="text1"/>
          <w:sz w:val="22"/>
          <w:szCs w:val="22"/>
        </w:rPr>
        <w:t>)</w:t>
      </w:r>
      <w:r w:rsidR="00C785A0" w:rsidRPr="00C95105">
        <w:rPr>
          <w:rFonts w:asciiTheme="minorHAnsi" w:hAnsiTheme="minorHAnsi" w:cstheme="minorHAnsi"/>
          <w:color w:val="000000" w:themeColor="text1"/>
          <w:sz w:val="22"/>
          <w:szCs w:val="22"/>
        </w:rPr>
        <w:t xml:space="preserve">. </w:t>
      </w:r>
      <w:r w:rsidR="2292319B" w:rsidRPr="00C95105">
        <w:rPr>
          <w:rFonts w:asciiTheme="minorHAnsi" w:hAnsiTheme="minorHAnsi" w:cstheme="minorHAnsi"/>
          <w:color w:val="000000" w:themeColor="text1"/>
          <w:sz w:val="22"/>
          <w:szCs w:val="22"/>
        </w:rPr>
        <w:t>Such a record can be a reminder of which employees among their staff have been favoured in the past</w:t>
      </w:r>
      <w:r w:rsidR="14BF0979" w:rsidRPr="00C95105">
        <w:rPr>
          <w:rFonts w:asciiTheme="minorHAnsi" w:hAnsiTheme="minorHAnsi" w:cstheme="minorHAnsi"/>
          <w:color w:val="000000" w:themeColor="text1"/>
          <w:sz w:val="22"/>
          <w:szCs w:val="22"/>
        </w:rPr>
        <w:t xml:space="preserve"> and which one should be getting new opportunities. </w:t>
      </w:r>
    </w:p>
    <w:p w14:paraId="613A2CCC" w14:textId="77777777" w:rsidR="00821A95" w:rsidRPr="00C95105" w:rsidRDefault="00821A95" w:rsidP="005D5F97">
      <w:pPr>
        <w:spacing w:after="120"/>
        <w:rPr>
          <w:rFonts w:asciiTheme="minorHAnsi" w:hAnsiTheme="minorHAnsi" w:cstheme="minorHAnsi"/>
          <w:sz w:val="22"/>
          <w:szCs w:val="22"/>
        </w:rPr>
      </w:pPr>
    </w:p>
    <w:p w14:paraId="104407FD" w14:textId="3A227814" w:rsidR="002B3CF4" w:rsidRPr="00C95105" w:rsidRDefault="002B3CF4" w:rsidP="0093280F">
      <w:pPr>
        <w:pStyle w:val="Heading3"/>
        <w:numPr>
          <w:ilvl w:val="2"/>
          <w:numId w:val="8"/>
        </w:numPr>
        <w:spacing w:before="0" w:after="120"/>
        <w:ind w:left="567" w:hanging="567"/>
        <w:rPr>
          <w:rFonts w:asciiTheme="minorHAnsi" w:hAnsiTheme="minorHAnsi" w:cstheme="minorHAnsi"/>
          <w:b/>
          <w:bCs/>
          <w:i/>
          <w:iCs/>
          <w:color w:val="2F5496" w:themeColor="accent1" w:themeShade="BF"/>
          <w:sz w:val="22"/>
          <w:szCs w:val="22"/>
        </w:rPr>
      </w:pPr>
      <w:bookmarkStart w:id="136" w:name="_Toc96957679"/>
      <w:r w:rsidRPr="00C95105">
        <w:rPr>
          <w:rFonts w:asciiTheme="minorHAnsi" w:hAnsiTheme="minorHAnsi" w:cstheme="minorHAnsi"/>
          <w:b/>
          <w:bCs/>
          <w:i/>
          <w:iCs/>
          <w:color w:val="2F5496" w:themeColor="accent1" w:themeShade="BF"/>
          <w:sz w:val="22"/>
          <w:szCs w:val="22"/>
        </w:rPr>
        <w:t>Direct action</w:t>
      </w:r>
      <w:bookmarkEnd w:id="136"/>
    </w:p>
    <w:p w14:paraId="5BB836AB" w14:textId="77777777" w:rsidR="00F365F0" w:rsidRPr="00C95105" w:rsidRDefault="002B3CF4" w:rsidP="00F365F0">
      <w:pPr>
        <w:spacing w:after="120"/>
        <w:ind w:firstLine="567"/>
        <w:rPr>
          <w:rFonts w:asciiTheme="minorHAnsi" w:hAnsiTheme="minorHAnsi" w:cstheme="minorHAnsi"/>
          <w:color w:val="000000"/>
          <w:sz w:val="22"/>
          <w:szCs w:val="22"/>
        </w:rPr>
      </w:pPr>
      <w:r w:rsidRPr="00C95105">
        <w:rPr>
          <w:rFonts w:asciiTheme="minorHAnsi" w:hAnsiTheme="minorHAnsi" w:cstheme="minorHAnsi"/>
          <w:color w:val="000000" w:themeColor="text1"/>
          <w:sz w:val="22"/>
          <w:szCs w:val="22"/>
        </w:rPr>
        <w:t xml:space="preserve">Organisations can take more active steps to increase the representations of women and minority groups among their ranks. Such direct action will create a </w:t>
      </w:r>
      <w:r w:rsidR="57CB9F36" w:rsidRPr="00C95105">
        <w:rPr>
          <w:rFonts w:asciiTheme="minorHAnsi" w:hAnsiTheme="minorHAnsi" w:cstheme="minorHAnsi"/>
          <w:color w:val="000000" w:themeColor="text1"/>
          <w:sz w:val="22"/>
          <w:szCs w:val="22"/>
        </w:rPr>
        <w:t xml:space="preserve">demand for qualified members of underrepresented groups </w:t>
      </w:r>
      <w:r w:rsidR="6A3451B8" w:rsidRPr="00C95105">
        <w:rPr>
          <w:rFonts w:asciiTheme="minorHAnsi" w:hAnsiTheme="minorHAnsi" w:cstheme="minorHAnsi"/>
          <w:color w:val="000000" w:themeColor="text1"/>
          <w:sz w:val="22"/>
          <w:szCs w:val="22"/>
        </w:rPr>
        <w:t xml:space="preserve">at different levels of the organisation. </w:t>
      </w:r>
      <w:r w:rsidR="4E2C41DA" w:rsidRPr="00C95105">
        <w:rPr>
          <w:rFonts w:asciiTheme="minorHAnsi" w:hAnsiTheme="minorHAnsi" w:cstheme="minorHAnsi"/>
          <w:color w:val="000000" w:themeColor="text1"/>
          <w:sz w:val="22"/>
          <w:szCs w:val="22"/>
        </w:rPr>
        <w:t xml:space="preserve">The most common form of direct action is setting </w:t>
      </w:r>
      <w:r w:rsidR="47077F08" w:rsidRPr="00C95105">
        <w:rPr>
          <w:rFonts w:asciiTheme="minorHAnsi" w:hAnsiTheme="minorHAnsi" w:cstheme="minorHAnsi"/>
          <w:color w:val="000000" w:themeColor="text1"/>
          <w:sz w:val="22"/>
          <w:szCs w:val="22"/>
        </w:rPr>
        <w:t xml:space="preserve">benchmarks and </w:t>
      </w:r>
      <w:r w:rsidR="4E2C41DA" w:rsidRPr="00C95105">
        <w:rPr>
          <w:rFonts w:asciiTheme="minorHAnsi" w:hAnsiTheme="minorHAnsi" w:cstheme="minorHAnsi"/>
          <w:color w:val="000000" w:themeColor="text1"/>
          <w:sz w:val="22"/>
          <w:szCs w:val="22"/>
        </w:rPr>
        <w:t xml:space="preserve">goals </w:t>
      </w:r>
      <w:r w:rsidR="74913A1C" w:rsidRPr="00C95105">
        <w:rPr>
          <w:rFonts w:asciiTheme="minorHAnsi" w:hAnsiTheme="minorHAnsi" w:cstheme="minorHAnsi"/>
          <w:color w:val="000000" w:themeColor="text1"/>
          <w:sz w:val="22"/>
          <w:szCs w:val="22"/>
        </w:rPr>
        <w:t xml:space="preserve">for women and minority representation </w:t>
      </w:r>
      <w:r w:rsidR="4E2C41DA" w:rsidRPr="00C95105">
        <w:rPr>
          <w:rFonts w:asciiTheme="minorHAnsi" w:hAnsiTheme="minorHAnsi" w:cstheme="minorHAnsi"/>
          <w:color w:val="000000" w:themeColor="text1"/>
          <w:sz w:val="22"/>
          <w:szCs w:val="22"/>
        </w:rPr>
        <w:t xml:space="preserve">for recruitment, selection, </w:t>
      </w:r>
      <w:r w:rsidR="598B16D5" w:rsidRPr="00C95105">
        <w:rPr>
          <w:rFonts w:asciiTheme="minorHAnsi" w:hAnsiTheme="minorHAnsi" w:cstheme="minorHAnsi"/>
          <w:color w:val="000000" w:themeColor="text1"/>
          <w:sz w:val="22"/>
          <w:szCs w:val="22"/>
        </w:rPr>
        <w:t xml:space="preserve">job </w:t>
      </w:r>
      <w:r w:rsidR="6B8592BB" w:rsidRPr="00C95105">
        <w:rPr>
          <w:rFonts w:asciiTheme="minorHAnsi" w:hAnsiTheme="minorHAnsi" w:cstheme="minorHAnsi"/>
          <w:color w:val="000000" w:themeColor="text1"/>
          <w:sz w:val="22"/>
          <w:szCs w:val="22"/>
        </w:rPr>
        <w:t>opportunities,</w:t>
      </w:r>
      <w:r w:rsidR="598B16D5" w:rsidRPr="00C95105">
        <w:rPr>
          <w:rFonts w:asciiTheme="minorHAnsi" w:hAnsiTheme="minorHAnsi" w:cstheme="minorHAnsi"/>
          <w:color w:val="000000" w:themeColor="text1"/>
          <w:sz w:val="22"/>
          <w:szCs w:val="22"/>
        </w:rPr>
        <w:t xml:space="preserve"> promotions</w:t>
      </w:r>
      <w:r w:rsidR="74913A1C" w:rsidRPr="00C95105">
        <w:rPr>
          <w:rFonts w:asciiTheme="minorHAnsi" w:hAnsiTheme="minorHAnsi" w:cstheme="minorHAnsi"/>
          <w:color w:val="000000" w:themeColor="text1"/>
          <w:sz w:val="22"/>
          <w:szCs w:val="22"/>
        </w:rPr>
        <w:t xml:space="preserve">, etc. </w:t>
      </w:r>
      <w:r w:rsidR="2F177170" w:rsidRPr="00C95105">
        <w:rPr>
          <w:rFonts w:asciiTheme="minorHAnsi" w:hAnsiTheme="minorHAnsi" w:cstheme="minorHAnsi"/>
          <w:color w:val="000000" w:themeColor="text1"/>
          <w:sz w:val="22"/>
          <w:szCs w:val="22"/>
        </w:rPr>
        <w:t xml:space="preserve">These goals are then translated into strategies </w:t>
      </w:r>
      <w:r w:rsidR="0057B869" w:rsidRPr="00C95105">
        <w:rPr>
          <w:rFonts w:asciiTheme="minorHAnsi" w:hAnsiTheme="minorHAnsi" w:cstheme="minorHAnsi"/>
          <w:color w:val="000000" w:themeColor="text1"/>
          <w:sz w:val="22"/>
          <w:szCs w:val="22"/>
        </w:rPr>
        <w:t xml:space="preserve">that are more or less </w:t>
      </w:r>
      <w:r w:rsidR="55008D2E" w:rsidRPr="00C95105">
        <w:rPr>
          <w:rFonts w:asciiTheme="minorHAnsi" w:hAnsiTheme="minorHAnsi" w:cstheme="minorHAnsi"/>
          <w:color w:val="000000" w:themeColor="text1"/>
          <w:sz w:val="22"/>
          <w:szCs w:val="22"/>
        </w:rPr>
        <w:t>prescriptive about how to achieve the goal</w:t>
      </w:r>
      <w:r w:rsidR="6B8592BB" w:rsidRPr="00C95105">
        <w:rPr>
          <w:rFonts w:asciiTheme="minorHAnsi" w:hAnsiTheme="minorHAnsi" w:cstheme="minorHAnsi"/>
          <w:color w:val="000000" w:themeColor="text1"/>
          <w:sz w:val="22"/>
          <w:szCs w:val="22"/>
        </w:rPr>
        <w:t>s</w:t>
      </w:r>
      <w:r w:rsidR="55008D2E" w:rsidRPr="00C95105">
        <w:rPr>
          <w:rFonts w:asciiTheme="minorHAnsi" w:hAnsiTheme="minorHAnsi" w:cstheme="minorHAnsi"/>
          <w:color w:val="000000" w:themeColor="text1"/>
          <w:sz w:val="22"/>
          <w:szCs w:val="22"/>
        </w:rPr>
        <w:t xml:space="preserve"> and consequences for not </w:t>
      </w:r>
      <w:r w:rsidR="6B8592BB" w:rsidRPr="00C95105">
        <w:rPr>
          <w:rFonts w:asciiTheme="minorHAnsi" w:hAnsiTheme="minorHAnsi" w:cstheme="minorHAnsi"/>
          <w:color w:val="000000" w:themeColor="text1"/>
          <w:sz w:val="22"/>
          <w:szCs w:val="22"/>
        </w:rPr>
        <w:t xml:space="preserve">achieving them (Sojo et al., 2016). </w:t>
      </w:r>
    </w:p>
    <w:p w14:paraId="06D54170" w14:textId="77777777" w:rsidR="00F365F0" w:rsidRPr="00C95105" w:rsidRDefault="003A2DEE" w:rsidP="00F365F0">
      <w:pPr>
        <w:spacing w:after="120"/>
        <w:ind w:firstLine="567"/>
        <w:rPr>
          <w:rFonts w:asciiTheme="minorHAnsi" w:hAnsiTheme="minorHAnsi" w:cstheme="minorHAnsi"/>
          <w:color w:val="000000"/>
          <w:sz w:val="22"/>
          <w:szCs w:val="22"/>
        </w:rPr>
      </w:pPr>
      <w:r w:rsidRPr="00C95105">
        <w:rPr>
          <w:rFonts w:asciiTheme="minorHAnsi" w:hAnsiTheme="minorHAnsi" w:cstheme="minorHAnsi"/>
          <w:color w:val="000000"/>
          <w:sz w:val="22"/>
          <w:szCs w:val="22"/>
        </w:rPr>
        <w:t>For instance,</w:t>
      </w:r>
      <w:r w:rsidRPr="00C95105">
        <w:rPr>
          <w:rFonts w:asciiTheme="minorHAnsi" w:hAnsiTheme="minorHAnsi" w:cstheme="minorHAnsi"/>
          <w:i/>
          <w:iCs/>
          <w:color w:val="000000"/>
          <w:sz w:val="22"/>
          <w:szCs w:val="22"/>
        </w:rPr>
        <w:t xml:space="preserve"> t</w:t>
      </w:r>
      <w:r w:rsidR="004D4BAB" w:rsidRPr="00C95105">
        <w:rPr>
          <w:rFonts w:asciiTheme="minorHAnsi" w:hAnsiTheme="minorHAnsi" w:cstheme="minorHAnsi"/>
          <w:i/>
          <w:iCs/>
          <w:color w:val="000000"/>
          <w:sz w:val="22"/>
          <w:szCs w:val="22"/>
        </w:rPr>
        <w:t>argeted recruitment</w:t>
      </w:r>
      <w:r w:rsidR="004D4BAB" w:rsidRPr="00C95105">
        <w:rPr>
          <w:rFonts w:asciiTheme="minorHAnsi" w:hAnsiTheme="minorHAnsi" w:cstheme="minorHAnsi"/>
          <w:color w:val="000000"/>
          <w:sz w:val="22"/>
          <w:szCs w:val="22"/>
        </w:rPr>
        <w:t xml:space="preserve"> has been used successfully to increase the representation of minority groups among the pool of candidates for a job. There are many ways to do targeted recruitment (</w:t>
      </w:r>
      <w:r w:rsidR="004D4BAB" w:rsidRPr="00C95105">
        <w:rPr>
          <w:rFonts w:asciiTheme="minorHAnsi" w:hAnsiTheme="minorHAnsi" w:cstheme="minorHAnsi"/>
          <w:sz w:val="22"/>
          <w:szCs w:val="22"/>
        </w:rPr>
        <w:t>Stratemeyer et al., 2018)</w:t>
      </w:r>
      <w:r w:rsidR="004D4BAB" w:rsidRPr="00C95105">
        <w:rPr>
          <w:rFonts w:asciiTheme="minorHAnsi" w:hAnsiTheme="minorHAnsi" w:cstheme="minorHAnsi"/>
          <w:color w:val="000000"/>
          <w:sz w:val="22"/>
          <w:szCs w:val="22"/>
        </w:rPr>
        <w:t xml:space="preserve">. For instance: (i) indicating in job advertisements that candidates from a specific group are encouraged to apply, (ii) using community partnerships / connections to promote job openings in other organisations that support members of the specific communities (e.g., resource centres for women, ethnic minority groups, migrants, or people with disabilities), or (iii) using social media to target specific demographics with the advertisements, among many other. </w:t>
      </w:r>
    </w:p>
    <w:p w14:paraId="37BA4BA1" w14:textId="61E0C43D" w:rsidR="002B3CF4" w:rsidRPr="00C95105" w:rsidRDefault="2364F9A6" w:rsidP="00F365F0">
      <w:pPr>
        <w:spacing w:after="120"/>
        <w:ind w:firstLine="567"/>
        <w:rPr>
          <w:rFonts w:asciiTheme="minorHAnsi" w:hAnsiTheme="minorHAnsi" w:cstheme="minorHAnsi"/>
          <w:color w:val="000000"/>
          <w:sz w:val="22"/>
          <w:szCs w:val="22"/>
        </w:rPr>
      </w:pPr>
      <w:r w:rsidRPr="00C95105">
        <w:rPr>
          <w:rFonts w:asciiTheme="minorHAnsi" w:hAnsiTheme="minorHAnsi" w:cstheme="minorHAnsi"/>
          <w:color w:val="000000" w:themeColor="text1"/>
          <w:sz w:val="22"/>
          <w:szCs w:val="22"/>
        </w:rPr>
        <w:t>Also, p</w:t>
      </w:r>
      <w:r w:rsidR="6A3451B8" w:rsidRPr="00C95105">
        <w:rPr>
          <w:rFonts w:asciiTheme="minorHAnsi" w:hAnsiTheme="minorHAnsi" w:cstheme="minorHAnsi"/>
          <w:color w:val="000000" w:themeColor="text1"/>
          <w:sz w:val="22"/>
          <w:szCs w:val="22"/>
        </w:rPr>
        <w:t xml:space="preserve">revious research has shown that the use of </w:t>
      </w:r>
      <w:r w:rsidR="6A3451B8" w:rsidRPr="00C95105">
        <w:rPr>
          <w:rFonts w:asciiTheme="minorHAnsi" w:hAnsiTheme="minorHAnsi" w:cstheme="minorHAnsi"/>
          <w:i/>
          <w:iCs/>
          <w:color w:val="000000" w:themeColor="text1"/>
          <w:sz w:val="22"/>
          <w:szCs w:val="22"/>
        </w:rPr>
        <w:t>reporting requirements, targets and quotas</w:t>
      </w:r>
      <w:r w:rsidR="6A3451B8" w:rsidRPr="00C95105">
        <w:rPr>
          <w:rFonts w:asciiTheme="minorHAnsi" w:hAnsiTheme="minorHAnsi" w:cstheme="minorHAnsi"/>
          <w:color w:val="000000" w:themeColor="text1"/>
          <w:sz w:val="22"/>
          <w:szCs w:val="22"/>
        </w:rPr>
        <w:t xml:space="preserve"> for members of underrepresented groups </w:t>
      </w:r>
      <w:r w:rsidR="036C4552" w:rsidRPr="00C95105">
        <w:rPr>
          <w:rFonts w:asciiTheme="minorHAnsi" w:hAnsiTheme="minorHAnsi" w:cstheme="minorHAnsi"/>
          <w:color w:val="000000" w:themeColor="text1"/>
          <w:sz w:val="22"/>
          <w:szCs w:val="22"/>
        </w:rPr>
        <w:t xml:space="preserve">at work </w:t>
      </w:r>
      <w:r w:rsidR="6A3451B8" w:rsidRPr="00C95105">
        <w:rPr>
          <w:rFonts w:asciiTheme="minorHAnsi" w:hAnsiTheme="minorHAnsi" w:cstheme="minorHAnsi"/>
          <w:color w:val="000000" w:themeColor="text1"/>
          <w:sz w:val="22"/>
          <w:szCs w:val="22"/>
        </w:rPr>
        <w:t xml:space="preserve">can be effective at </w:t>
      </w:r>
      <w:r w:rsidR="036C4552" w:rsidRPr="00C95105">
        <w:rPr>
          <w:rFonts w:asciiTheme="minorHAnsi" w:hAnsiTheme="minorHAnsi" w:cstheme="minorHAnsi"/>
          <w:color w:val="000000" w:themeColor="text1"/>
          <w:sz w:val="22"/>
          <w:szCs w:val="22"/>
        </w:rPr>
        <w:t>increasing their representation (</w:t>
      </w:r>
      <w:r w:rsidR="3F0206B0" w:rsidRPr="00C95105">
        <w:rPr>
          <w:rFonts w:asciiTheme="minorHAnsi" w:hAnsiTheme="minorHAnsi" w:cstheme="minorHAnsi"/>
          <w:color w:val="000000" w:themeColor="text1"/>
          <w:sz w:val="22"/>
          <w:szCs w:val="22"/>
        </w:rPr>
        <w:t xml:space="preserve">Knight, 2017; </w:t>
      </w:r>
      <w:r w:rsidR="036C4552" w:rsidRPr="00C95105">
        <w:rPr>
          <w:rFonts w:asciiTheme="minorHAnsi" w:hAnsiTheme="minorHAnsi" w:cstheme="minorHAnsi"/>
          <w:color w:val="000000" w:themeColor="text1"/>
          <w:sz w:val="22"/>
          <w:szCs w:val="22"/>
        </w:rPr>
        <w:t xml:space="preserve">Sojo et al., 2016). </w:t>
      </w:r>
      <w:r w:rsidR="3F0206B0" w:rsidRPr="00C95105">
        <w:rPr>
          <w:rFonts w:asciiTheme="minorHAnsi" w:hAnsiTheme="minorHAnsi" w:cstheme="minorHAnsi"/>
          <w:color w:val="000000" w:themeColor="text1"/>
          <w:sz w:val="22"/>
          <w:szCs w:val="22"/>
        </w:rPr>
        <w:t>Diversity reporting requirements help make evident the representation gaps</w:t>
      </w:r>
      <w:r w:rsidR="7F4A664B" w:rsidRPr="00C95105">
        <w:rPr>
          <w:rFonts w:asciiTheme="minorHAnsi" w:hAnsiTheme="minorHAnsi" w:cstheme="minorHAnsi"/>
          <w:color w:val="000000" w:themeColor="text1"/>
          <w:sz w:val="22"/>
          <w:szCs w:val="22"/>
        </w:rPr>
        <w:t>. T</w:t>
      </w:r>
      <w:r w:rsidR="0D0FBD95" w:rsidRPr="00C95105">
        <w:rPr>
          <w:rFonts w:asciiTheme="minorHAnsi" w:hAnsiTheme="minorHAnsi" w:cstheme="minorHAnsi"/>
          <w:color w:val="000000" w:themeColor="text1"/>
          <w:sz w:val="22"/>
          <w:szCs w:val="22"/>
        </w:rPr>
        <w:t xml:space="preserve">argets and quotas help to focus attention on priority areas and motivate leaders to develop strategies to meet the targets. Importantly, previous research indicates that </w:t>
      </w:r>
      <w:r w:rsidR="49DB2437" w:rsidRPr="00C95105">
        <w:rPr>
          <w:rFonts w:asciiTheme="minorHAnsi" w:hAnsiTheme="minorHAnsi" w:cstheme="minorHAnsi"/>
          <w:color w:val="000000" w:themeColor="text1"/>
          <w:sz w:val="22"/>
          <w:szCs w:val="22"/>
        </w:rPr>
        <w:t>the use of targets and quotas can help change prejudiced attitudes in the long term</w:t>
      </w:r>
      <w:r w:rsidR="26801297" w:rsidRPr="00C95105">
        <w:rPr>
          <w:rFonts w:asciiTheme="minorHAnsi" w:hAnsiTheme="minorHAnsi" w:cstheme="minorHAnsi"/>
          <w:color w:val="000000" w:themeColor="text1"/>
          <w:sz w:val="22"/>
          <w:szCs w:val="22"/>
        </w:rPr>
        <w:t>,</w:t>
      </w:r>
      <w:r w:rsidR="49DB2437" w:rsidRPr="00C95105">
        <w:rPr>
          <w:rFonts w:asciiTheme="minorHAnsi" w:hAnsiTheme="minorHAnsi" w:cstheme="minorHAnsi"/>
          <w:color w:val="000000" w:themeColor="text1"/>
          <w:sz w:val="22"/>
          <w:szCs w:val="22"/>
        </w:rPr>
        <w:t xml:space="preserve"> </w:t>
      </w:r>
      <w:r w:rsidR="7D9ADDCC" w:rsidRPr="00C95105">
        <w:rPr>
          <w:rFonts w:asciiTheme="minorHAnsi" w:hAnsiTheme="minorHAnsi" w:cstheme="minorHAnsi"/>
          <w:color w:val="000000" w:themeColor="text1"/>
          <w:sz w:val="22"/>
          <w:szCs w:val="22"/>
        </w:rPr>
        <w:t xml:space="preserve">once </w:t>
      </w:r>
      <w:r w:rsidR="315148AA" w:rsidRPr="00C95105">
        <w:rPr>
          <w:rFonts w:asciiTheme="minorHAnsi" w:hAnsiTheme="minorHAnsi" w:cstheme="minorHAnsi"/>
          <w:color w:val="000000" w:themeColor="text1"/>
          <w:sz w:val="22"/>
          <w:szCs w:val="22"/>
        </w:rPr>
        <w:t>peers</w:t>
      </w:r>
      <w:r w:rsidR="7D9ADDCC" w:rsidRPr="00C95105">
        <w:rPr>
          <w:rFonts w:asciiTheme="minorHAnsi" w:hAnsiTheme="minorHAnsi" w:cstheme="minorHAnsi"/>
          <w:color w:val="000000" w:themeColor="text1"/>
          <w:sz w:val="22"/>
          <w:szCs w:val="22"/>
        </w:rPr>
        <w:t xml:space="preserve"> get used to higher representation of minority groups and </w:t>
      </w:r>
      <w:r w:rsidR="1B214FB6" w:rsidRPr="00C95105">
        <w:rPr>
          <w:rFonts w:asciiTheme="minorHAnsi" w:hAnsiTheme="minorHAnsi" w:cstheme="minorHAnsi"/>
          <w:color w:val="000000" w:themeColor="text1"/>
          <w:sz w:val="22"/>
          <w:szCs w:val="22"/>
        </w:rPr>
        <w:t>realise</w:t>
      </w:r>
      <w:r w:rsidR="7D9ADDCC" w:rsidRPr="00C95105">
        <w:rPr>
          <w:rFonts w:asciiTheme="minorHAnsi" w:hAnsiTheme="minorHAnsi" w:cstheme="minorHAnsi"/>
          <w:color w:val="000000" w:themeColor="text1"/>
          <w:sz w:val="22"/>
          <w:szCs w:val="22"/>
        </w:rPr>
        <w:t xml:space="preserve"> the</w:t>
      </w:r>
      <w:r w:rsidR="26801297" w:rsidRPr="00C95105">
        <w:rPr>
          <w:rFonts w:asciiTheme="minorHAnsi" w:hAnsiTheme="minorHAnsi" w:cstheme="minorHAnsi"/>
          <w:color w:val="000000" w:themeColor="text1"/>
          <w:sz w:val="22"/>
          <w:szCs w:val="22"/>
        </w:rPr>
        <w:t xml:space="preserve">se </w:t>
      </w:r>
      <w:r w:rsidR="315148AA" w:rsidRPr="00C95105">
        <w:rPr>
          <w:rFonts w:asciiTheme="minorHAnsi" w:hAnsiTheme="minorHAnsi" w:cstheme="minorHAnsi"/>
          <w:color w:val="000000" w:themeColor="text1"/>
          <w:sz w:val="22"/>
          <w:szCs w:val="22"/>
        </w:rPr>
        <w:t>individuals</w:t>
      </w:r>
      <w:r w:rsidR="7D9ADDCC" w:rsidRPr="00C95105">
        <w:rPr>
          <w:rFonts w:asciiTheme="minorHAnsi" w:hAnsiTheme="minorHAnsi" w:cstheme="minorHAnsi"/>
          <w:color w:val="000000" w:themeColor="text1"/>
          <w:sz w:val="22"/>
          <w:szCs w:val="22"/>
        </w:rPr>
        <w:t xml:space="preserve"> are just as competent </w:t>
      </w:r>
      <w:r w:rsidR="315148AA" w:rsidRPr="00C95105">
        <w:rPr>
          <w:rFonts w:asciiTheme="minorHAnsi" w:hAnsiTheme="minorHAnsi" w:cstheme="minorHAnsi"/>
          <w:color w:val="000000" w:themeColor="text1"/>
          <w:sz w:val="22"/>
          <w:szCs w:val="22"/>
        </w:rPr>
        <w:t>as members of dominant groups</w:t>
      </w:r>
      <w:r w:rsidR="7D9ADDCC" w:rsidRPr="00C95105">
        <w:rPr>
          <w:rFonts w:asciiTheme="minorHAnsi" w:hAnsiTheme="minorHAnsi" w:cstheme="minorHAnsi"/>
          <w:color w:val="000000" w:themeColor="text1"/>
          <w:sz w:val="22"/>
          <w:szCs w:val="22"/>
        </w:rPr>
        <w:t xml:space="preserve"> (</w:t>
      </w:r>
      <w:r w:rsidR="081F682F" w:rsidRPr="00C95105">
        <w:rPr>
          <w:rFonts w:asciiTheme="minorHAnsi" w:hAnsiTheme="minorHAnsi" w:cstheme="minorHAnsi"/>
          <w:color w:val="000000" w:themeColor="text1"/>
          <w:sz w:val="22"/>
          <w:szCs w:val="22"/>
        </w:rPr>
        <w:t xml:space="preserve">Eagly &amp; Koenig, 2021; </w:t>
      </w:r>
      <w:r w:rsidR="7916ABEB" w:rsidRPr="00C95105">
        <w:rPr>
          <w:rFonts w:asciiTheme="minorHAnsi" w:hAnsiTheme="minorHAnsi" w:cstheme="minorHAnsi"/>
          <w:color w:val="000000" w:themeColor="text1"/>
          <w:sz w:val="22"/>
          <w:szCs w:val="22"/>
        </w:rPr>
        <w:t>Levine &amp; Ancheta, 2013</w:t>
      </w:r>
      <w:r w:rsidR="357D5771" w:rsidRPr="00C95105">
        <w:rPr>
          <w:rFonts w:asciiTheme="minorHAnsi" w:hAnsiTheme="minorHAnsi" w:cstheme="minorHAnsi"/>
          <w:color w:val="000000" w:themeColor="text1"/>
          <w:sz w:val="22"/>
          <w:szCs w:val="22"/>
        </w:rPr>
        <w:t xml:space="preserve">; </w:t>
      </w:r>
      <w:r w:rsidR="48A27F3C" w:rsidRPr="00C95105">
        <w:rPr>
          <w:rFonts w:asciiTheme="minorHAnsi" w:hAnsiTheme="minorHAnsi" w:cstheme="minorHAnsi"/>
          <w:color w:val="000000" w:themeColor="text1"/>
          <w:sz w:val="22"/>
          <w:szCs w:val="22"/>
        </w:rPr>
        <w:t>Murray, 2010</w:t>
      </w:r>
      <w:r w:rsidR="7D9ADDCC" w:rsidRPr="00C95105">
        <w:rPr>
          <w:rFonts w:asciiTheme="minorHAnsi" w:hAnsiTheme="minorHAnsi" w:cstheme="minorHAnsi"/>
          <w:color w:val="000000" w:themeColor="text1"/>
          <w:sz w:val="22"/>
          <w:szCs w:val="22"/>
        </w:rPr>
        <w:t xml:space="preserve">). </w:t>
      </w:r>
    </w:p>
    <w:p w14:paraId="6214B4F4" w14:textId="5A8AFD20" w:rsidR="002B3CF4" w:rsidRPr="00C95105" w:rsidRDefault="00B775F8" w:rsidP="0093280F">
      <w:pPr>
        <w:pStyle w:val="Heading2"/>
        <w:numPr>
          <w:ilvl w:val="1"/>
          <w:numId w:val="8"/>
        </w:numPr>
        <w:spacing w:before="0" w:after="120"/>
        <w:ind w:left="426" w:hanging="426"/>
        <w:rPr>
          <w:rFonts w:asciiTheme="minorHAnsi" w:hAnsiTheme="minorHAnsi" w:cstheme="minorHAnsi"/>
          <w:b/>
          <w:bCs/>
        </w:rPr>
      </w:pPr>
      <w:bookmarkStart w:id="137" w:name="_Toc96957680"/>
      <w:r w:rsidRPr="00C95105">
        <w:rPr>
          <w:rFonts w:asciiTheme="minorHAnsi" w:hAnsiTheme="minorHAnsi" w:cstheme="minorHAnsi"/>
          <w:b/>
          <w:bCs/>
        </w:rPr>
        <w:lastRenderedPageBreak/>
        <w:t>Conclusions</w:t>
      </w:r>
      <w:bookmarkEnd w:id="137"/>
    </w:p>
    <w:p w14:paraId="4CFBA9D5" w14:textId="6565F081" w:rsidR="00B775F8" w:rsidRPr="00C95105" w:rsidRDefault="00FA2AEA" w:rsidP="00F365F0">
      <w:pPr>
        <w:spacing w:after="120"/>
        <w:ind w:firstLine="567"/>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The current systematic review has shown that AAP can be an effective tool to get more female candidates to </w:t>
      </w:r>
      <w:r w:rsidR="00FF5757" w:rsidRPr="00C95105">
        <w:rPr>
          <w:rFonts w:asciiTheme="minorHAnsi" w:hAnsiTheme="minorHAnsi" w:cstheme="minorHAnsi"/>
          <w:color w:val="000000"/>
          <w:sz w:val="22"/>
          <w:szCs w:val="22"/>
        </w:rPr>
        <w:t xml:space="preserve">be selected for interviews and get a job offer. The evidence for ethnic minorities and other visible minorities </w:t>
      </w:r>
      <w:r w:rsidR="00F44B54" w:rsidRPr="00C95105">
        <w:rPr>
          <w:rFonts w:asciiTheme="minorHAnsi" w:hAnsiTheme="minorHAnsi" w:cstheme="minorHAnsi"/>
          <w:color w:val="000000"/>
          <w:sz w:val="22"/>
          <w:szCs w:val="22"/>
        </w:rPr>
        <w:t>indicates</w:t>
      </w:r>
      <w:r w:rsidR="00543F34" w:rsidRPr="00C95105">
        <w:rPr>
          <w:rFonts w:asciiTheme="minorHAnsi" w:hAnsiTheme="minorHAnsi" w:cstheme="minorHAnsi"/>
          <w:color w:val="000000"/>
          <w:sz w:val="22"/>
          <w:szCs w:val="22"/>
        </w:rPr>
        <w:t xml:space="preserve"> this positive effect might last only until the candidates get to interview stage and they are re-identified. </w:t>
      </w:r>
      <w:r w:rsidR="00F44B54" w:rsidRPr="00C95105">
        <w:rPr>
          <w:rFonts w:asciiTheme="minorHAnsi" w:hAnsiTheme="minorHAnsi" w:cstheme="minorHAnsi"/>
          <w:color w:val="000000"/>
          <w:sz w:val="22"/>
          <w:szCs w:val="22"/>
        </w:rPr>
        <w:t xml:space="preserve">Importantly, AAP appears to be most cost-effective when there </w:t>
      </w:r>
      <w:r w:rsidR="004C09CF" w:rsidRPr="00C95105">
        <w:rPr>
          <w:rFonts w:asciiTheme="minorHAnsi" w:hAnsiTheme="minorHAnsi" w:cstheme="minorHAnsi"/>
          <w:color w:val="000000"/>
          <w:sz w:val="22"/>
          <w:szCs w:val="22"/>
        </w:rPr>
        <w:t xml:space="preserve">are large numbers of job-ready candidates from the specific underrepresented group, </w:t>
      </w:r>
      <w:r w:rsidR="00184C1B" w:rsidRPr="00C95105">
        <w:rPr>
          <w:rFonts w:asciiTheme="minorHAnsi" w:hAnsiTheme="minorHAnsi" w:cstheme="minorHAnsi"/>
          <w:color w:val="000000"/>
          <w:sz w:val="22"/>
          <w:szCs w:val="22"/>
        </w:rPr>
        <w:t xml:space="preserve">there </w:t>
      </w:r>
      <w:r w:rsidR="00F44B54" w:rsidRPr="00C95105">
        <w:rPr>
          <w:rFonts w:asciiTheme="minorHAnsi" w:hAnsiTheme="minorHAnsi" w:cstheme="minorHAnsi"/>
          <w:color w:val="000000"/>
          <w:sz w:val="22"/>
          <w:szCs w:val="22"/>
        </w:rPr>
        <w:t xml:space="preserve">is evidence of </w:t>
      </w:r>
      <w:r w:rsidR="004C09CF" w:rsidRPr="00C95105">
        <w:rPr>
          <w:rFonts w:asciiTheme="minorHAnsi" w:hAnsiTheme="minorHAnsi" w:cstheme="minorHAnsi"/>
          <w:color w:val="000000"/>
          <w:sz w:val="22"/>
          <w:szCs w:val="22"/>
        </w:rPr>
        <w:t>discrimination in recruitment and selection</w:t>
      </w:r>
      <w:r w:rsidR="00184C1B" w:rsidRPr="00C95105">
        <w:rPr>
          <w:rFonts w:asciiTheme="minorHAnsi" w:hAnsiTheme="minorHAnsi" w:cstheme="minorHAnsi"/>
          <w:color w:val="000000"/>
          <w:sz w:val="22"/>
          <w:szCs w:val="22"/>
        </w:rPr>
        <w:t xml:space="preserve"> towards these groups</w:t>
      </w:r>
      <w:r w:rsidR="004C09CF" w:rsidRPr="00C95105">
        <w:rPr>
          <w:rFonts w:asciiTheme="minorHAnsi" w:hAnsiTheme="minorHAnsi" w:cstheme="minorHAnsi"/>
          <w:color w:val="000000"/>
          <w:sz w:val="22"/>
          <w:szCs w:val="22"/>
        </w:rPr>
        <w:t xml:space="preserve">, </w:t>
      </w:r>
      <w:r w:rsidR="00184C1B" w:rsidRPr="00C95105">
        <w:rPr>
          <w:rFonts w:asciiTheme="minorHAnsi" w:hAnsiTheme="minorHAnsi" w:cstheme="minorHAnsi"/>
          <w:color w:val="000000"/>
          <w:sz w:val="22"/>
          <w:szCs w:val="22"/>
        </w:rPr>
        <w:t xml:space="preserve">and the organisation is doing a </w:t>
      </w:r>
      <w:r w:rsidR="00F44B54" w:rsidRPr="00C95105">
        <w:rPr>
          <w:rFonts w:asciiTheme="minorHAnsi" w:hAnsiTheme="minorHAnsi" w:cstheme="minorHAnsi"/>
          <w:color w:val="000000"/>
          <w:sz w:val="22"/>
          <w:szCs w:val="22"/>
        </w:rPr>
        <w:t xml:space="preserve">large recruitment </w:t>
      </w:r>
      <w:r w:rsidR="004C09CF" w:rsidRPr="00C95105">
        <w:rPr>
          <w:rFonts w:asciiTheme="minorHAnsi" w:hAnsiTheme="minorHAnsi" w:cstheme="minorHAnsi"/>
          <w:color w:val="000000"/>
          <w:sz w:val="22"/>
          <w:szCs w:val="22"/>
        </w:rPr>
        <w:t>campaign</w:t>
      </w:r>
      <w:r w:rsidR="00184C1B" w:rsidRPr="00C95105">
        <w:rPr>
          <w:rFonts w:asciiTheme="minorHAnsi" w:hAnsiTheme="minorHAnsi" w:cstheme="minorHAnsi"/>
          <w:color w:val="000000"/>
          <w:sz w:val="22"/>
          <w:szCs w:val="22"/>
        </w:rPr>
        <w:t xml:space="preserve">. </w:t>
      </w:r>
      <w:r w:rsidR="00C461C8" w:rsidRPr="00C95105">
        <w:rPr>
          <w:rFonts w:asciiTheme="minorHAnsi" w:hAnsiTheme="minorHAnsi" w:cstheme="minorHAnsi"/>
          <w:color w:val="000000"/>
          <w:sz w:val="22"/>
          <w:szCs w:val="22"/>
        </w:rPr>
        <w:t>Nevertheless, there is no silver bullet to eradicate discrimination in recruitment and selection processes. Organisations should think about the whole employment lifecycle of their work</w:t>
      </w:r>
      <w:r w:rsidR="004729D0" w:rsidRPr="00C95105">
        <w:rPr>
          <w:rFonts w:asciiTheme="minorHAnsi" w:hAnsiTheme="minorHAnsi" w:cstheme="minorHAnsi"/>
          <w:color w:val="000000"/>
          <w:sz w:val="22"/>
          <w:szCs w:val="22"/>
        </w:rPr>
        <w:t xml:space="preserve">ers and create a comprehensive system of support to enhance both substantive representation and a sense of inclusion at work among women and </w:t>
      </w:r>
      <w:r w:rsidR="00D14E13" w:rsidRPr="00C95105">
        <w:rPr>
          <w:rFonts w:asciiTheme="minorHAnsi" w:hAnsiTheme="minorHAnsi" w:cstheme="minorHAnsi"/>
          <w:color w:val="000000"/>
          <w:sz w:val="22"/>
          <w:szCs w:val="22"/>
        </w:rPr>
        <w:t>minority groups.</w:t>
      </w:r>
    </w:p>
    <w:p w14:paraId="337DC6C0" w14:textId="77777777" w:rsidR="00FF5757" w:rsidRPr="00C95105" w:rsidRDefault="00FF5757" w:rsidP="005D5F97">
      <w:pPr>
        <w:spacing w:after="120"/>
        <w:ind w:firstLine="720"/>
        <w:rPr>
          <w:rFonts w:asciiTheme="minorHAnsi" w:hAnsiTheme="minorHAnsi" w:cstheme="minorHAnsi"/>
          <w:color w:val="000000"/>
          <w:sz w:val="22"/>
          <w:szCs w:val="22"/>
        </w:rPr>
      </w:pPr>
    </w:p>
    <w:p w14:paraId="2730D957" w14:textId="2E2A8312" w:rsidR="00D43CF8" w:rsidRPr="00C95105" w:rsidRDefault="00DB3EC9" w:rsidP="0093280F">
      <w:pPr>
        <w:pStyle w:val="Heading2"/>
        <w:numPr>
          <w:ilvl w:val="1"/>
          <w:numId w:val="8"/>
        </w:numPr>
        <w:spacing w:before="0" w:after="120"/>
        <w:ind w:left="426" w:hanging="426"/>
        <w:rPr>
          <w:rFonts w:asciiTheme="minorHAnsi" w:hAnsiTheme="minorHAnsi" w:cstheme="minorHAnsi"/>
          <w:b/>
          <w:bCs/>
        </w:rPr>
      </w:pPr>
      <w:bookmarkStart w:id="138" w:name="_Toc96957681"/>
      <w:r w:rsidRPr="00C95105">
        <w:rPr>
          <w:rFonts w:asciiTheme="minorHAnsi" w:hAnsiTheme="minorHAnsi" w:cstheme="minorHAnsi"/>
          <w:b/>
          <w:bCs/>
        </w:rPr>
        <w:t xml:space="preserve">Cited </w:t>
      </w:r>
      <w:r w:rsidR="00D43CF8" w:rsidRPr="00C95105">
        <w:rPr>
          <w:rFonts w:asciiTheme="minorHAnsi" w:hAnsiTheme="minorHAnsi" w:cstheme="minorHAnsi"/>
          <w:b/>
          <w:bCs/>
        </w:rPr>
        <w:t>References</w:t>
      </w:r>
      <w:bookmarkEnd w:id="138"/>
    </w:p>
    <w:p w14:paraId="10A075F2"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Adamovic, M. (2020). Analyzing discrimination in recruitment: A guide and best practices for resume studies. </w:t>
      </w:r>
      <w:r w:rsidRPr="00C95105">
        <w:rPr>
          <w:rFonts w:asciiTheme="minorHAnsi" w:hAnsiTheme="minorHAnsi" w:cstheme="minorHAnsi"/>
          <w:i/>
          <w:iCs/>
          <w:sz w:val="22"/>
          <w:szCs w:val="22"/>
        </w:rPr>
        <w:t>International Journal of Selection and Assessment, 28</w:t>
      </w:r>
      <w:r w:rsidRPr="00C95105">
        <w:rPr>
          <w:rFonts w:asciiTheme="minorHAnsi" w:hAnsiTheme="minorHAnsi" w:cstheme="minorHAnsi"/>
          <w:sz w:val="22"/>
          <w:szCs w:val="22"/>
        </w:rPr>
        <w:t>(4), 445-464. doi:10.1111/ijsa.12298</w:t>
      </w:r>
    </w:p>
    <w:p w14:paraId="76D97397"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Adamovic, M. (2021). When ethnic discrimination in recruitment is likely to occur and how to reduce it: Applying a contingency perspective to review resume studies. Human Resource Management Review, 100832. </w:t>
      </w:r>
      <w:hyperlink r:id="rId33">
        <w:r w:rsidRPr="00C95105">
          <w:rPr>
            <w:rFonts w:asciiTheme="minorHAnsi" w:hAnsiTheme="minorHAnsi" w:cstheme="minorHAnsi"/>
            <w:sz w:val="22"/>
            <w:szCs w:val="22"/>
          </w:rPr>
          <w:t>doi:10.1016/j.hrmr.2021.100832</w:t>
        </w:r>
      </w:hyperlink>
    </w:p>
    <w:p w14:paraId="0F346E48" w14:textId="124CE5BD"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Bohnet, I. (2016). How to take the bias out of interviews. </w:t>
      </w:r>
      <w:r w:rsidRPr="00C95105">
        <w:rPr>
          <w:rFonts w:asciiTheme="minorHAnsi" w:hAnsiTheme="minorHAnsi" w:cstheme="minorHAnsi"/>
          <w:i/>
          <w:iCs/>
          <w:sz w:val="22"/>
          <w:szCs w:val="22"/>
        </w:rPr>
        <w:t>Harvard Business Review Digital Articles</w:t>
      </w:r>
      <w:r w:rsidRPr="00C95105">
        <w:rPr>
          <w:rFonts w:asciiTheme="minorHAnsi" w:hAnsiTheme="minorHAnsi" w:cstheme="minorHAnsi"/>
          <w:sz w:val="22"/>
          <w:szCs w:val="22"/>
        </w:rPr>
        <w:t>, 2–5.</w:t>
      </w:r>
      <w:r w:rsidR="004011EB" w:rsidRPr="00C95105">
        <w:rPr>
          <w:rFonts w:asciiTheme="minorHAnsi" w:hAnsiTheme="minorHAnsi" w:cstheme="minorHAnsi"/>
          <w:sz w:val="22"/>
          <w:szCs w:val="22"/>
        </w:rPr>
        <w:t xml:space="preserve"> </w:t>
      </w:r>
    </w:p>
    <w:p w14:paraId="69776E89"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Borenstein, M., Hedges, L., Higgins, J., &amp; Rothstein, H. (2009). </w:t>
      </w:r>
      <w:r w:rsidRPr="00C95105">
        <w:rPr>
          <w:rFonts w:asciiTheme="minorHAnsi" w:hAnsiTheme="minorHAnsi" w:cstheme="minorHAnsi"/>
          <w:i/>
          <w:iCs/>
          <w:sz w:val="22"/>
          <w:szCs w:val="22"/>
        </w:rPr>
        <w:t>Introduction to meta-analysis.</w:t>
      </w:r>
      <w:r w:rsidRPr="00C95105">
        <w:rPr>
          <w:rFonts w:asciiTheme="minorHAnsi" w:hAnsiTheme="minorHAnsi" w:cstheme="minorHAnsi"/>
          <w:sz w:val="22"/>
          <w:szCs w:val="22"/>
        </w:rPr>
        <w:t xml:space="preserve"> West Sussex, England: JohnWiley. doi:10.1002/9780470743386.refs</w:t>
      </w:r>
    </w:p>
    <w:p w14:paraId="25D86852"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Cooney-O'Donoghue, D., Adamovic, M., &amp; Sojo, V. (2021). Exploring the impacts of the COVID-19 crisis for the employment prospects of refugees and people seeking asylum in Australia. </w:t>
      </w:r>
      <w:r w:rsidRPr="00C95105">
        <w:rPr>
          <w:rFonts w:asciiTheme="minorHAnsi" w:hAnsiTheme="minorHAnsi" w:cstheme="minorHAnsi"/>
          <w:i/>
          <w:iCs/>
          <w:sz w:val="22"/>
          <w:szCs w:val="22"/>
        </w:rPr>
        <w:t>Australian Journal of Social Issues. 00</w:t>
      </w:r>
      <w:r w:rsidRPr="00C95105">
        <w:rPr>
          <w:rFonts w:asciiTheme="minorHAnsi" w:hAnsiTheme="minorHAnsi" w:cstheme="minorHAnsi"/>
          <w:sz w:val="22"/>
          <w:szCs w:val="22"/>
        </w:rPr>
        <w:t>, 1– 23. doi: 10.1002/ajs4.177</w:t>
      </w:r>
    </w:p>
    <w:p w14:paraId="7A26D080"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Cooper, H., Hedges, L. V., &amp; Valentine, J. C. (Eds.). (2009). </w:t>
      </w:r>
      <w:r w:rsidRPr="00C95105">
        <w:rPr>
          <w:rFonts w:asciiTheme="minorHAnsi" w:hAnsiTheme="minorHAnsi" w:cstheme="minorHAnsi"/>
          <w:i/>
          <w:iCs/>
          <w:sz w:val="22"/>
          <w:szCs w:val="22"/>
        </w:rPr>
        <w:t>Handbook of Research Synthesis and Meta-Analysis</w:t>
      </w:r>
      <w:r w:rsidRPr="00C95105">
        <w:rPr>
          <w:rFonts w:asciiTheme="minorHAnsi" w:hAnsiTheme="minorHAnsi" w:cstheme="minorHAnsi"/>
          <w:sz w:val="22"/>
          <w:szCs w:val="22"/>
        </w:rPr>
        <w:t xml:space="preserve">. New York: The Russell Sage Foundation. </w:t>
      </w:r>
      <w:hyperlink r:id="rId34" w:history="1">
        <w:r w:rsidRPr="00C95105">
          <w:rPr>
            <w:rFonts w:asciiTheme="minorHAnsi" w:hAnsiTheme="minorHAnsi" w:cstheme="minorHAnsi"/>
            <w:sz w:val="22"/>
            <w:szCs w:val="22"/>
          </w:rPr>
          <w:t>doi: 10.7758/9781610441384</w:t>
        </w:r>
      </w:hyperlink>
    </w:p>
    <w:p w14:paraId="3E19BFFA"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Dunlea, J., Sojo, V., Thiel, J., &amp; Westbrook, G. (2015). </w:t>
      </w:r>
      <w:r w:rsidRPr="00C95105">
        <w:rPr>
          <w:rFonts w:asciiTheme="minorHAnsi" w:hAnsiTheme="minorHAnsi" w:cstheme="minorHAnsi"/>
          <w:i/>
          <w:iCs/>
          <w:sz w:val="22"/>
          <w:szCs w:val="22"/>
        </w:rPr>
        <w:t>Developing female leaders: Addressing gender bias in global mobility</w:t>
      </w:r>
      <w:r w:rsidRPr="00C95105">
        <w:rPr>
          <w:rFonts w:asciiTheme="minorHAnsi" w:hAnsiTheme="minorHAnsi" w:cstheme="minorHAnsi"/>
          <w:sz w:val="22"/>
          <w:szCs w:val="22"/>
        </w:rPr>
        <w:t>. Melbourne: PwC Australia and Centre for Ethical Leadership. doi: 10.13140/RG.2.1.3284.1766</w:t>
      </w:r>
    </w:p>
    <w:p w14:paraId="40664D03" w14:textId="58F2AB3D" w:rsidR="00742070" w:rsidRPr="00C95105" w:rsidRDefault="00742070"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Eagly, A. H., &amp; Koenig, A. M. (2021). The Vicious Cycle Linking Stereotypes and Social Roles. </w:t>
      </w:r>
      <w:r w:rsidRPr="00C95105">
        <w:rPr>
          <w:rFonts w:asciiTheme="minorHAnsi" w:hAnsiTheme="minorHAnsi" w:cstheme="minorHAnsi"/>
          <w:i/>
          <w:iCs/>
          <w:sz w:val="22"/>
          <w:szCs w:val="22"/>
        </w:rPr>
        <w:t>Current Directions in Psychological Science, 30</w:t>
      </w:r>
      <w:r w:rsidRPr="00C95105">
        <w:rPr>
          <w:rFonts w:asciiTheme="minorHAnsi" w:hAnsiTheme="minorHAnsi" w:cstheme="minorHAnsi"/>
          <w:sz w:val="22"/>
          <w:szCs w:val="22"/>
        </w:rPr>
        <w:t xml:space="preserve">(4), 343–350. </w:t>
      </w:r>
      <w:hyperlink r:id="rId35" w:history="1">
        <w:r w:rsidRPr="00C95105">
          <w:rPr>
            <w:rStyle w:val="Hyperlink"/>
            <w:rFonts w:asciiTheme="minorHAnsi" w:hAnsiTheme="minorHAnsi" w:cstheme="minorHAnsi"/>
            <w:sz w:val="22"/>
            <w:szCs w:val="22"/>
          </w:rPr>
          <w:t>https://doi.org/10.1177/09637214211013775</w:t>
        </w:r>
      </w:hyperlink>
    </w:p>
    <w:p w14:paraId="7CE6AEDC" w14:textId="732A7F65"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Evans, J. S. B. T., &amp; Stanovich, K. E. (2013). Dual-Process Theories of Higher Cognition: Advancing the Debate. </w:t>
      </w:r>
      <w:r w:rsidRPr="00C95105">
        <w:rPr>
          <w:rFonts w:asciiTheme="minorHAnsi" w:hAnsiTheme="minorHAnsi" w:cstheme="minorHAnsi"/>
          <w:i/>
          <w:iCs/>
          <w:sz w:val="22"/>
          <w:szCs w:val="22"/>
        </w:rPr>
        <w:t>Perspectives on Psychological Science, 8</w:t>
      </w:r>
      <w:r w:rsidRPr="00C95105">
        <w:rPr>
          <w:rFonts w:asciiTheme="minorHAnsi" w:hAnsiTheme="minorHAnsi" w:cstheme="minorHAnsi"/>
          <w:sz w:val="22"/>
          <w:szCs w:val="22"/>
        </w:rPr>
        <w:t>(3), 223–241. doi:10.1177/1745691612460685</w:t>
      </w:r>
    </w:p>
    <w:p w14:paraId="38CF3458" w14:textId="77777777" w:rsidR="00913221" w:rsidRPr="00C95105" w:rsidRDefault="00913221" w:rsidP="005D5F97">
      <w:pPr>
        <w:spacing w:after="120"/>
        <w:ind w:left="720" w:hanging="720"/>
        <w:rPr>
          <w:rFonts w:asciiTheme="minorHAnsi" w:hAnsiTheme="minorHAnsi" w:cstheme="minorHAnsi"/>
          <w:sz w:val="22"/>
          <w:szCs w:val="22"/>
        </w:rPr>
      </w:pPr>
      <w:r w:rsidRPr="00C95105">
        <w:rPr>
          <w:rFonts w:asciiTheme="minorHAnsi" w:eastAsia="Calibri" w:hAnsiTheme="minorHAnsi" w:cstheme="minorHAnsi"/>
          <w:sz w:val="22"/>
          <w:szCs w:val="22"/>
        </w:rPr>
        <w:t xml:space="preserve">Foster Curtis, E., &amp; Dreachslin, J. L. (2008). Integrative literature review: Diversity management interventions and organizational performance: A synthesis of current literature. </w:t>
      </w:r>
      <w:r w:rsidRPr="00C95105">
        <w:rPr>
          <w:rFonts w:asciiTheme="minorHAnsi" w:eastAsia="Calibri" w:hAnsiTheme="minorHAnsi" w:cstheme="minorHAnsi"/>
          <w:i/>
          <w:iCs/>
          <w:sz w:val="22"/>
          <w:szCs w:val="22"/>
        </w:rPr>
        <w:t>Human Resource Development Review</w:t>
      </w:r>
      <w:r w:rsidRPr="00C95105">
        <w:rPr>
          <w:rFonts w:asciiTheme="minorHAnsi" w:eastAsia="Calibri" w:hAnsiTheme="minorHAnsi" w:cstheme="minorHAnsi"/>
          <w:sz w:val="22"/>
          <w:szCs w:val="22"/>
        </w:rPr>
        <w:t xml:space="preserve">, </w:t>
      </w:r>
      <w:r w:rsidRPr="00C95105">
        <w:rPr>
          <w:rFonts w:asciiTheme="minorHAnsi" w:eastAsia="Calibri" w:hAnsiTheme="minorHAnsi" w:cstheme="minorHAnsi"/>
          <w:i/>
          <w:iCs/>
          <w:sz w:val="22"/>
          <w:szCs w:val="22"/>
        </w:rPr>
        <w:t>7</w:t>
      </w:r>
      <w:r w:rsidRPr="00C95105">
        <w:rPr>
          <w:rFonts w:asciiTheme="minorHAnsi" w:eastAsia="Calibri" w:hAnsiTheme="minorHAnsi" w:cstheme="minorHAnsi"/>
          <w:sz w:val="22"/>
          <w:szCs w:val="22"/>
        </w:rPr>
        <w:t>(1), 107-134.</w:t>
      </w:r>
      <w:r w:rsidRPr="00C95105">
        <w:rPr>
          <w:rFonts w:asciiTheme="minorHAnsi" w:hAnsiTheme="minorHAnsi" w:cstheme="minorHAnsi"/>
          <w:sz w:val="22"/>
          <w:szCs w:val="22"/>
        </w:rPr>
        <w:t xml:space="preserve"> </w:t>
      </w:r>
    </w:p>
    <w:p w14:paraId="0017E8B8"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Genat, A. (2019). Evaluation bias and backlash: how unconscious gender bias hurts women's career progress and two interventions to improve outcomes. Doctoral Dissertation, The University of Melbourne. Retrieved from in January 2022 from </w:t>
      </w:r>
      <w:hyperlink r:id="rId36">
        <w:r w:rsidRPr="00C95105">
          <w:rPr>
            <w:rFonts w:asciiTheme="minorHAnsi" w:hAnsiTheme="minorHAnsi" w:cstheme="minorHAnsi"/>
            <w:sz w:val="22"/>
            <w:szCs w:val="22"/>
          </w:rPr>
          <w:t>http://hdl.handle.net/11343/225853</w:t>
        </w:r>
      </w:hyperlink>
    </w:p>
    <w:p w14:paraId="304778AB"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lastRenderedPageBreak/>
        <w:t xml:space="preserve">HealthWest Partnership (2020), </w:t>
      </w:r>
      <w:r w:rsidRPr="00C95105">
        <w:rPr>
          <w:rFonts w:asciiTheme="minorHAnsi" w:hAnsiTheme="minorHAnsi" w:cstheme="minorHAnsi"/>
          <w:i/>
          <w:iCs/>
          <w:sz w:val="22"/>
          <w:szCs w:val="22"/>
        </w:rPr>
        <w:t>Workforce Mutuality Toolkit. Standards for Workforce Mutuality</w:t>
      </w:r>
      <w:r w:rsidRPr="00C95105">
        <w:rPr>
          <w:rFonts w:asciiTheme="minorHAnsi" w:hAnsiTheme="minorHAnsi" w:cstheme="minorHAnsi"/>
          <w:sz w:val="22"/>
          <w:szCs w:val="22"/>
        </w:rPr>
        <w:t xml:space="preserve">. HealthWest Partnership: Footscray, Victoria. </w:t>
      </w:r>
    </w:p>
    <w:p w14:paraId="40ECF6D6"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Jones, D. A., Willness, C. R., &amp; Madey, S. (2014). Why Are Job Seekers Attracted by Corporate Social Performance? Experimental and Field Tests of Three Signal-Based Mechanisms. </w:t>
      </w:r>
      <w:r w:rsidRPr="00C95105">
        <w:rPr>
          <w:rFonts w:asciiTheme="minorHAnsi" w:hAnsiTheme="minorHAnsi" w:cstheme="minorHAnsi"/>
          <w:i/>
          <w:iCs/>
          <w:sz w:val="22"/>
          <w:szCs w:val="22"/>
        </w:rPr>
        <w:t>Academy of Management Journal, 57</w:t>
      </w:r>
      <w:r w:rsidRPr="00C95105">
        <w:rPr>
          <w:rFonts w:asciiTheme="minorHAnsi" w:hAnsiTheme="minorHAnsi" w:cstheme="minorHAnsi"/>
          <w:sz w:val="22"/>
          <w:szCs w:val="22"/>
        </w:rPr>
        <w:t xml:space="preserve">(2), 383-404. https://doi.org/10.5465/amj.2011.0848 </w:t>
      </w:r>
    </w:p>
    <w:p w14:paraId="5DC6587E" w14:textId="77777777" w:rsidR="00913221" w:rsidRPr="00C95105" w:rsidRDefault="00913221" w:rsidP="005D5F97">
      <w:pPr>
        <w:spacing w:after="120"/>
        <w:ind w:left="720" w:hanging="720"/>
        <w:rPr>
          <w:rFonts w:asciiTheme="minorHAnsi" w:eastAsia="Calibri" w:hAnsiTheme="minorHAnsi" w:cstheme="minorHAnsi"/>
          <w:sz w:val="22"/>
          <w:szCs w:val="22"/>
        </w:rPr>
      </w:pPr>
      <w:r w:rsidRPr="00C95105">
        <w:rPr>
          <w:rFonts w:asciiTheme="minorHAnsi" w:eastAsia="Calibri" w:hAnsiTheme="minorHAnsi" w:cstheme="minorHAnsi"/>
          <w:sz w:val="22"/>
          <w:szCs w:val="22"/>
        </w:rPr>
        <w:t xml:space="preserve">Kahneman, D. (2011). </w:t>
      </w:r>
      <w:r w:rsidRPr="00C95105">
        <w:rPr>
          <w:rFonts w:asciiTheme="minorHAnsi" w:eastAsia="Calibri" w:hAnsiTheme="minorHAnsi" w:cstheme="minorHAnsi"/>
          <w:i/>
          <w:iCs/>
          <w:sz w:val="22"/>
          <w:szCs w:val="22"/>
        </w:rPr>
        <w:t>Thinking, fast and slow</w:t>
      </w:r>
      <w:r w:rsidRPr="00C95105">
        <w:rPr>
          <w:rFonts w:asciiTheme="minorHAnsi" w:eastAsia="Calibri" w:hAnsiTheme="minorHAnsi" w:cstheme="minorHAnsi"/>
          <w:sz w:val="22"/>
          <w:szCs w:val="22"/>
        </w:rPr>
        <w:t xml:space="preserve">. London, England: Macmillan. </w:t>
      </w:r>
    </w:p>
    <w:p w14:paraId="1D3DB111" w14:textId="77777777" w:rsidR="00913221" w:rsidRPr="00C95105" w:rsidRDefault="00913221" w:rsidP="005D5F97">
      <w:pPr>
        <w:spacing w:after="120"/>
        <w:ind w:left="720" w:hanging="720"/>
        <w:rPr>
          <w:rFonts w:asciiTheme="minorHAnsi" w:eastAsia="Calibri" w:hAnsiTheme="minorHAnsi" w:cstheme="minorHAnsi"/>
          <w:sz w:val="22"/>
          <w:szCs w:val="22"/>
        </w:rPr>
      </w:pPr>
      <w:r w:rsidRPr="00C95105">
        <w:rPr>
          <w:rFonts w:asciiTheme="minorHAnsi" w:eastAsia="Calibri" w:hAnsiTheme="minorHAnsi" w:cstheme="minorHAnsi"/>
          <w:sz w:val="22"/>
          <w:szCs w:val="22"/>
        </w:rPr>
        <w:t xml:space="preserve">Knight, R. (2017). 7 Practical ways to reduce bias in your hiring Process. </w:t>
      </w:r>
      <w:r w:rsidRPr="00C95105">
        <w:rPr>
          <w:rFonts w:asciiTheme="minorHAnsi" w:eastAsia="Calibri" w:hAnsiTheme="minorHAnsi" w:cstheme="minorHAnsi"/>
          <w:i/>
          <w:iCs/>
          <w:sz w:val="22"/>
          <w:szCs w:val="22"/>
        </w:rPr>
        <w:t>Harvard Business Review Digital Articles</w:t>
      </w:r>
      <w:r w:rsidRPr="00C95105">
        <w:rPr>
          <w:rFonts w:asciiTheme="minorHAnsi" w:eastAsia="Calibri" w:hAnsiTheme="minorHAnsi" w:cstheme="minorHAnsi"/>
          <w:sz w:val="22"/>
          <w:szCs w:val="22"/>
        </w:rPr>
        <w:t>, 2–7.</w:t>
      </w:r>
    </w:p>
    <w:p w14:paraId="62BEA41A" w14:textId="77777777" w:rsidR="00913221" w:rsidRPr="00C95105" w:rsidRDefault="00913221" w:rsidP="005D5F97">
      <w:pPr>
        <w:spacing w:after="120"/>
        <w:ind w:left="720" w:hanging="720"/>
        <w:rPr>
          <w:rFonts w:asciiTheme="minorHAnsi" w:eastAsia="Calibri" w:hAnsiTheme="minorHAnsi" w:cstheme="minorHAnsi"/>
          <w:sz w:val="22"/>
          <w:szCs w:val="22"/>
        </w:rPr>
      </w:pPr>
      <w:r w:rsidRPr="00C95105">
        <w:rPr>
          <w:rFonts w:asciiTheme="minorHAnsi" w:eastAsia="Calibri" w:hAnsiTheme="minorHAnsi" w:cstheme="minorHAnsi"/>
          <w:sz w:val="22"/>
          <w:szCs w:val="22"/>
        </w:rPr>
        <w:t xml:space="preserve">Kolev, J., Fuentes-Medel, Y., &amp; Murray, F. (2019). Is blinded review enough? How gendered outcomes arise even under anonymous evaluation (No. w25759). </w:t>
      </w:r>
      <w:r w:rsidRPr="00C95105">
        <w:rPr>
          <w:rFonts w:asciiTheme="minorHAnsi" w:eastAsia="Calibri" w:hAnsiTheme="minorHAnsi" w:cstheme="minorHAnsi"/>
          <w:i/>
          <w:iCs/>
          <w:sz w:val="22"/>
          <w:szCs w:val="22"/>
        </w:rPr>
        <w:t>National Bureau of Economic Research.</w:t>
      </w:r>
      <w:r w:rsidRPr="00C95105">
        <w:rPr>
          <w:rFonts w:asciiTheme="minorHAnsi" w:eastAsia="Calibri" w:hAnsiTheme="minorHAnsi" w:cstheme="minorHAnsi"/>
          <w:sz w:val="22"/>
          <w:szCs w:val="22"/>
        </w:rPr>
        <w:t xml:space="preserve"> </w:t>
      </w:r>
    </w:p>
    <w:p w14:paraId="4B64CE92" w14:textId="4AA4525E" w:rsidR="007733B3" w:rsidRPr="00C95105" w:rsidRDefault="007733B3"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Levine, F. J., &amp; Ancheta, A. N. (2013). The AERA et al. Amicus Brief in Fisher v. University of Texas at Austin: Scientific organizations serving society. </w:t>
      </w:r>
      <w:r w:rsidRPr="00C95105">
        <w:rPr>
          <w:rFonts w:asciiTheme="minorHAnsi" w:hAnsiTheme="minorHAnsi" w:cstheme="minorHAnsi"/>
          <w:i/>
          <w:iCs/>
          <w:sz w:val="22"/>
          <w:szCs w:val="22"/>
        </w:rPr>
        <w:t>Educational Researcher, 42</w:t>
      </w:r>
      <w:r w:rsidRPr="00C95105">
        <w:rPr>
          <w:rFonts w:asciiTheme="minorHAnsi" w:hAnsiTheme="minorHAnsi" w:cstheme="minorHAnsi"/>
          <w:sz w:val="22"/>
          <w:szCs w:val="22"/>
        </w:rPr>
        <w:t>(3), 166–171. https://doi.org/10.3102/0013189X13486765</w:t>
      </w:r>
    </w:p>
    <w:p w14:paraId="46AA6BDC"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Moher, D., Liberati, A., Tetzlaff, J., Altman, D. G., &amp; The Prisma Group, (2009). Preferred reporting items for systematic reviews and meta-analyses: The PRISMA statement. </w:t>
      </w:r>
      <w:r w:rsidRPr="00C95105">
        <w:rPr>
          <w:rFonts w:asciiTheme="minorHAnsi" w:hAnsiTheme="minorHAnsi" w:cstheme="minorHAnsi"/>
          <w:i/>
          <w:iCs/>
          <w:sz w:val="22"/>
          <w:szCs w:val="22"/>
        </w:rPr>
        <w:t>PLoS Medicine, 6e1000097</w:t>
      </w:r>
      <w:r w:rsidRPr="00C95105">
        <w:rPr>
          <w:rFonts w:asciiTheme="minorHAnsi" w:hAnsiTheme="minorHAnsi" w:cstheme="minorHAnsi"/>
          <w:sz w:val="22"/>
          <w:szCs w:val="22"/>
        </w:rPr>
        <w:t>. doi:10.1371/journal.pmed.1000097.</w:t>
      </w:r>
    </w:p>
    <w:p w14:paraId="12F8BEC7"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Morse, G. (2016). Designing a bias-free organisation. </w:t>
      </w:r>
      <w:r w:rsidRPr="00C95105">
        <w:rPr>
          <w:rFonts w:asciiTheme="minorHAnsi" w:hAnsiTheme="minorHAnsi" w:cstheme="minorHAnsi"/>
          <w:i/>
          <w:iCs/>
          <w:sz w:val="22"/>
          <w:szCs w:val="22"/>
        </w:rPr>
        <w:t>Harvard Business Review, 94</w:t>
      </w:r>
      <w:r w:rsidRPr="00C95105">
        <w:rPr>
          <w:rFonts w:asciiTheme="minorHAnsi" w:hAnsiTheme="minorHAnsi" w:cstheme="minorHAnsi"/>
          <w:sz w:val="22"/>
          <w:szCs w:val="22"/>
        </w:rPr>
        <w:t>(7), 62-67. Retrieved from https://hbsp.harvard.edu/tu/33864225</w:t>
      </w:r>
    </w:p>
    <w:p w14:paraId="44771537" w14:textId="77777777" w:rsidR="00412881" w:rsidRPr="00C95105" w:rsidRDefault="00412881" w:rsidP="005D5F97">
      <w:pPr>
        <w:pStyle w:val="TableParagraph"/>
        <w:spacing w:after="120"/>
        <w:ind w:left="426" w:right="65" w:hanging="426"/>
        <w:rPr>
          <w:rFonts w:asciiTheme="minorHAnsi" w:hAnsiTheme="minorHAnsi" w:cstheme="minorHAnsi"/>
          <w:lang w:val="en-AU"/>
        </w:rPr>
      </w:pPr>
      <w:bookmarkStart w:id="139" w:name="_Toc96878548"/>
      <w:bookmarkStart w:id="140" w:name="_Toc96878637"/>
      <w:r w:rsidRPr="00C95105">
        <w:rPr>
          <w:rFonts w:asciiTheme="minorHAnsi" w:hAnsiTheme="minorHAnsi" w:cstheme="minorHAnsi"/>
          <w:lang w:val="en-AU"/>
        </w:rPr>
        <w:t xml:space="preserve">Murray, R. (2010). Second Among Unequals? A Study of Whether France's “Quota Women” are Up to the Job. </w:t>
      </w:r>
      <w:r w:rsidRPr="00C95105">
        <w:rPr>
          <w:rFonts w:asciiTheme="minorHAnsi" w:hAnsiTheme="minorHAnsi" w:cstheme="minorHAnsi"/>
          <w:i/>
          <w:iCs/>
          <w:lang w:val="en-AU"/>
        </w:rPr>
        <w:t>Politics &amp; Gender, 6</w:t>
      </w:r>
      <w:r w:rsidRPr="00C95105">
        <w:rPr>
          <w:rFonts w:asciiTheme="minorHAnsi" w:hAnsiTheme="minorHAnsi" w:cstheme="minorHAnsi"/>
          <w:lang w:val="en-AU"/>
        </w:rPr>
        <w:t>(1), 93-118. doi:10.1017/S1743923X09990523</w:t>
      </w:r>
      <w:bookmarkEnd w:id="139"/>
      <w:bookmarkEnd w:id="140"/>
    </w:p>
    <w:p w14:paraId="6BBB8253" w14:textId="7CFE57B1" w:rsidR="00913221" w:rsidRPr="00C95105" w:rsidRDefault="00913221" w:rsidP="005D5F97">
      <w:pPr>
        <w:pStyle w:val="TableParagraph"/>
        <w:spacing w:after="120"/>
        <w:ind w:left="426" w:right="65" w:hanging="426"/>
        <w:rPr>
          <w:rFonts w:asciiTheme="minorHAnsi" w:hAnsiTheme="minorHAnsi" w:cstheme="minorHAnsi"/>
          <w:lang w:val="en-AU"/>
        </w:rPr>
      </w:pPr>
      <w:bookmarkStart w:id="141" w:name="_Toc96878549"/>
      <w:bookmarkStart w:id="142" w:name="_Toc96878638"/>
      <w:r w:rsidRPr="00C95105">
        <w:rPr>
          <w:rFonts w:asciiTheme="minorHAnsi" w:hAnsiTheme="minorHAnsi" w:cstheme="minorHAnsi"/>
          <w:lang w:val="en-AU"/>
        </w:rPr>
        <w:t>Paluck, E. L., &amp; Green, D. P. (2008). Prejudice Reduction: What Works?</w:t>
      </w:r>
      <w:r w:rsidRPr="00C95105">
        <w:rPr>
          <w:rFonts w:asciiTheme="minorHAnsi" w:hAnsiTheme="minorHAnsi" w:cstheme="minorHAnsi"/>
          <w:spacing w:val="1"/>
          <w:lang w:val="en-AU"/>
        </w:rPr>
        <w:t xml:space="preserve"> </w:t>
      </w:r>
      <w:r w:rsidRPr="00C95105">
        <w:rPr>
          <w:rFonts w:asciiTheme="minorHAnsi" w:hAnsiTheme="minorHAnsi" w:cstheme="minorHAnsi"/>
          <w:lang w:val="en-AU"/>
        </w:rPr>
        <w:t xml:space="preserve">A Review and Assessment of Research and Practice. </w:t>
      </w:r>
      <w:r w:rsidRPr="00C95105">
        <w:rPr>
          <w:rFonts w:asciiTheme="minorHAnsi" w:hAnsiTheme="minorHAnsi" w:cstheme="minorHAnsi"/>
          <w:i/>
          <w:iCs/>
          <w:lang w:val="en-AU"/>
        </w:rPr>
        <w:t>Annual Review</w:t>
      </w:r>
      <w:r w:rsidRPr="00C95105">
        <w:rPr>
          <w:rFonts w:asciiTheme="minorHAnsi" w:hAnsiTheme="minorHAnsi" w:cstheme="minorHAnsi"/>
          <w:i/>
          <w:iCs/>
          <w:spacing w:val="-53"/>
          <w:lang w:val="en-AU"/>
        </w:rPr>
        <w:t xml:space="preserve"> </w:t>
      </w:r>
      <w:r w:rsidRPr="00C95105">
        <w:rPr>
          <w:rFonts w:asciiTheme="minorHAnsi" w:hAnsiTheme="minorHAnsi" w:cstheme="minorHAnsi"/>
          <w:i/>
          <w:iCs/>
          <w:lang w:val="en-AU"/>
        </w:rPr>
        <w:t>of Psychology</w:t>
      </w:r>
      <w:r w:rsidRPr="00C95105">
        <w:rPr>
          <w:rFonts w:asciiTheme="minorHAnsi" w:hAnsiTheme="minorHAnsi" w:cstheme="minorHAnsi"/>
          <w:lang w:val="en-AU"/>
        </w:rPr>
        <w:t>, 60(1), 339–367. doi: 10.1146/annurev.psych.60.110707.163607</w:t>
      </w:r>
      <w:bookmarkEnd w:id="141"/>
      <w:bookmarkEnd w:id="142"/>
    </w:p>
    <w:p w14:paraId="1383A689" w14:textId="77777777" w:rsidR="00913221" w:rsidRPr="00C95105" w:rsidRDefault="00913221" w:rsidP="005D5F97">
      <w:pPr>
        <w:pStyle w:val="TableParagraph"/>
        <w:spacing w:after="120"/>
        <w:ind w:left="720" w:hanging="720"/>
        <w:rPr>
          <w:rFonts w:asciiTheme="minorHAnsi" w:hAnsiTheme="minorHAnsi" w:cstheme="minorHAnsi"/>
          <w:lang w:val="en-AU"/>
        </w:rPr>
      </w:pPr>
      <w:bookmarkStart w:id="143" w:name="_Toc96878550"/>
      <w:bookmarkStart w:id="144" w:name="_Toc96878639"/>
      <w:r w:rsidRPr="00C95105">
        <w:rPr>
          <w:rFonts w:asciiTheme="minorHAnsi" w:hAnsiTheme="minorHAnsi" w:cstheme="minorHAnsi"/>
          <w:lang w:val="en-AU"/>
        </w:rPr>
        <w:t xml:space="preserve">Sojo, V., &amp; Wood, R. (2012). </w:t>
      </w:r>
      <w:r w:rsidRPr="00C95105">
        <w:rPr>
          <w:rFonts w:asciiTheme="minorHAnsi" w:hAnsiTheme="minorHAnsi" w:cstheme="minorHAnsi"/>
          <w:i/>
          <w:iCs/>
          <w:lang w:val="en-AU"/>
        </w:rPr>
        <w:t>Women’s fit, functioning and growth at work: Indicators and predictors</w:t>
      </w:r>
      <w:r w:rsidRPr="00C95105">
        <w:rPr>
          <w:rFonts w:asciiTheme="minorHAnsi" w:hAnsiTheme="minorHAnsi" w:cstheme="minorHAnsi"/>
          <w:lang w:val="en-AU"/>
        </w:rPr>
        <w:t>. Melbourne: MBS, The University of Melbourne. doi: 10.13140/RG.2.1.4075.6889</w:t>
      </w:r>
      <w:bookmarkEnd w:id="143"/>
      <w:bookmarkEnd w:id="144"/>
    </w:p>
    <w:p w14:paraId="3C989D54" w14:textId="77777777" w:rsidR="00913221" w:rsidRPr="00C95105" w:rsidRDefault="00913221" w:rsidP="005D5F97">
      <w:pPr>
        <w:pStyle w:val="TableParagraph"/>
        <w:spacing w:after="120"/>
        <w:ind w:left="426" w:right="65" w:hanging="426"/>
        <w:rPr>
          <w:rFonts w:asciiTheme="minorHAnsi" w:hAnsiTheme="minorHAnsi" w:cstheme="minorHAnsi"/>
          <w:lang w:val="en-AU"/>
        </w:rPr>
      </w:pPr>
      <w:bookmarkStart w:id="145" w:name="_Toc96878551"/>
      <w:bookmarkStart w:id="146" w:name="_Toc96878640"/>
      <w:r w:rsidRPr="00C95105">
        <w:rPr>
          <w:rFonts w:asciiTheme="minorHAnsi" w:hAnsiTheme="minorHAnsi" w:cstheme="minorHAnsi"/>
          <w:lang w:val="en-AU"/>
        </w:rPr>
        <w:t xml:space="preserve">Sojo, V., Wood, R., Wood, S., &amp; Wheeler, M. (2016). Reporting requirements, targets, and quotas for women in leadership. </w:t>
      </w:r>
      <w:r w:rsidRPr="00C95105">
        <w:rPr>
          <w:rFonts w:asciiTheme="minorHAnsi" w:hAnsiTheme="minorHAnsi" w:cstheme="minorHAnsi"/>
          <w:i/>
          <w:iCs/>
          <w:lang w:val="en-AU"/>
        </w:rPr>
        <w:t>The Leadership Quarterly (Special Issue: Gender and Leadership), 27</w:t>
      </w:r>
      <w:r w:rsidRPr="00C95105">
        <w:rPr>
          <w:rFonts w:asciiTheme="minorHAnsi" w:hAnsiTheme="minorHAnsi" w:cstheme="minorHAnsi"/>
          <w:lang w:val="en-AU"/>
        </w:rPr>
        <w:t xml:space="preserve"> (3), 519-536. doi:10.1016/j.leaqua.2015.12.003</w:t>
      </w:r>
      <w:bookmarkEnd w:id="145"/>
      <w:bookmarkEnd w:id="146"/>
    </w:p>
    <w:p w14:paraId="45D864E6" w14:textId="77777777" w:rsidR="00913221" w:rsidRPr="00C95105" w:rsidRDefault="00913221" w:rsidP="005D5F97">
      <w:pPr>
        <w:pStyle w:val="TableParagraph"/>
        <w:spacing w:after="120"/>
        <w:ind w:left="426" w:right="65" w:hanging="426"/>
        <w:rPr>
          <w:rFonts w:asciiTheme="minorHAnsi" w:hAnsiTheme="minorHAnsi" w:cstheme="minorHAnsi"/>
          <w:lang w:val="en-AU"/>
        </w:rPr>
      </w:pPr>
      <w:bookmarkStart w:id="147" w:name="_Toc96878552"/>
      <w:bookmarkStart w:id="148" w:name="_Toc96878641"/>
      <w:r w:rsidRPr="00C95105">
        <w:rPr>
          <w:rFonts w:asciiTheme="minorHAnsi" w:hAnsiTheme="minorHAnsi" w:cstheme="minorHAnsi"/>
          <w:lang w:val="en-AU"/>
        </w:rPr>
        <w:t xml:space="preserve">Stratemeyer, M., Sojo, V., Wheeler, M., Rozenblat, V., Lee, I., Peter, D., Kociski, M., Genat, A., &amp; Wood, R. (2018). </w:t>
      </w:r>
      <w:r w:rsidRPr="00C95105">
        <w:rPr>
          <w:rFonts w:asciiTheme="minorHAnsi" w:hAnsiTheme="minorHAnsi" w:cstheme="minorHAnsi"/>
          <w:i/>
          <w:iCs/>
          <w:lang w:val="en-AU"/>
        </w:rPr>
        <w:t>Recruit Smarter – Technical Report</w:t>
      </w:r>
      <w:r w:rsidRPr="00C95105">
        <w:rPr>
          <w:rFonts w:asciiTheme="minorHAnsi" w:hAnsiTheme="minorHAnsi" w:cstheme="minorHAnsi"/>
          <w:lang w:val="en-AU"/>
        </w:rPr>
        <w:t>. Melbourne: Victorian Government.</w:t>
      </w:r>
      <w:bookmarkEnd w:id="147"/>
      <w:bookmarkEnd w:id="148"/>
    </w:p>
    <w:p w14:paraId="19A3AD0A" w14:textId="77777777" w:rsidR="00913221" w:rsidRPr="00C95105" w:rsidRDefault="00913221" w:rsidP="005D5F97">
      <w:pPr>
        <w:spacing w:after="120"/>
        <w:ind w:left="426" w:hanging="426"/>
        <w:rPr>
          <w:rFonts w:asciiTheme="minorHAnsi" w:hAnsiTheme="minorHAnsi" w:cstheme="minorHAnsi"/>
          <w:sz w:val="22"/>
          <w:szCs w:val="22"/>
        </w:rPr>
      </w:pPr>
      <w:r w:rsidRPr="00C95105">
        <w:rPr>
          <w:rFonts w:asciiTheme="minorHAnsi" w:hAnsiTheme="minorHAnsi" w:cstheme="minorHAnsi"/>
          <w:sz w:val="22"/>
          <w:szCs w:val="22"/>
        </w:rPr>
        <w:t xml:space="preserve">Turban, D. B., &amp; Greening, D. W. (1997). Corporate social performance and organizational attractiveness to prospective employees. </w:t>
      </w:r>
      <w:r w:rsidRPr="00C95105">
        <w:rPr>
          <w:rFonts w:asciiTheme="minorHAnsi" w:hAnsiTheme="minorHAnsi" w:cstheme="minorHAnsi"/>
          <w:i/>
          <w:iCs/>
          <w:sz w:val="22"/>
          <w:szCs w:val="22"/>
        </w:rPr>
        <w:t>Academy of Management Journal, 40</w:t>
      </w:r>
      <w:r w:rsidRPr="00C95105">
        <w:rPr>
          <w:rFonts w:asciiTheme="minorHAnsi" w:hAnsiTheme="minorHAnsi" w:cstheme="minorHAnsi"/>
          <w:sz w:val="22"/>
          <w:szCs w:val="22"/>
        </w:rPr>
        <w:t xml:space="preserve">(3), 658-672. </w:t>
      </w:r>
      <w:hyperlink r:id="rId37" w:history="1">
        <w:r w:rsidRPr="00C95105">
          <w:rPr>
            <w:rFonts w:asciiTheme="minorHAnsi" w:hAnsiTheme="minorHAnsi" w:cstheme="minorHAnsi"/>
            <w:sz w:val="22"/>
            <w:szCs w:val="22"/>
          </w:rPr>
          <w:t>https://doi.org/10.5465/257057</w:t>
        </w:r>
      </w:hyperlink>
      <w:r w:rsidRPr="00C95105">
        <w:rPr>
          <w:rFonts w:asciiTheme="minorHAnsi" w:hAnsiTheme="minorHAnsi" w:cstheme="minorHAnsi"/>
          <w:sz w:val="22"/>
          <w:szCs w:val="22"/>
        </w:rPr>
        <w:t xml:space="preserve"> </w:t>
      </w:r>
    </w:p>
    <w:p w14:paraId="5AE3D5D9" w14:textId="2402FB3B" w:rsidR="001454D5" w:rsidRDefault="001454D5" w:rsidP="005D5F97">
      <w:pPr>
        <w:spacing w:after="120"/>
        <w:rPr>
          <w:rFonts w:asciiTheme="minorHAnsi" w:hAnsiTheme="minorHAnsi" w:cstheme="minorHAnsi"/>
          <w:sz w:val="22"/>
          <w:szCs w:val="22"/>
        </w:rPr>
      </w:pPr>
    </w:p>
    <w:p w14:paraId="3B45812B" w14:textId="77777777" w:rsidR="0035324F" w:rsidRDefault="0035324F" w:rsidP="005D5F97">
      <w:pPr>
        <w:spacing w:after="120"/>
        <w:rPr>
          <w:rFonts w:asciiTheme="minorHAnsi" w:hAnsiTheme="minorHAnsi" w:cstheme="minorHAnsi"/>
          <w:sz w:val="22"/>
          <w:szCs w:val="22"/>
        </w:rPr>
      </w:pPr>
    </w:p>
    <w:p w14:paraId="0358DCBB" w14:textId="77777777" w:rsidR="0035324F" w:rsidRDefault="0035324F" w:rsidP="005D5F97">
      <w:pPr>
        <w:spacing w:after="120"/>
        <w:rPr>
          <w:rFonts w:asciiTheme="minorHAnsi" w:hAnsiTheme="minorHAnsi" w:cstheme="minorHAnsi"/>
          <w:sz w:val="22"/>
          <w:szCs w:val="22"/>
        </w:rPr>
      </w:pPr>
    </w:p>
    <w:p w14:paraId="3D1883C6" w14:textId="77777777" w:rsidR="0035324F" w:rsidRDefault="0035324F" w:rsidP="005D5F97">
      <w:pPr>
        <w:spacing w:after="120"/>
        <w:rPr>
          <w:rFonts w:asciiTheme="minorHAnsi" w:hAnsiTheme="minorHAnsi" w:cstheme="minorHAnsi"/>
          <w:sz w:val="22"/>
          <w:szCs w:val="22"/>
        </w:rPr>
      </w:pPr>
    </w:p>
    <w:p w14:paraId="109F916C" w14:textId="77777777" w:rsidR="0035324F" w:rsidRPr="00C95105" w:rsidRDefault="0035324F" w:rsidP="005D5F97">
      <w:pPr>
        <w:spacing w:after="120"/>
        <w:rPr>
          <w:rFonts w:asciiTheme="minorHAnsi" w:hAnsiTheme="minorHAnsi" w:cstheme="minorHAnsi"/>
          <w:sz w:val="22"/>
          <w:szCs w:val="22"/>
        </w:rPr>
      </w:pPr>
    </w:p>
    <w:p w14:paraId="16F97BE0" w14:textId="62303555" w:rsidR="00DB3EC9" w:rsidRPr="00C95105" w:rsidRDefault="00DB3EC9" w:rsidP="0093280F">
      <w:pPr>
        <w:pStyle w:val="Heading2"/>
        <w:numPr>
          <w:ilvl w:val="1"/>
          <w:numId w:val="8"/>
        </w:numPr>
        <w:spacing w:before="0" w:after="120"/>
        <w:ind w:left="426" w:hanging="426"/>
        <w:rPr>
          <w:rFonts w:asciiTheme="minorHAnsi" w:hAnsiTheme="minorHAnsi" w:cstheme="minorHAnsi"/>
          <w:b/>
          <w:bCs/>
        </w:rPr>
      </w:pPr>
      <w:bookmarkStart w:id="149" w:name="_Toc96957682"/>
      <w:r w:rsidRPr="00C95105">
        <w:rPr>
          <w:rFonts w:asciiTheme="minorHAnsi" w:hAnsiTheme="minorHAnsi" w:cstheme="minorHAnsi"/>
          <w:b/>
          <w:bCs/>
        </w:rPr>
        <w:lastRenderedPageBreak/>
        <w:t>Reviewed References</w:t>
      </w:r>
      <w:bookmarkEnd w:id="149"/>
    </w:p>
    <w:p w14:paraId="0209306C" w14:textId="4BBABBD5" w:rsidR="00530E45"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Aslund, O. &amp; O. Nordström Skans (2007). </w:t>
      </w:r>
      <w:r w:rsidRPr="00C95105">
        <w:rPr>
          <w:rFonts w:asciiTheme="minorHAnsi" w:hAnsiTheme="minorHAnsi" w:cstheme="minorHAnsi"/>
          <w:i/>
          <w:iCs/>
          <w:color w:val="000000"/>
          <w:sz w:val="22"/>
          <w:szCs w:val="22"/>
        </w:rPr>
        <w:t>Do anonymous job procedures level the playing field</w:t>
      </w:r>
      <w:r w:rsidRPr="00C95105">
        <w:rPr>
          <w:rFonts w:asciiTheme="minorHAnsi" w:hAnsiTheme="minorHAnsi" w:cstheme="minorHAnsi"/>
          <w:color w:val="000000"/>
          <w:sz w:val="22"/>
          <w:szCs w:val="22"/>
        </w:rPr>
        <w:t xml:space="preserve"> - Working paper</w:t>
      </w:r>
      <w:r w:rsidR="00BE0127" w:rsidRPr="00C95105">
        <w:rPr>
          <w:rFonts w:asciiTheme="minorHAnsi" w:hAnsiTheme="minorHAnsi" w:cstheme="minorHAnsi"/>
          <w:color w:val="000000"/>
          <w:sz w:val="22"/>
          <w:szCs w:val="22"/>
        </w:rPr>
        <w:t>.</w:t>
      </w:r>
      <w:r w:rsidRPr="00C95105">
        <w:rPr>
          <w:rFonts w:asciiTheme="minorHAnsi" w:hAnsiTheme="minorHAnsi" w:cstheme="minorHAnsi"/>
          <w:color w:val="000000"/>
          <w:sz w:val="22"/>
          <w:szCs w:val="22"/>
        </w:rPr>
        <w:t xml:space="preserve"> </w:t>
      </w:r>
      <w:r w:rsidR="002E7534" w:rsidRPr="00C95105">
        <w:rPr>
          <w:rFonts w:asciiTheme="minorHAnsi" w:hAnsiTheme="minorHAnsi" w:cstheme="minorHAnsi"/>
          <w:color w:val="000000"/>
          <w:sz w:val="22"/>
          <w:szCs w:val="22"/>
        </w:rPr>
        <w:t xml:space="preserve">Uppsala, Sweden: </w:t>
      </w:r>
      <w:r w:rsidRPr="00C95105">
        <w:rPr>
          <w:rFonts w:asciiTheme="minorHAnsi" w:hAnsiTheme="minorHAnsi" w:cstheme="minorHAnsi"/>
          <w:color w:val="000000"/>
          <w:sz w:val="22"/>
          <w:szCs w:val="22"/>
        </w:rPr>
        <w:t>Institute for Labour Market Policy Evaluation.</w:t>
      </w:r>
      <w:r w:rsidR="00F85BCC" w:rsidRPr="00C95105">
        <w:rPr>
          <w:rFonts w:asciiTheme="minorHAnsi" w:hAnsiTheme="minorHAnsi" w:cstheme="minorHAnsi"/>
          <w:color w:val="000000"/>
          <w:sz w:val="22"/>
          <w:szCs w:val="22"/>
        </w:rPr>
        <w:t xml:space="preserve"> </w:t>
      </w:r>
      <w:r w:rsidR="00695592" w:rsidRPr="00C95105">
        <w:rPr>
          <w:rFonts w:asciiTheme="minorHAnsi" w:hAnsiTheme="minorHAnsi" w:cstheme="minorHAnsi"/>
          <w:color w:val="000000"/>
          <w:sz w:val="22"/>
          <w:szCs w:val="22"/>
        </w:rPr>
        <w:t>doi: 10.1177/001979391206500105</w:t>
      </w:r>
    </w:p>
    <w:p w14:paraId="35934D64" w14:textId="138782E5" w:rsidR="00530E45"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Aslund, O., &amp; Skans, O. N. (2012). Do </w:t>
      </w:r>
      <w:r w:rsidR="00695592" w:rsidRPr="00C95105">
        <w:rPr>
          <w:rFonts w:asciiTheme="minorHAnsi" w:hAnsiTheme="minorHAnsi" w:cstheme="minorHAnsi"/>
          <w:color w:val="000000"/>
          <w:sz w:val="22"/>
          <w:szCs w:val="22"/>
        </w:rPr>
        <w:t>anonymous job application procedures level the playing field</w:t>
      </w:r>
      <w:r w:rsidRPr="00C95105">
        <w:rPr>
          <w:rFonts w:asciiTheme="minorHAnsi" w:hAnsiTheme="minorHAnsi" w:cstheme="minorHAnsi"/>
          <w:color w:val="000000"/>
          <w:sz w:val="22"/>
          <w:szCs w:val="22"/>
        </w:rPr>
        <w:t xml:space="preserve">? </w:t>
      </w:r>
      <w:r w:rsidRPr="00C95105">
        <w:rPr>
          <w:rFonts w:asciiTheme="minorHAnsi" w:hAnsiTheme="minorHAnsi" w:cstheme="minorHAnsi"/>
          <w:i/>
          <w:iCs/>
          <w:color w:val="000000"/>
          <w:sz w:val="22"/>
          <w:szCs w:val="22"/>
        </w:rPr>
        <w:t>Industrial and Labor Relations Review, 65</w:t>
      </w:r>
      <w:r w:rsidRPr="00C95105">
        <w:rPr>
          <w:rFonts w:asciiTheme="minorHAnsi" w:hAnsiTheme="minorHAnsi" w:cstheme="minorHAnsi"/>
          <w:color w:val="000000"/>
          <w:sz w:val="22"/>
          <w:szCs w:val="22"/>
        </w:rPr>
        <w:t>(1), 82-107.</w:t>
      </w:r>
      <w:r w:rsidR="00D30385" w:rsidRPr="00C95105">
        <w:rPr>
          <w:rFonts w:asciiTheme="minorHAnsi" w:hAnsiTheme="minorHAnsi" w:cstheme="minorHAnsi"/>
          <w:color w:val="000000"/>
          <w:sz w:val="22"/>
          <w:szCs w:val="22"/>
        </w:rPr>
        <w:t xml:space="preserve"> http://www.jstor.org/stable/41343666</w:t>
      </w:r>
    </w:p>
    <w:p w14:paraId="0648A2BB" w14:textId="1C12A3B9" w:rsidR="007A666B"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Behaghel, L., Crepon, B., &amp; Le Barbanchon, T. (2015). Unintended Effects of Anonymous Resumes. </w:t>
      </w:r>
      <w:r w:rsidRPr="00C95105">
        <w:rPr>
          <w:rFonts w:asciiTheme="minorHAnsi" w:hAnsiTheme="minorHAnsi" w:cstheme="minorHAnsi"/>
          <w:i/>
          <w:iCs/>
          <w:color w:val="000000"/>
          <w:sz w:val="22"/>
          <w:szCs w:val="22"/>
        </w:rPr>
        <w:t>American Economic Journal: Applied Economics, 7</w:t>
      </w:r>
      <w:r w:rsidRPr="00C95105">
        <w:rPr>
          <w:rFonts w:asciiTheme="minorHAnsi" w:hAnsiTheme="minorHAnsi" w:cstheme="minorHAnsi"/>
          <w:color w:val="000000"/>
          <w:sz w:val="22"/>
          <w:szCs w:val="22"/>
        </w:rPr>
        <w:t>(3), 1-27.</w:t>
      </w:r>
      <w:r w:rsidR="009F3769" w:rsidRPr="00C95105">
        <w:rPr>
          <w:rFonts w:asciiTheme="minorHAnsi" w:hAnsiTheme="minorHAnsi" w:cstheme="minorHAnsi"/>
          <w:color w:val="000000"/>
          <w:sz w:val="22"/>
          <w:szCs w:val="22"/>
        </w:rPr>
        <w:t xml:space="preserve"> doi: 10.1257/app.20140185</w:t>
      </w:r>
    </w:p>
    <w:p w14:paraId="58D39489" w14:textId="3586F0A0" w:rsidR="00530E45"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Bog, M. &amp; Kranendonk, E. (2011). </w:t>
      </w:r>
      <w:r w:rsidRPr="00C95105">
        <w:rPr>
          <w:rFonts w:asciiTheme="minorHAnsi" w:hAnsiTheme="minorHAnsi" w:cstheme="minorHAnsi"/>
          <w:i/>
          <w:iCs/>
          <w:color w:val="000000"/>
          <w:sz w:val="22"/>
          <w:szCs w:val="22"/>
        </w:rPr>
        <w:t>Labor market discrimination of minorities? yes, but not in job offers</w:t>
      </w:r>
      <w:r w:rsidRPr="00C95105">
        <w:rPr>
          <w:rFonts w:asciiTheme="minorHAnsi" w:hAnsiTheme="minorHAnsi" w:cstheme="minorHAnsi"/>
          <w:color w:val="000000"/>
          <w:sz w:val="22"/>
          <w:szCs w:val="22"/>
        </w:rPr>
        <w:t xml:space="preserve">. </w:t>
      </w:r>
      <w:r w:rsidR="00F711E7" w:rsidRPr="00C95105">
        <w:rPr>
          <w:rFonts w:asciiTheme="minorHAnsi" w:hAnsiTheme="minorHAnsi" w:cstheme="minorHAnsi"/>
          <w:color w:val="000000"/>
          <w:sz w:val="22"/>
          <w:szCs w:val="22"/>
        </w:rPr>
        <w:t xml:space="preserve">Munich Personal RePEc Archive Paper </w:t>
      </w:r>
      <w:r w:rsidR="00B45C5C" w:rsidRPr="00C95105">
        <w:rPr>
          <w:rFonts w:asciiTheme="minorHAnsi" w:hAnsiTheme="minorHAnsi" w:cstheme="minorHAnsi"/>
          <w:color w:val="000000"/>
          <w:sz w:val="22"/>
          <w:szCs w:val="22"/>
        </w:rPr>
        <w:t>3332. Muni</w:t>
      </w:r>
      <w:r w:rsidR="007A666B" w:rsidRPr="00C95105">
        <w:rPr>
          <w:rFonts w:asciiTheme="minorHAnsi" w:hAnsiTheme="minorHAnsi" w:cstheme="minorHAnsi"/>
          <w:color w:val="000000"/>
          <w:sz w:val="22"/>
          <w:szCs w:val="22"/>
        </w:rPr>
        <w:t xml:space="preserve">ch, </w:t>
      </w:r>
      <w:r w:rsidR="00B45C5C" w:rsidRPr="00C95105">
        <w:rPr>
          <w:rFonts w:asciiTheme="minorHAnsi" w:hAnsiTheme="minorHAnsi" w:cstheme="minorHAnsi"/>
          <w:color w:val="000000"/>
          <w:sz w:val="22"/>
          <w:szCs w:val="22"/>
        </w:rPr>
        <w:t>Germany</w:t>
      </w:r>
      <w:r w:rsidR="007A666B" w:rsidRPr="00C95105">
        <w:rPr>
          <w:rFonts w:asciiTheme="minorHAnsi" w:hAnsiTheme="minorHAnsi" w:cstheme="minorHAnsi"/>
          <w:color w:val="000000"/>
          <w:sz w:val="22"/>
          <w:szCs w:val="22"/>
        </w:rPr>
        <w:t>:</w:t>
      </w:r>
      <w:r w:rsidR="00B45C5C" w:rsidRPr="00C95105">
        <w:rPr>
          <w:rFonts w:asciiTheme="minorHAnsi" w:hAnsiTheme="minorHAnsi" w:cstheme="minorHAnsi"/>
          <w:color w:val="000000"/>
          <w:sz w:val="22"/>
          <w:szCs w:val="22"/>
        </w:rPr>
        <w:t xml:space="preserve"> University Library of Munich</w:t>
      </w:r>
      <w:r w:rsidR="00CE78BA" w:rsidRPr="00C95105">
        <w:rPr>
          <w:rFonts w:asciiTheme="minorHAnsi" w:hAnsiTheme="minorHAnsi" w:cstheme="minorHAnsi"/>
          <w:color w:val="000000"/>
          <w:sz w:val="22"/>
          <w:szCs w:val="22"/>
        </w:rPr>
        <w:t>. Retrieved in July 2021 from:</w:t>
      </w:r>
      <w:r w:rsidR="00F85BCC" w:rsidRPr="00C95105">
        <w:rPr>
          <w:rFonts w:asciiTheme="minorHAnsi" w:hAnsiTheme="minorHAnsi" w:cstheme="minorHAnsi"/>
          <w:color w:val="000000"/>
          <w:sz w:val="22"/>
          <w:szCs w:val="22"/>
        </w:rPr>
        <w:t xml:space="preserve"> https://mpra.ub.uni-muenchen.de/33332/</w:t>
      </w:r>
    </w:p>
    <w:p w14:paraId="1C3F4FD7" w14:textId="77777777" w:rsidR="00575459"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Derous, E., &amp; Decoster, J. (2017). Implicit age cues in resumes: Subtle effects on hiring discrimination. </w:t>
      </w:r>
      <w:r w:rsidRPr="00C95105">
        <w:rPr>
          <w:rFonts w:asciiTheme="minorHAnsi" w:hAnsiTheme="minorHAnsi" w:cstheme="minorHAnsi"/>
          <w:i/>
          <w:iCs/>
          <w:color w:val="000000"/>
          <w:sz w:val="22"/>
          <w:szCs w:val="22"/>
        </w:rPr>
        <w:t>Frontiers in Psychology, 8</w:t>
      </w:r>
      <w:r w:rsidRPr="00C95105">
        <w:rPr>
          <w:rFonts w:asciiTheme="minorHAnsi" w:hAnsiTheme="minorHAnsi" w:cstheme="minorHAnsi"/>
          <w:color w:val="000000"/>
          <w:sz w:val="22"/>
          <w:szCs w:val="22"/>
        </w:rPr>
        <w:t xml:space="preserve">, ArtID 1321. https://doi.org/http://dx.doi.org/10.3389/fpsyg.2017.01321 </w:t>
      </w:r>
    </w:p>
    <w:p w14:paraId="4DEA899A" w14:textId="77777777" w:rsidR="000C27B3"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Goldin, C., &amp; Rouse, C. (2000). Orchestrating Impartiality: The </w:t>
      </w:r>
      <w:r w:rsidR="00575459" w:rsidRPr="00C95105">
        <w:rPr>
          <w:rFonts w:asciiTheme="minorHAnsi" w:hAnsiTheme="minorHAnsi" w:cstheme="minorHAnsi"/>
          <w:color w:val="000000"/>
          <w:sz w:val="22"/>
          <w:szCs w:val="22"/>
        </w:rPr>
        <w:t>impact of "blind" auditions on female musicians</w:t>
      </w:r>
      <w:r w:rsidRPr="00C95105">
        <w:rPr>
          <w:rFonts w:asciiTheme="minorHAnsi" w:hAnsiTheme="minorHAnsi" w:cstheme="minorHAnsi"/>
          <w:color w:val="000000"/>
          <w:sz w:val="22"/>
          <w:szCs w:val="22"/>
        </w:rPr>
        <w:t xml:space="preserve">. </w:t>
      </w:r>
      <w:r w:rsidRPr="00C95105">
        <w:rPr>
          <w:rFonts w:asciiTheme="minorHAnsi" w:hAnsiTheme="minorHAnsi" w:cstheme="minorHAnsi"/>
          <w:i/>
          <w:iCs/>
          <w:color w:val="000000"/>
          <w:sz w:val="22"/>
          <w:szCs w:val="22"/>
        </w:rPr>
        <w:t>American Economic Review, 90</w:t>
      </w:r>
      <w:r w:rsidRPr="00C95105">
        <w:rPr>
          <w:rFonts w:asciiTheme="minorHAnsi" w:hAnsiTheme="minorHAnsi" w:cstheme="minorHAnsi"/>
          <w:color w:val="000000"/>
          <w:sz w:val="22"/>
          <w:szCs w:val="22"/>
        </w:rPr>
        <w:t>(4), 715-741. </w:t>
      </w:r>
      <w:r w:rsidR="00575459" w:rsidRPr="00C95105">
        <w:rPr>
          <w:rFonts w:asciiTheme="minorHAnsi" w:hAnsiTheme="minorHAnsi" w:cstheme="minorHAnsi"/>
          <w:color w:val="000000"/>
          <w:sz w:val="22"/>
          <w:szCs w:val="22"/>
        </w:rPr>
        <w:t xml:space="preserve">doi: </w:t>
      </w:r>
      <w:r w:rsidR="00575459" w:rsidRPr="00C95105">
        <w:rPr>
          <w:rFonts w:asciiTheme="minorHAnsi" w:hAnsiTheme="minorHAnsi" w:cstheme="minorHAnsi"/>
          <w:color w:val="353C3F"/>
          <w:sz w:val="22"/>
          <w:szCs w:val="22"/>
          <w:shd w:val="clear" w:color="auto" w:fill="FFFFFF"/>
        </w:rPr>
        <w:t>10.1257/aer.90.4.715</w:t>
      </w:r>
    </w:p>
    <w:p w14:paraId="5376598B" w14:textId="6FD40563" w:rsidR="000C27B3" w:rsidRPr="00C95105" w:rsidRDefault="00575459"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Government</w:t>
      </w:r>
      <w:r w:rsidR="00530E45" w:rsidRPr="00C95105">
        <w:rPr>
          <w:rFonts w:asciiTheme="minorHAnsi" w:hAnsiTheme="minorHAnsi" w:cstheme="minorHAnsi"/>
          <w:color w:val="000000"/>
          <w:sz w:val="22"/>
          <w:szCs w:val="22"/>
        </w:rPr>
        <w:t xml:space="preserve"> of Canada. (2018). </w:t>
      </w:r>
      <w:r w:rsidR="00530E45" w:rsidRPr="00C95105">
        <w:rPr>
          <w:rFonts w:asciiTheme="minorHAnsi" w:hAnsiTheme="minorHAnsi" w:cstheme="minorHAnsi"/>
          <w:i/>
          <w:iCs/>
          <w:color w:val="000000"/>
          <w:sz w:val="22"/>
          <w:szCs w:val="22"/>
        </w:rPr>
        <w:t>Anonymized Recruitment Pilot Project</w:t>
      </w:r>
      <w:r w:rsidR="00530E45" w:rsidRPr="00C95105">
        <w:rPr>
          <w:rFonts w:asciiTheme="minorHAnsi" w:hAnsiTheme="minorHAnsi" w:cstheme="minorHAnsi"/>
          <w:color w:val="000000"/>
          <w:sz w:val="22"/>
          <w:szCs w:val="22"/>
        </w:rPr>
        <w:t xml:space="preserve">. </w:t>
      </w:r>
      <w:r w:rsidR="000C27B3" w:rsidRPr="00C95105">
        <w:rPr>
          <w:rFonts w:asciiTheme="minorHAnsi" w:hAnsiTheme="minorHAnsi" w:cstheme="minorHAnsi"/>
          <w:color w:val="333333"/>
          <w:sz w:val="22"/>
          <w:szCs w:val="22"/>
          <w:shd w:val="clear" w:color="auto" w:fill="FFFFFF"/>
        </w:rPr>
        <w:t>Quebec, Canada: Public Service Commission of Canada</w:t>
      </w:r>
      <w:r w:rsidR="00CE78BA" w:rsidRPr="00C95105">
        <w:rPr>
          <w:rFonts w:asciiTheme="minorHAnsi" w:hAnsiTheme="minorHAnsi" w:cstheme="minorHAnsi"/>
          <w:color w:val="333333"/>
          <w:sz w:val="22"/>
          <w:szCs w:val="22"/>
          <w:shd w:val="clear" w:color="auto" w:fill="FFFFFF"/>
        </w:rPr>
        <w:t xml:space="preserve">. </w:t>
      </w:r>
      <w:r w:rsidR="00CE78BA" w:rsidRPr="00C95105">
        <w:rPr>
          <w:rFonts w:asciiTheme="minorHAnsi" w:hAnsiTheme="minorHAnsi" w:cstheme="minorHAnsi"/>
          <w:color w:val="000000"/>
          <w:sz w:val="22"/>
          <w:szCs w:val="22"/>
        </w:rPr>
        <w:t>Retrieved in July 2021 from: https://www.canada.ca/en/public-service-commission/services/publications/Name-blind-recruitment-pilot-project.html</w:t>
      </w:r>
    </w:p>
    <w:p w14:paraId="6E654789" w14:textId="7F828F91" w:rsidR="00530E45" w:rsidRPr="00C95105" w:rsidRDefault="00530E45" w:rsidP="005D5F97">
      <w:pPr>
        <w:spacing w:after="120"/>
        <w:ind w:left="426" w:hanging="426"/>
        <w:rPr>
          <w:rFonts w:asciiTheme="minorHAnsi" w:hAnsiTheme="minorHAnsi" w:cstheme="minorHAnsi"/>
          <w:b/>
          <w:bCs/>
          <w:sz w:val="22"/>
          <w:szCs w:val="22"/>
        </w:rPr>
      </w:pPr>
      <w:r w:rsidRPr="00C95105">
        <w:rPr>
          <w:rFonts w:asciiTheme="minorHAnsi" w:hAnsiTheme="minorHAnsi" w:cstheme="minorHAnsi"/>
          <w:color w:val="000000"/>
          <w:sz w:val="22"/>
          <w:szCs w:val="22"/>
        </w:rPr>
        <w:t xml:space="preserve">Hiemstra, A. M. F., Derous, E., Serlie, A. W., &amp; Born, M. P. (2013). Ethnicity Effects in Graduates' Résumé Content. </w:t>
      </w:r>
      <w:r w:rsidRPr="00C95105">
        <w:rPr>
          <w:rFonts w:asciiTheme="minorHAnsi" w:hAnsiTheme="minorHAnsi" w:cstheme="minorHAnsi"/>
          <w:i/>
          <w:iCs/>
          <w:color w:val="000000"/>
          <w:sz w:val="22"/>
          <w:szCs w:val="22"/>
        </w:rPr>
        <w:t>Applied Psychology, 62</w:t>
      </w:r>
      <w:r w:rsidRPr="00C95105">
        <w:rPr>
          <w:rFonts w:asciiTheme="minorHAnsi" w:hAnsiTheme="minorHAnsi" w:cstheme="minorHAnsi"/>
          <w:color w:val="000000"/>
          <w:sz w:val="22"/>
          <w:szCs w:val="22"/>
        </w:rPr>
        <w:t xml:space="preserve">(3), 427-453. </w:t>
      </w:r>
      <w:r w:rsidR="00775CD7" w:rsidRPr="00C95105">
        <w:rPr>
          <w:rFonts w:asciiTheme="minorHAnsi" w:hAnsiTheme="minorHAnsi" w:cstheme="minorHAnsi"/>
          <w:color w:val="000000"/>
          <w:sz w:val="22"/>
          <w:szCs w:val="22"/>
        </w:rPr>
        <w:t xml:space="preserve">doi: </w:t>
      </w:r>
      <w:r w:rsidRPr="00C95105">
        <w:rPr>
          <w:rFonts w:asciiTheme="minorHAnsi" w:hAnsiTheme="minorHAnsi" w:cstheme="minorHAnsi"/>
          <w:color w:val="000000"/>
          <w:sz w:val="22"/>
          <w:szCs w:val="22"/>
        </w:rPr>
        <w:t>10.1111/j.1464-0597.2012.00487.x</w:t>
      </w:r>
    </w:p>
    <w:p w14:paraId="6032F5BD" w14:textId="2F79B572" w:rsidR="000C27B3"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Hiscox, M. J.</w:t>
      </w:r>
      <w:r w:rsidR="00C8017C" w:rsidRPr="00C95105">
        <w:rPr>
          <w:rFonts w:asciiTheme="minorHAnsi" w:hAnsiTheme="minorHAnsi" w:cstheme="minorHAnsi"/>
          <w:color w:val="000000"/>
          <w:sz w:val="22"/>
          <w:szCs w:val="22"/>
        </w:rPr>
        <w:t xml:space="preserve">, Oliver, T., Ridgway, M., </w:t>
      </w:r>
      <w:r w:rsidR="000D3C0A" w:rsidRPr="00C95105">
        <w:rPr>
          <w:rFonts w:asciiTheme="minorHAnsi" w:hAnsiTheme="minorHAnsi" w:cstheme="minorHAnsi"/>
          <w:color w:val="000000"/>
          <w:sz w:val="22"/>
          <w:szCs w:val="22"/>
        </w:rPr>
        <w:t xml:space="preserve">Arcos-Holzinger, L., Warren, A., &amp; Willis, A. </w:t>
      </w:r>
      <w:r w:rsidRPr="00C95105">
        <w:rPr>
          <w:rFonts w:asciiTheme="minorHAnsi" w:hAnsiTheme="minorHAnsi" w:cstheme="minorHAnsi"/>
          <w:color w:val="000000"/>
          <w:sz w:val="22"/>
          <w:szCs w:val="22"/>
        </w:rPr>
        <w:t xml:space="preserve">(2016). </w:t>
      </w:r>
      <w:r w:rsidRPr="00C95105">
        <w:rPr>
          <w:rFonts w:asciiTheme="minorHAnsi" w:hAnsiTheme="minorHAnsi" w:cstheme="minorHAnsi"/>
          <w:i/>
          <w:iCs/>
          <w:color w:val="000000"/>
          <w:sz w:val="22"/>
          <w:szCs w:val="22"/>
        </w:rPr>
        <w:t>Unconscious bias in hiring in the Australian public service</w:t>
      </w:r>
      <w:r w:rsidRPr="00C95105">
        <w:rPr>
          <w:rFonts w:asciiTheme="minorHAnsi" w:hAnsiTheme="minorHAnsi" w:cstheme="minorHAnsi"/>
          <w:color w:val="000000"/>
          <w:sz w:val="22"/>
          <w:szCs w:val="22"/>
        </w:rPr>
        <w:t xml:space="preserve">. </w:t>
      </w:r>
      <w:r w:rsidR="000C27B3" w:rsidRPr="00C95105">
        <w:rPr>
          <w:rFonts w:asciiTheme="minorHAnsi" w:hAnsiTheme="minorHAnsi" w:cstheme="minorHAnsi"/>
          <w:color w:val="000000"/>
          <w:sz w:val="22"/>
          <w:szCs w:val="22"/>
        </w:rPr>
        <w:t xml:space="preserve">Canberra, </w:t>
      </w:r>
      <w:r w:rsidR="00EC4417" w:rsidRPr="00C95105">
        <w:rPr>
          <w:rFonts w:asciiTheme="minorHAnsi" w:hAnsiTheme="minorHAnsi" w:cstheme="minorHAnsi"/>
          <w:color w:val="000000"/>
          <w:sz w:val="22"/>
          <w:szCs w:val="22"/>
        </w:rPr>
        <w:t xml:space="preserve">Australia: Commonwealth of Australia, Department of the Prime </w:t>
      </w:r>
      <w:r w:rsidR="005E4BEB" w:rsidRPr="00C95105">
        <w:rPr>
          <w:rFonts w:asciiTheme="minorHAnsi" w:hAnsiTheme="minorHAnsi" w:cstheme="minorHAnsi"/>
          <w:color w:val="000000"/>
          <w:sz w:val="22"/>
          <w:szCs w:val="22"/>
        </w:rPr>
        <w:t>Minister</w:t>
      </w:r>
      <w:r w:rsidR="000D3C0A" w:rsidRPr="00C95105">
        <w:rPr>
          <w:rFonts w:asciiTheme="minorHAnsi" w:hAnsiTheme="minorHAnsi" w:cstheme="minorHAnsi"/>
          <w:color w:val="000000"/>
          <w:sz w:val="22"/>
          <w:szCs w:val="22"/>
        </w:rPr>
        <w:t xml:space="preserve"> </w:t>
      </w:r>
      <w:r w:rsidR="00EC4417" w:rsidRPr="00C95105">
        <w:rPr>
          <w:rFonts w:asciiTheme="minorHAnsi" w:hAnsiTheme="minorHAnsi" w:cstheme="minorHAnsi"/>
          <w:color w:val="000000"/>
          <w:sz w:val="22"/>
          <w:szCs w:val="22"/>
        </w:rPr>
        <w:t>and Cabinet</w:t>
      </w:r>
      <w:r w:rsidR="001E264D" w:rsidRPr="00C95105">
        <w:rPr>
          <w:rFonts w:asciiTheme="minorHAnsi" w:hAnsiTheme="minorHAnsi" w:cstheme="minorHAnsi"/>
          <w:color w:val="000000"/>
          <w:sz w:val="22"/>
          <w:szCs w:val="22"/>
        </w:rPr>
        <w:t xml:space="preserve">. Retrieved </w:t>
      </w:r>
      <w:r w:rsidR="00CE78BA" w:rsidRPr="00C95105">
        <w:rPr>
          <w:rFonts w:asciiTheme="minorHAnsi" w:hAnsiTheme="minorHAnsi" w:cstheme="minorHAnsi"/>
          <w:color w:val="000000"/>
          <w:sz w:val="22"/>
          <w:szCs w:val="22"/>
        </w:rPr>
        <w:t>in</w:t>
      </w:r>
      <w:r w:rsidR="001E264D" w:rsidRPr="00C95105">
        <w:rPr>
          <w:rFonts w:asciiTheme="minorHAnsi" w:hAnsiTheme="minorHAnsi" w:cstheme="minorHAnsi"/>
          <w:color w:val="000000"/>
          <w:sz w:val="22"/>
          <w:szCs w:val="22"/>
        </w:rPr>
        <w:t xml:space="preserve"> July 2021 from</w:t>
      </w:r>
      <w:r w:rsidR="00CE78BA" w:rsidRPr="00C95105">
        <w:rPr>
          <w:rFonts w:asciiTheme="minorHAnsi" w:hAnsiTheme="minorHAnsi" w:cstheme="minorHAnsi"/>
          <w:color w:val="000000"/>
          <w:sz w:val="22"/>
          <w:szCs w:val="22"/>
        </w:rPr>
        <w:t>: https://behaviouraleconomics.pmc.gov.au/sites/default/files/projects/unconscious-bias.pdf</w:t>
      </w:r>
    </w:p>
    <w:p w14:paraId="59464FA3" w14:textId="3364C88F" w:rsidR="00530E45"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Ingalls, S. A. (2018). </w:t>
      </w:r>
      <w:r w:rsidRPr="00C95105">
        <w:rPr>
          <w:rFonts w:asciiTheme="minorHAnsi" w:hAnsiTheme="minorHAnsi" w:cstheme="minorHAnsi"/>
          <w:i/>
          <w:iCs/>
          <w:color w:val="000000"/>
          <w:sz w:val="22"/>
          <w:szCs w:val="22"/>
        </w:rPr>
        <w:t>The effects of a blind selection process on gender discrimination in applicant selection</w:t>
      </w:r>
      <w:r w:rsidRPr="00C95105">
        <w:rPr>
          <w:rFonts w:asciiTheme="minorHAnsi" w:hAnsiTheme="minorHAnsi" w:cstheme="minorHAnsi"/>
          <w:color w:val="000000"/>
          <w:sz w:val="22"/>
          <w:szCs w:val="22"/>
        </w:rPr>
        <w:t>. Electronic Theses, Projects and Dissertations., California State University, San Bernardino.</w:t>
      </w:r>
      <w:r w:rsidR="002F1263" w:rsidRPr="00C95105">
        <w:rPr>
          <w:rFonts w:asciiTheme="minorHAnsi" w:hAnsiTheme="minorHAnsi" w:cstheme="minorHAnsi"/>
          <w:color w:val="000000"/>
          <w:sz w:val="22"/>
          <w:szCs w:val="22"/>
        </w:rPr>
        <w:t xml:space="preserve"> Retrieved </w:t>
      </w:r>
      <w:r w:rsidR="00CE78BA" w:rsidRPr="00C95105">
        <w:rPr>
          <w:rFonts w:asciiTheme="minorHAnsi" w:hAnsiTheme="minorHAnsi" w:cstheme="minorHAnsi"/>
          <w:color w:val="000000"/>
          <w:sz w:val="22"/>
          <w:szCs w:val="22"/>
        </w:rPr>
        <w:t>in</w:t>
      </w:r>
      <w:r w:rsidR="002F1263" w:rsidRPr="00C95105">
        <w:rPr>
          <w:rFonts w:asciiTheme="minorHAnsi" w:hAnsiTheme="minorHAnsi" w:cstheme="minorHAnsi"/>
          <w:color w:val="000000"/>
          <w:sz w:val="22"/>
          <w:szCs w:val="22"/>
        </w:rPr>
        <w:t xml:space="preserve"> July 2021 from </w:t>
      </w:r>
      <w:r w:rsidR="001E264D" w:rsidRPr="00C95105">
        <w:rPr>
          <w:rFonts w:asciiTheme="minorHAnsi" w:hAnsiTheme="minorHAnsi" w:cstheme="minorHAnsi"/>
          <w:color w:val="000000"/>
          <w:sz w:val="22"/>
          <w:szCs w:val="22"/>
        </w:rPr>
        <w:t>https://scholarworks.lib.csusb.edu/etd/715/</w:t>
      </w:r>
      <w:r w:rsidR="002F1263" w:rsidRPr="00C95105">
        <w:rPr>
          <w:rFonts w:asciiTheme="minorHAnsi" w:hAnsiTheme="minorHAnsi" w:cstheme="minorHAnsi"/>
          <w:color w:val="000000"/>
          <w:sz w:val="22"/>
          <w:szCs w:val="22"/>
        </w:rPr>
        <w:t>.</w:t>
      </w:r>
    </w:p>
    <w:p w14:paraId="781631DF" w14:textId="77777777" w:rsidR="005E4BEB"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Kaufmann, M. C., Krings, F., &amp; Sczesny, S. (2016). Looking too old? How an older age appearance reduces chances of being hired. </w:t>
      </w:r>
      <w:r w:rsidRPr="00C95105">
        <w:rPr>
          <w:rFonts w:asciiTheme="minorHAnsi" w:hAnsiTheme="minorHAnsi" w:cstheme="minorHAnsi"/>
          <w:i/>
          <w:iCs/>
          <w:color w:val="000000"/>
          <w:sz w:val="22"/>
          <w:szCs w:val="22"/>
        </w:rPr>
        <w:t>British Journal of Management, 27</w:t>
      </w:r>
      <w:r w:rsidRPr="00C95105">
        <w:rPr>
          <w:rFonts w:asciiTheme="minorHAnsi" w:hAnsiTheme="minorHAnsi" w:cstheme="minorHAnsi"/>
          <w:color w:val="000000"/>
          <w:sz w:val="22"/>
          <w:szCs w:val="22"/>
        </w:rPr>
        <w:t>(4), 727-739.</w:t>
      </w:r>
    </w:p>
    <w:p w14:paraId="3DA62F1D" w14:textId="77777777" w:rsidR="001C5F28"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Krause, A., Rinne, U., &amp; Zimmermann, K. F. (2012). Anonymous </w:t>
      </w:r>
      <w:r w:rsidR="00BF5313" w:rsidRPr="00C95105">
        <w:rPr>
          <w:rFonts w:asciiTheme="minorHAnsi" w:hAnsiTheme="minorHAnsi" w:cstheme="minorHAnsi"/>
          <w:color w:val="000000"/>
          <w:sz w:val="22"/>
          <w:szCs w:val="22"/>
        </w:rPr>
        <w:t xml:space="preserve">job applications of fresh </w:t>
      </w:r>
      <w:r w:rsidRPr="00C95105">
        <w:rPr>
          <w:rFonts w:asciiTheme="minorHAnsi" w:hAnsiTheme="minorHAnsi" w:cstheme="minorHAnsi"/>
          <w:color w:val="000000"/>
          <w:sz w:val="22"/>
          <w:szCs w:val="22"/>
        </w:rPr>
        <w:t xml:space="preserve">Ph.D. </w:t>
      </w:r>
      <w:r w:rsidR="00BF5313" w:rsidRPr="00C95105">
        <w:rPr>
          <w:rFonts w:asciiTheme="minorHAnsi" w:hAnsiTheme="minorHAnsi" w:cstheme="minorHAnsi"/>
          <w:color w:val="000000"/>
          <w:sz w:val="22"/>
          <w:szCs w:val="22"/>
        </w:rPr>
        <w:t>e</w:t>
      </w:r>
      <w:r w:rsidRPr="00C95105">
        <w:rPr>
          <w:rFonts w:asciiTheme="minorHAnsi" w:hAnsiTheme="minorHAnsi" w:cstheme="minorHAnsi"/>
          <w:color w:val="000000"/>
          <w:sz w:val="22"/>
          <w:szCs w:val="22"/>
        </w:rPr>
        <w:t xml:space="preserve">conomists. </w:t>
      </w:r>
      <w:r w:rsidRPr="00C95105">
        <w:rPr>
          <w:rFonts w:asciiTheme="minorHAnsi" w:hAnsiTheme="minorHAnsi" w:cstheme="minorHAnsi"/>
          <w:i/>
          <w:iCs/>
          <w:color w:val="000000"/>
          <w:sz w:val="22"/>
          <w:szCs w:val="22"/>
        </w:rPr>
        <w:t>Economics Letters, 117</w:t>
      </w:r>
      <w:r w:rsidRPr="00C95105">
        <w:rPr>
          <w:rFonts w:asciiTheme="minorHAnsi" w:hAnsiTheme="minorHAnsi" w:cstheme="minorHAnsi"/>
          <w:color w:val="000000"/>
          <w:sz w:val="22"/>
          <w:szCs w:val="22"/>
        </w:rPr>
        <w:t>(2), 441-444. </w:t>
      </w:r>
      <w:r w:rsidR="005E4BEB" w:rsidRPr="00C95105">
        <w:rPr>
          <w:rFonts w:asciiTheme="minorHAnsi" w:hAnsiTheme="minorHAnsi" w:cstheme="minorHAnsi"/>
          <w:color w:val="000000"/>
          <w:sz w:val="22"/>
          <w:szCs w:val="22"/>
        </w:rPr>
        <w:t xml:space="preserve">doi: </w:t>
      </w:r>
      <w:r w:rsidR="005E4BEB" w:rsidRPr="00C95105">
        <w:rPr>
          <w:rFonts w:asciiTheme="minorHAnsi" w:hAnsiTheme="minorHAnsi" w:cstheme="minorHAnsi"/>
          <w:sz w:val="22"/>
          <w:szCs w:val="22"/>
        </w:rPr>
        <w:t>10.1016/j.econlet.2012.06.029</w:t>
      </w:r>
    </w:p>
    <w:p w14:paraId="3E85B248" w14:textId="30F838C2" w:rsidR="001441B7"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Krause, A., Rinne, U., &amp; Zimmermann, K. F. (2012). Anonymous job applications in</w:t>
      </w:r>
      <w:r w:rsidR="001C5F28" w:rsidRPr="00C95105">
        <w:rPr>
          <w:rFonts w:asciiTheme="minorHAnsi" w:hAnsiTheme="minorHAnsi" w:cstheme="minorHAnsi"/>
          <w:color w:val="000000"/>
          <w:sz w:val="22"/>
          <w:szCs w:val="22"/>
        </w:rPr>
        <w:t xml:space="preserve"> </w:t>
      </w:r>
      <w:r w:rsidRPr="00C95105">
        <w:rPr>
          <w:rFonts w:asciiTheme="minorHAnsi" w:hAnsiTheme="minorHAnsi" w:cstheme="minorHAnsi"/>
          <w:color w:val="000000"/>
          <w:sz w:val="22"/>
          <w:szCs w:val="22"/>
        </w:rPr>
        <w:t>Europe. </w:t>
      </w:r>
      <w:r w:rsidRPr="00C95105">
        <w:rPr>
          <w:rFonts w:asciiTheme="minorHAnsi" w:hAnsiTheme="minorHAnsi" w:cstheme="minorHAnsi"/>
          <w:i/>
          <w:iCs/>
          <w:color w:val="000000"/>
          <w:sz w:val="22"/>
          <w:szCs w:val="22"/>
        </w:rPr>
        <w:t>IZA Journal of European Labor Studies, 1</w:t>
      </w:r>
      <w:r w:rsidRPr="00C95105">
        <w:rPr>
          <w:rFonts w:asciiTheme="minorHAnsi" w:hAnsiTheme="minorHAnsi" w:cstheme="minorHAnsi"/>
          <w:color w:val="000000"/>
          <w:sz w:val="22"/>
          <w:szCs w:val="22"/>
        </w:rPr>
        <w:t>(1), 1-20.</w:t>
      </w:r>
      <w:r w:rsidR="001441B7" w:rsidRPr="00C95105">
        <w:rPr>
          <w:rFonts w:asciiTheme="minorHAnsi" w:hAnsiTheme="minorHAnsi" w:cstheme="minorHAnsi"/>
          <w:color w:val="000000"/>
          <w:sz w:val="22"/>
          <w:szCs w:val="22"/>
        </w:rPr>
        <w:t xml:space="preserve"> doi: </w:t>
      </w:r>
      <w:r w:rsidR="001441B7" w:rsidRPr="00C95105">
        <w:rPr>
          <w:rFonts w:asciiTheme="minorHAnsi" w:hAnsiTheme="minorHAnsi" w:cstheme="minorHAnsi"/>
          <w:color w:val="333333"/>
          <w:sz w:val="22"/>
          <w:szCs w:val="22"/>
          <w:shd w:val="clear" w:color="auto" w:fill="FCFCFC"/>
        </w:rPr>
        <w:t>10.1186/2193-9012-1-5</w:t>
      </w:r>
    </w:p>
    <w:p w14:paraId="3D43BC79" w14:textId="6F4571AE" w:rsidR="00530E45"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Lacroux, A., &amp; Martin‐Lacroux, C. (2020). Anonymous résumés: An effective preselection method? </w:t>
      </w:r>
      <w:r w:rsidRPr="00C95105">
        <w:rPr>
          <w:rFonts w:asciiTheme="minorHAnsi" w:hAnsiTheme="minorHAnsi" w:cstheme="minorHAnsi"/>
          <w:i/>
          <w:iCs/>
          <w:color w:val="000000"/>
          <w:sz w:val="22"/>
          <w:szCs w:val="22"/>
        </w:rPr>
        <w:t>International Journal of Selection and Assessment, 28</w:t>
      </w:r>
      <w:r w:rsidRPr="00C95105">
        <w:rPr>
          <w:rFonts w:asciiTheme="minorHAnsi" w:hAnsiTheme="minorHAnsi" w:cstheme="minorHAnsi"/>
          <w:color w:val="000000"/>
          <w:sz w:val="22"/>
          <w:szCs w:val="22"/>
        </w:rPr>
        <w:t>(1), 98-111.</w:t>
      </w:r>
      <w:r w:rsidR="00F82426" w:rsidRPr="00C95105">
        <w:rPr>
          <w:rFonts w:asciiTheme="minorHAnsi" w:hAnsiTheme="minorHAnsi" w:cstheme="minorHAnsi"/>
          <w:color w:val="000000"/>
          <w:sz w:val="22"/>
          <w:szCs w:val="22"/>
        </w:rPr>
        <w:t xml:space="preserve"> doi: 10.1111/ijsa.12275</w:t>
      </w:r>
    </w:p>
    <w:p w14:paraId="6AA254E8" w14:textId="08C17F9E" w:rsidR="00530E45" w:rsidRPr="00C95105" w:rsidRDefault="00530E45" w:rsidP="005D5F97">
      <w:pPr>
        <w:spacing w:after="120"/>
        <w:ind w:left="426" w:hanging="426"/>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Stratemeyer, M., Sojo, V., Wheeler, M., Rozenblat, V., Lee, I., Peter, D., Kociski, M., McGrath, M., Genat, A., &amp; Wood, R. (2018). </w:t>
      </w:r>
      <w:r w:rsidRPr="00C95105">
        <w:rPr>
          <w:rFonts w:asciiTheme="minorHAnsi" w:hAnsiTheme="minorHAnsi" w:cstheme="minorHAnsi"/>
          <w:i/>
          <w:iCs/>
          <w:color w:val="000000"/>
          <w:sz w:val="22"/>
          <w:szCs w:val="22"/>
        </w:rPr>
        <w:t>Recruit Smarter Technical Report</w:t>
      </w:r>
      <w:r w:rsidRPr="00C95105">
        <w:rPr>
          <w:rFonts w:asciiTheme="minorHAnsi" w:hAnsiTheme="minorHAnsi" w:cstheme="minorHAnsi"/>
          <w:color w:val="000000"/>
          <w:sz w:val="22"/>
          <w:szCs w:val="22"/>
        </w:rPr>
        <w:t>. Victorian Government.</w:t>
      </w:r>
      <w:r w:rsidR="001C5F28" w:rsidRPr="00C95105">
        <w:rPr>
          <w:rFonts w:asciiTheme="minorHAnsi" w:hAnsiTheme="minorHAnsi" w:cstheme="minorHAnsi"/>
          <w:color w:val="000000"/>
          <w:sz w:val="22"/>
          <w:szCs w:val="22"/>
        </w:rPr>
        <w:t xml:space="preserve"> Retrieved </w:t>
      </w:r>
      <w:r w:rsidR="00CE78BA" w:rsidRPr="00C95105">
        <w:rPr>
          <w:rFonts w:asciiTheme="minorHAnsi" w:hAnsiTheme="minorHAnsi" w:cstheme="minorHAnsi"/>
          <w:color w:val="000000"/>
          <w:sz w:val="22"/>
          <w:szCs w:val="22"/>
        </w:rPr>
        <w:t>in</w:t>
      </w:r>
      <w:r w:rsidR="001C5F28" w:rsidRPr="00C95105">
        <w:rPr>
          <w:rFonts w:asciiTheme="minorHAnsi" w:hAnsiTheme="minorHAnsi" w:cstheme="minorHAnsi"/>
          <w:color w:val="000000"/>
          <w:sz w:val="22"/>
          <w:szCs w:val="22"/>
        </w:rPr>
        <w:t xml:space="preserve"> </w:t>
      </w:r>
      <w:r w:rsidR="002F1263" w:rsidRPr="00C95105">
        <w:rPr>
          <w:rFonts w:asciiTheme="minorHAnsi" w:hAnsiTheme="minorHAnsi" w:cstheme="minorHAnsi"/>
          <w:color w:val="000000"/>
          <w:sz w:val="22"/>
          <w:szCs w:val="22"/>
        </w:rPr>
        <w:t xml:space="preserve">July 2021 from </w:t>
      </w:r>
      <w:hyperlink r:id="rId38" w:history="1">
        <w:r w:rsidR="009046B5" w:rsidRPr="00C95105">
          <w:rPr>
            <w:rStyle w:val="Hyperlink"/>
            <w:rFonts w:asciiTheme="minorHAnsi" w:hAnsiTheme="minorHAnsi" w:cstheme="minorHAnsi"/>
            <w:sz w:val="22"/>
            <w:szCs w:val="22"/>
          </w:rPr>
          <w:t>https://www.vic.gov.au/recruit-smarter</w:t>
        </w:r>
      </w:hyperlink>
      <w:r w:rsidR="002F1263" w:rsidRPr="00C95105">
        <w:rPr>
          <w:rFonts w:asciiTheme="minorHAnsi" w:hAnsiTheme="minorHAnsi" w:cstheme="minorHAnsi"/>
          <w:color w:val="000000"/>
          <w:sz w:val="22"/>
          <w:szCs w:val="22"/>
        </w:rPr>
        <w:t>.</w:t>
      </w:r>
    </w:p>
    <w:p w14:paraId="68C6E7AE" w14:textId="02499841" w:rsidR="009046B5" w:rsidRPr="00C95105" w:rsidRDefault="009046B5" w:rsidP="005D5F97">
      <w:pPr>
        <w:spacing w:after="120"/>
        <w:ind w:left="426" w:hanging="426"/>
        <w:rPr>
          <w:rFonts w:asciiTheme="minorHAnsi" w:hAnsiTheme="minorHAnsi" w:cstheme="minorHAnsi"/>
          <w:color w:val="000000"/>
          <w:sz w:val="22"/>
          <w:szCs w:val="22"/>
        </w:rPr>
      </w:pPr>
    </w:p>
    <w:p w14:paraId="78D82F75" w14:textId="77777777" w:rsidR="009046B5" w:rsidRPr="00C95105" w:rsidRDefault="009046B5" w:rsidP="005D5F97">
      <w:pPr>
        <w:spacing w:after="120"/>
        <w:ind w:left="426" w:hanging="426"/>
        <w:rPr>
          <w:rFonts w:asciiTheme="minorHAnsi" w:hAnsiTheme="minorHAnsi" w:cstheme="minorHAnsi"/>
          <w:color w:val="000000"/>
          <w:sz w:val="22"/>
          <w:szCs w:val="22"/>
        </w:rPr>
        <w:sectPr w:rsidR="009046B5" w:rsidRPr="00C95105" w:rsidSect="00FF16B6">
          <w:headerReference w:type="even" r:id="rId39"/>
          <w:headerReference w:type="default" r:id="rId40"/>
          <w:footerReference w:type="default" r:id="rId41"/>
          <w:headerReference w:type="first" r:id="rId42"/>
          <w:pgSz w:w="11906" w:h="16838"/>
          <w:pgMar w:top="1440" w:right="1440" w:bottom="1440" w:left="1440" w:header="708" w:footer="708" w:gutter="0"/>
          <w:cols w:space="708"/>
          <w:docGrid w:linePitch="360"/>
        </w:sectPr>
      </w:pPr>
    </w:p>
    <w:p w14:paraId="4254750B" w14:textId="33272AE3" w:rsidR="003B7F36" w:rsidRPr="00A54CE0" w:rsidRDefault="004011EB" w:rsidP="00FA0D55">
      <w:pPr>
        <w:pStyle w:val="Heading1"/>
        <w:spacing w:before="0" w:after="120"/>
        <w:jc w:val="center"/>
        <w:rPr>
          <w:rFonts w:asciiTheme="minorHAnsi" w:hAnsiTheme="minorHAnsi" w:cstheme="minorHAnsi"/>
          <w:b/>
          <w:bCs/>
          <w:color w:val="FFFFFF" w:themeColor="background1"/>
        </w:rPr>
      </w:pPr>
      <w:bookmarkStart w:id="150" w:name="_Toc96957683"/>
      <w:r w:rsidRPr="00A54CE0">
        <w:rPr>
          <w:rFonts w:asciiTheme="minorHAnsi" w:hAnsiTheme="minorHAnsi" w:cstheme="minorHAnsi"/>
          <w:b/>
          <w:bCs/>
          <w:color w:val="FFFFFF" w:themeColor="background1"/>
        </w:rPr>
        <w:lastRenderedPageBreak/>
        <w:t xml:space="preserve">Chapter 3 - </w:t>
      </w:r>
      <w:r w:rsidR="003B7F36" w:rsidRPr="00A54CE0">
        <w:rPr>
          <w:rFonts w:asciiTheme="minorHAnsi" w:hAnsiTheme="minorHAnsi" w:cstheme="minorHAnsi"/>
          <w:color w:val="FFFFFF" w:themeColor="background1"/>
        </w:rPr>
        <w:t xml:space="preserve">Men’s </w:t>
      </w:r>
      <w:r w:rsidR="00E554C2" w:rsidRPr="00A54CE0">
        <w:rPr>
          <w:rFonts w:asciiTheme="minorHAnsi" w:hAnsiTheme="minorHAnsi" w:cstheme="minorHAnsi"/>
          <w:color w:val="FFFFFF" w:themeColor="background1"/>
        </w:rPr>
        <w:t>E</w:t>
      </w:r>
      <w:r w:rsidR="003B7F36" w:rsidRPr="00A54CE0">
        <w:rPr>
          <w:rFonts w:asciiTheme="minorHAnsi" w:hAnsiTheme="minorHAnsi" w:cstheme="minorHAnsi"/>
          <w:color w:val="FFFFFF" w:themeColor="background1"/>
        </w:rPr>
        <w:t xml:space="preserve">ngagement with </w:t>
      </w:r>
      <w:r w:rsidR="00E554C2" w:rsidRPr="00A54CE0">
        <w:rPr>
          <w:rFonts w:asciiTheme="minorHAnsi" w:hAnsiTheme="minorHAnsi" w:cstheme="minorHAnsi"/>
          <w:color w:val="FFFFFF" w:themeColor="background1"/>
        </w:rPr>
        <w:t>F</w:t>
      </w:r>
      <w:r w:rsidR="003B7F36" w:rsidRPr="00A54CE0">
        <w:rPr>
          <w:rFonts w:asciiTheme="minorHAnsi" w:hAnsiTheme="minorHAnsi" w:cstheme="minorHAnsi"/>
          <w:color w:val="FFFFFF" w:themeColor="background1"/>
        </w:rPr>
        <w:t xml:space="preserve">lexible </w:t>
      </w:r>
      <w:r w:rsidR="00E554C2" w:rsidRPr="00A54CE0">
        <w:rPr>
          <w:rFonts w:asciiTheme="minorHAnsi" w:hAnsiTheme="minorHAnsi" w:cstheme="minorHAnsi"/>
          <w:color w:val="FFFFFF" w:themeColor="background1"/>
        </w:rPr>
        <w:t>W</w:t>
      </w:r>
      <w:r w:rsidR="003B7F36" w:rsidRPr="00A54CE0">
        <w:rPr>
          <w:rFonts w:asciiTheme="minorHAnsi" w:hAnsiTheme="minorHAnsi" w:cstheme="minorHAnsi"/>
          <w:color w:val="FFFFFF" w:themeColor="background1"/>
        </w:rPr>
        <w:t xml:space="preserve">ork: Barriers and </w:t>
      </w:r>
      <w:r w:rsidR="00E554C2" w:rsidRPr="00A54CE0">
        <w:rPr>
          <w:rFonts w:asciiTheme="minorHAnsi" w:hAnsiTheme="minorHAnsi" w:cstheme="minorHAnsi"/>
          <w:color w:val="FFFFFF" w:themeColor="background1"/>
        </w:rPr>
        <w:t>F</w:t>
      </w:r>
      <w:r w:rsidR="003B7F36" w:rsidRPr="00A54CE0">
        <w:rPr>
          <w:rFonts w:asciiTheme="minorHAnsi" w:hAnsiTheme="minorHAnsi" w:cstheme="minorHAnsi"/>
          <w:color w:val="FFFFFF" w:themeColor="background1"/>
        </w:rPr>
        <w:t>acilitators </w:t>
      </w:r>
      <w:r w:rsidR="00E554C2" w:rsidRPr="00A54CE0">
        <w:rPr>
          <w:rFonts w:asciiTheme="minorHAnsi" w:hAnsiTheme="minorHAnsi" w:cstheme="minorHAnsi"/>
          <w:color w:val="FFFFFF" w:themeColor="background1"/>
        </w:rPr>
        <w:t>S</w:t>
      </w:r>
      <w:r w:rsidR="003B7F36" w:rsidRPr="00A54CE0">
        <w:rPr>
          <w:rFonts w:asciiTheme="minorHAnsi" w:hAnsiTheme="minorHAnsi" w:cstheme="minorHAnsi"/>
          <w:color w:val="FFFFFF" w:themeColor="background1"/>
        </w:rPr>
        <w:t xml:space="preserve">haping </w:t>
      </w:r>
      <w:r w:rsidR="00E554C2" w:rsidRPr="00A54CE0">
        <w:rPr>
          <w:rFonts w:asciiTheme="minorHAnsi" w:hAnsiTheme="minorHAnsi" w:cstheme="minorHAnsi"/>
          <w:color w:val="FFFFFF" w:themeColor="background1"/>
        </w:rPr>
        <w:t>F</w:t>
      </w:r>
      <w:r w:rsidR="003B7F36" w:rsidRPr="00A54CE0">
        <w:rPr>
          <w:rFonts w:asciiTheme="minorHAnsi" w:hAnsiTheme="minorHAnsi" w:cstheme="minorHAnsi"/>
          <w:color w:val="FFFFFF" w:themeColor="background1"/>
        </w:rPr>
        <w:t xml:space="preserve">athers’ </w:t>
      </w:r>
      <w:r w:rsidR="00E554C2" w:rsidRPr="00A54CE0">
        <w:rPr>
          <w:rFonts w:asciiTheme="minorHAnsi" w:hAnsiTheme="minorHAnsi" w:cstheme="minorHAnsi"/>
          <w:color w:val="FFFFFF" w:themeColor="background1"/>
        </w:rPr>
        <w:t>U</w:t>
      </w:r>
      <w:r w:rsidR="003B7F36" w:rsidRPr="00A54CE0">
        <w:rPr>
          <w:rFonts w:asciiTheme="minorHAnsi" w:hAnsiTheme="minorHAnsi" w:cstheme="minorHAnsi"/>
          <w:color w:val="FFFFFF" w:themeColor="background1"/>
        </w:rPr>
        <w:t xml:space="preserve">ptake of </w:t>
      </w:r>
      <w:r w:rsidR="00E554C2" w:rsidRPr="00A54CE0">
        <w:rPr>
          <w:rFonts w:asciiTheme="minorHAnsi" w:hAnsiTheme="minorHAnsi" w:cstheme="minorHAnsi"/>
          <w:color w:val="FFFFFF" w:themeColor="background1"/>
        </w:rPr>
        <w:t>P</w:t>
      </w:r>
      <w:r w:rsidR="003B7F36" w:rsidRPr="00A54CE0">
        <w:rPr>
          <w:rFonts w:asciiTheme="minorHAnsi" w:hAnsiTheme="minorHAnsi" w:cstheme="minorHAnsi"/>
          <w:color w:val="FFFFFF" w:themeColor="background1"/>
        </w:rPr>
        <w:t xml:space="preserve">arental </w:t>
      </w:r>
      <w:r w:rsidR="00E554C2" w:rsidRPr="00A54CE0">
        <w:rPr>
          <w:rFonts w:asciiTheme="minorHAnsi" w:hAnsiTheme="minorHAnsi" w:cstheme="minorHAnsi"/>
          <w:color w:val="FFFFFF" w:themeColor="background1"/>
        </w:rPr>
        <w:t>L</w:t>
      </w:r>
      <w:r w:rsidR="003B7F36" w:rsidRPr="00A54CE0">
        <w:rPr>
          <w:rFonts w:asciiTheme="minorHAnsi" w:hAnsiTheme="minorHAnsi" w:cstheme="minorHAnsi"/>
          <w:color w:val="FFFFFF" w:themeColor="background1"/>
        </w:rPr>
        <w:t>eave</w:t>
      </w:r>
      <w:bookmarkEnd w:id="150"/>
    </w:p>
    <w:p w14:paraId="3D1AF91F" w14:textId="77777777" w:rsidR="003B7F36" w:rsidRPr="00A54CE0" w:rsidRDefault="003B7F36" w:rsidP="004011EB">
      <w:pPr>
        <w:spacing w:after="120"/>
        <w:jc w:val="center"/>
        <w:textAlignment w:val="baseline"/>
        <w:rPr>
          <w:rFonts w:asciiTheme="minorHAnsi" w:hAnsiTheme="minorHAnsi" w:cstheme="minorHAnsi"/>
          <w:color w:val="FFFFFF" w:themeColor="background1"/>
          <w:sz w:val="18"/>
          <w:szCs w:val="18"/>
        </w:rPr>
      </w:pPr>
      <w:r w:rsidRPr="00A54CE0">
        <w:rPr>
          <w:rFonts w:asciiTheme="minorHAnsi" w:hAnsiTheme="minorHAnsi" w:cstheme="minorHAnsi"/>
          <w:color w:val="FFFFFF" w:themeColor="background1"/>
          <w:sz w:val="26"/>
          <w:szCs w:val="26"/>
        </w:rPr>
        <w:t> </w:t>
      </w:r>
    </w:p>
    <w:p w14:paraId="44FB9755" w14:textId="7774393B"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i/>
          <w:iCs/>
          <w:sz w:val="22"/>
          <w:szCs w:val="22"/>
        </w:rPr>
        <w:t>PhD Candidate Rachael Hadoux</w:t>
      </w:r>
      <w:r w:rsidRPr="00C95105">
        <w:rPr>
          <w:rFonts w:asciiTheme="minorHAnsi" w:hAnsiTheme="minorHAnsi" w:cstheme="minorHAnsi"/>
          <w:sz w:val="22"/>
          <w:szCs w:val="22"/>
        </w:rPr>
        <w:t>, The University of Melbourne</w:t>
      </w:r>
    </w:p>
    <w:p w14:paraId="02E97E9C" w14:textId="4C577D5D"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i/>
          <w:iCs/>
          <w:sz w:val="22"/>
          <w:szCs w:val="22"/>
        </w:rPr>
        <w:t>Dr Melissa Wheeler</w:t>
      </w:r>
      <w:r w:rsidRPr="00C95105">
        <w:rPr>
          <w:rFonts w:asciiTheme="minorHAnsi" w:hAnsiTheme="minorHAnsi" w:cstheme="minorHAnsi"/>
          <w:sz w:val="22"/>
          <w:szCs w:val="22"/>
        </w:rPr>
        <w:t xml:space="preserve">, </w:t>
      </w:r>
      <w:r w:rsidR="00E554C2" w:rsidRPr="00C95105">
        <w:rPr>
          <w:rFonts w:asciiTheme="minorHAnsi" w:hAnsiTheme="minorHAnsi" w:cstheme="minorHAnsi"/>
          <w:sz w:val="22"/>
          <w:szCs w:val="22"/>
        </w:rPr>
        <w:t>Swinburne</w:t>
      </w:r>
      <w:r w:rsidRPr="00C95105">
        <w:rPr>
          <w:rFonts w:asciiTheme="minorHAnsi" w:hAnsiTheme="minorHAnsi" w:cstheme="minorHAnsi"/>
          <w:sz w:val="22"/>
          <w:szCs w:val="22"/>
        </w:rPr>
        <w:t xml:space="preserve"> University of Technology</w:t>
      </w:r>
    </w:p>
    <w:p w14:paraId="52AADB45" w14:textId="0CF36E00"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i/>
          <w:iCs/>
          <w:sz w:val="22"/>
          <w:szCs w:val="22"/>
        </w:rPr>
        <w:t>Prof Cordelia Fine</w:t>
      </w:r>
      <w:r w:rsidRPr="00C95105">
        <w:rPr>
          <w:rFonts w:asciiTheme="minorHAnsi" w:hAnsiTheme="minorHAnsi" w:cstheme="minorHAnsi"/>
          <w:sz w:val="22"/>
          <w:szCs w:val="22"/>
        </w:rPr>
        <w:t xml:space="preserve">, The University of Melbourne </w:t>
      </w:r>
      <w:r w:rsidR="00A54CE0" w:rsidRPr="00C95105">
        <w:rPr>
          <w:rFonts w:asciiTheme="minorHAnsi" w:hAnsiTheme="minorHAnsi" w:cstheme="minorHAnsi"/>
          <w:noProof/>
          <w:color w:val="000000" w:themeColor="text1"/>
          <w:sz w:val="28"/>
          <w:szCs w:val="28"/>
        </w:rPr>
        <mc:AlternateContent>
          <mc:Choice Requires="wps">
            <w:drawing>
              <wp:anchor distT="0" distB="0" distL="114300" distR="114300" simplePos="0" relativeHeight="251658265" behindDoc="1" locked="1" layoutInCell="1" allowOverlap="1" wp14:anchorId="71CFC113" wp14:editId="0950467E">
                <wp:simplePos x="0" y="0"/>
                <wp:positionH relativeFrom="page">
                  <wp:posOffset>-224155</wp:posOffset>
                </wp:positionH>
                <wp:positionV relativeFrom="page">
                  <wp:posOffset>-106045</wp:posOffset>
                </wp:positionV>
                <wp:extent cx="7999095" cy="1697355"/>
                <wp:effectExtent l="0" t="0" r="1905" b="4445"/>
                <wp:wrapNone/>
                <wp:docPr id="144"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99095" cy="1697355"/>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B608A" id="Divider A BG" o:spid="_x0000_s1026" alt="&quot;&quot;" style="position:absolute;margin-left:-17.65pt;margin-top:-8.35pt;width:629.85pt;height:133.6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" fillcolor="#1c407f" stroked="f" strokeweight="1pt">
                <o:lock v:ext="edit" aspectratio="t"/>
                <w10:wrap anchorx="page" anchory="page"/>
                <w10:anchorlock/>
              </v:rect>
            </w:pict>
          </mc:Fallback>
        </mc:AlternateContent>
      </w:r>
    </w:p>
    <w:p w14:paraId="7FAAD389" w14:textId="77777777" w:rsidR="003B7F36" w:rsidRPr="00C95105" w:rsidRDefault="003B7F36" w:rsidP="004011EB">
      <w:pPr>
        <w:spacing w:after="120"/>
        <w:rPr>
          <w:rFonts w:asciiTheme="minorHAnsi" w:hAnsiTheme="minorHAnsi" w:cstheme="minorHAnsi"/>
          <w:sz w:val="22"/>
          <w:szCs w:val="22"/>
        </w:rPr>
      </w:pPr>
    </w:p>
    <w:p w14:paraId="57822E12" w14:textId="6DB906C1" w:rsidR="003B7F36" w:rsidRPr="00C95105" w:rsidRDefault="003B7F36" w:rsidP="0093280F">
      <w:pPr>
        <w:pStyle w:val="Heading2"/>
        <w:numPr>
          <w:ilvl w:val="1"/>
          <w:numId w:val="9"/>
        </w:numPr>
        <w:spacing w:before="0" w:after="120"/>
        <w:ind w:left="426" w:hanging="437"/>
        <w:rPr>
          <w:rFonts w:asciiTheme="minorHAnsi" w:hAnsiTheme="minorHAnsi" w:cstheme="minorHAnsi"/>
          <w:b/>
          <w:bCs/>
        </w:rPr>
      </w:pPr>
      <w:bookmarkStart w:id="151" w:name="_Toc96957684"/>
      <w:r w:rsidRPr="00C95105">
        <w:rPr>
          <w:rFonts w:asciiTheme="minorHAnsi" w:hAnsiTheme="minorHAnsi" w:cstheme="minorHAnsi"/>
          <w:b/>
          <w:bCs/>
        </w:rPr>
        <w:t>Executive Summary</w:t>
      </w:r>
      <w:bookmarkEnd w:id="151"/>
      <w:r w:rsidRPr="00C95105">
        <w:rPr>
          <w:rFonts w:asciiTheme="minorHAnsi" w:hAnsiTheme="minorHAnsi" w:cstheme="minorHAnsi"/>
          <w:b/>
          <w:bCs/>
        </w:rPr>
        <w:tab/>
        <w:t> </w:t>
      </w:r>
    </w:p>
    <w:p w14:paraId="28BBF358" w14:textId="565DB2C9" w:rsidR="00102EC5" w:rsidRPr="00C95105" w:rsidRDefault="003B7F36" w:rsidP="00102EC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Uptake of carer leave and flexible work is highly gendered, a phenomenon that can be understood as both an outcome of, and contributor to, gendered constraints operating within and outside the workplace. The objective of the current review was to identify individual, organisational, and societal barriers and facilitators shaping men’s uptake of flexible work. We undertook a rapid review, which follows the same principles of comprehensiveness and transparency as a systematic review, but with some aspects of the process streamlined to facilitate reporting in a short timeframe.</w:t>
      </w:r>
    </w:p>
    <w:p w14:paraId="04625EC5" w14:textId="41865B41" w:rsidR="00102EC5" w:rsidRPr="00C95105" w:rsidRDefault="003B7F36" w:rsidP="00102EC5">
      <w:pPr>
        <w:spacing w:after="120"/>
        <w:ind w:firstLine="567"/>
        <w:rPr>
          <w:rFonts w:asciiTheme="minorHAnsi" w:hAnsiTheme="minorHAnsi" w:cstheme="minorHAnsi"/>
          <w:sz w:val="22"/>
          <w:szCs w:val="22"/>
        </w:rPr>
      </w:pPr>
      <w:r w:rsidRPr="00C95105">
        <w:rPr>
          <w:rFonts w:asciiTheme="minorHAnsi" w:eastAsiaTheme="minorEastAsia" w:hAnsiTheme="minorHAnsi" w:cstheme="minorHAnsi"/>
          <w:sz w:val="22"/>
          <w:szCs w:val="22"/>
        </w:rPr>
        <w:t xml:space="preserve">Following a literature search for original, quantitative or qualitative research, we identified 62 studies reporting </w:t>
      </w:r>
      <w:r w:rsidR="6DF7E838" w:rsidRPr="00C95105">
        <w:rPr>
          <w:rFonts w:asciiTheme="minorHAnsi" w:eastAsiaTheme="minorEastAsia" w:hAnsiTheme="minorHAnsi" w:cstheme="minorHAnsi"/>
          <w:sz w:val="22"/>
          <w:szCs w:val="22"/>
        </w:rPr>
        <w:t>relationships</w:t>
      </w:r>
      <w:r w:rsidRPr="00C95105">
        <w:rPr>
          <w:rFonts w:asciiTheme="minorHAnsi" w:eastAsiaTheme="minorEastAsia" w:hAnsiTheme="minorHAnsi" w:cstheme="minorHAnsi"/>
          <w:sz w:val="22"/>
          <w:szCs w:val="22"/>
        </w:rPr>
        <w:t xml:space="preserve"> between any individual, interpersonal, organisational, or societal factor hypothesised to be positively (facilitator) or negatively (barrier) associated with men’s actual or intended use or non-use of flexible work. These studies largely focused on men’s use of paternity/parental leave, pointing to the need for further research investigating men’s engagement with other forms of flexible work.</w:t>
      </w:r>
    </w:p>
    <w:p w14:paraId="5AA2E685" w14:textId="77777777" w:rsidR="00102EC5" w:rsidRPr="00C95105" w:rsidRDefault="003B7F36" w:rsidP="00102EC5">
      <w:pPr>
        <w:spacing w:after="120"/>
        <w:ind w:firstLine="567"/>
        <w:rPr>
          <w:rFonts w:asciiTheme="minorHAnsi" w:hAnsiTheme="minorHAnsi" w:cstheme="minorHAnsi"/>
          <w:sz w:val="22"/>
          <w:szCs w:val="22"/>
        </w:rPr>
      </w:pPr>
      <w:r w:rsidRPr="00C95105">
        <w:rPr>
          <w:rFonts w:asciiTheme="minorHAnsi" w:eastAsiaTheme="minorEastAsia" w:hAnsiTheme="minorHAnsi" w:cstheme="minorHAnsi"/>
          <w:sz w:val="22"/>
          <w:szCs w:val="22"/>
        </w:rPr>
        <w:t>Broadly speaking, the findings highlighted the importance of ameliorating the economic and career costs for fathers who take up parental leave. Intrahousehold income inequalities (i.e., men’s greater earning power), masculine norms, and workplace cultures that stigmatise and punish men’s leave-taking were identified as key barriers. In contrast, dedicated, generous paternity leave reserved for fathers was identified as a key facilitator of uptake, that appears to help trump traditional gender attitudes and set new norms of entitlement for paternity leave. Facilitating flexible work through formal policies and informal practices and norms also appears to be helpful.</w:t>
      </w:r>
    </w:p>
    <w:p w14:paraId="3966D7EE" w14:textId="3F6D5868" w:rsidR="00C95832" w:rsidRPr="00C95105" w:rsidRDefault="003B7F36" w:rsidP="00102EC5">
      <w:pPr>
        <w:spacing w:after="120"/>
        <w:ind w:firstLine="567"/>
        <w:rPr>
          <w:rFonts w:asciiTheme="minorHAns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Facilitating men’s uptake of flexible work, particularly beyond a circumscribed period of parental leave, will be challenging for organisations in which such employee-friendly flexibility is currently stigmatised and/or incompatible with existing work patterns. It will call for a tailored, multi-level approach involving interventions at the level of leadership, management, infrastructure, policies, and workplace norms</w:t>
      </w:r>
      <w:r w:rsidRPr="00C95105">
        <w:rPr>
          <w:rFonts w:asciiTheme="minorHAnsi" w:hAnsiTheme="minorHAnsi" w:cstheme="minorHAnsi"/>
          <w:color w:val="000000" w:themeColor="text1"/>
          <w:sz w:val="22"/>
          <w:szCs w:val="22"/>
        </w:rPr>
        <w:t xml:space="preserve">. </w:t>
      </w:r>
    </w:p>
    <w:p w14:paraId="43740204" w14:textId="54627ADF" w:rsidR="003B7F36" w:rsidRPr="00C95105" w:rsidRDefault="003B7F36" w:rsidP="00102EC5">
      <w:pPr>
        <w:spacing w:after="120"/>
        <w:ind w:firstLine="567"/>
        <w:rPr>
          <w:rFonts w:asciiTheme="minorHAnsi" w:hAnsiTheme="minorHAnsi" w:cstheme="minorHAnsi"/>
          <w:sz w:val="22"/>
          <w:szCs w:val="22"/>
        </w:rPr>
      </w:pPr>
      <w:r w:rsidRPr="00C95105">
        <w:rPr>
          <w:rFonts w:asciiTheme="minorHAnsi" w:hAnsiTheme="minorHAnsi" w:cstheme="minorHAnsi"/>
          <w:color w:val="000000" w:themeColor="text1"/>
          <w:sz w:val="22"/>
          <w:szCs w:val="22"/>
        </w:rPr>
        <w:t>We rec</w:t>
      </w:r>
      <w:r w:rsidRPr="00C95105">
        <w:rPr>
          <w:rFonts w:asciiTheme="minorHAnsi" w:eastAsia="Calibri" w:hAnsiTheme="minorHAnsi" w:cstheme="minorHAnsi"/>
          <w:color w:val="000000" w:themeColor="text1"/>
          <w:sz w:val="22"/>
          <w:szCs w:val="22"/>
        </w:rPr>
        <w:t xml:space="preserve">ommend that organisations utilise available resources for embedding flexible work policies and practices, while also attending to gendered dynamics in developing strategies. In particular, we suggest that policy makers: use the data they submit as part of their obligations under the Gender Equality Act </w:t>
      </w:r>
      <w:r w:rsidR="000E265E" w:rsidRPr="00C95105">
        <w:rPr>
          <w:rFonts w:asciiTheme="minorHAnsi" w:eastAsia="Calibri" w:hAnsiTheme="minorHAnsi" w:cstheme="minorHAnsi"/>
          <w:color w:val="000000" w:themeColor="text1"/>
          <w:sz w:val="22"/>
          <w:szCs w:val="22"/>
        </w:rPr>
        <w:t xml:space="preserve">2020 (Vic) </w:t>
      </w:r>
      <w:r w:rsidRPr="00C95105">
        <w:rPr>
          <w:rFonts w:asciiTheme="minorHAnsi" w:eastAsia="Calibri" w:hAnsiTheme="minorHAnsi" w:cstheme="minorHAnsi"/>
          <w:color w:val="000000" w:themeColor="text1"/>
          <w:sz w:val="22"/>
          <w:szCs w:val="22"/>
        </w:rPr>
        <w:t xml:space="preserve">to identify concerns about flexibility stigma; align promotion of flexible work and carer leave with Victorian Public Service purpose; consider whether policies, norms and practices are genuinely a business necessity rather than ‘masculine defaults’; and create for men a sense of entitlement to carer leave and work-life balance. </w:t>
      </w:r>
    </w:p>
    <w:p w14:paraId="07F583EA" w14:textId="57EC895A" w:rsidR="003B7F36" w:rsidRPr="00C95105" w:rsidRDefault="003B7F36" w:rsidP="00C95832">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 </w:t>
      </w:r>
    </w:p>
    <w:p w14:paraId="285E2341" w14:textId="3E7B3B1F" w:rsidR="00C95832" w:rsidRPr="00C95105" w:rsidRDefault="00C95832" w:rsidP="00C95832">
      <w:pPr>
        <w:spacing w:after="120"/>
        <w:textAlignment w:val="baseline"/>
        <w:rPr>
          <w:rFonts w:asciiTheme="minorHAnsi" w:hAnsiTheme="minorHAnsi" w:cstheme="minorHAnsi"/>
          <w:sz w:val="22"/>
          <w:szCs w:val="22"/>
        </w:rPr>
      </w:pPr>
    </w:p>
    <w:p w14:paraId="1897EB2E" w14:textId="77777777" w:rsidR="00C95832" w:rsidRPr="00C95105" w:rsidRDefault="00C95832" w:rsidP="00C95832">
      <w:pPr>
        <w:spacing w:after="120"/>
        <w:textAlignment w:val="baseline"/>
        <w:rPr>
          <w:rFonts w:asciiTheme="minorHAnsi" w:hAnsiTheme="minorHAnsi" w:cstheme="minorHAnsi"/>
          <w:b/>
          <w:bCs/>
          <w:color w:val="2F5496" w:themeColor="accent1" w:themeShade="BF"/>
        </w:rPr>
      </w:pPr>
    </w:p>
    <w:p w14:paraId="70D24E5E" w14:textId="2971218D" w:rsidR="003B7F36" w:rsidRPr="00C95105" w:rsidRDefault="003B7F36" w:rsidP="0093280F">
      <w:pPr>
        <w:pStyle w:val="Heading2"/>
        <w:numPr>
          <w:ilvl w:val="1"/>
          <w:numId w:val="9"/>
        </w:numPr>
        <w:spacing w:before="0" w:after="120"/>
        <w:ind w:left="426" w:hanging="437"/>
        <w:rPr>
          <w:rFonts w:asciiTheme="minorHAnsi" w:hAnsiTheme="minorHAnsi" w:cstheme="minorHAnsi"/>
          <w:b/>
          <w:bCs/>
        </w:rPr>
      </w:pPr>
      <w:bookmarkStart w:id="152" w:name="_Toc96957685"/>
      <w:r w:rsidRPr="00C95105">
        <w:rPr>
          <w:rFonts w:asciiTheme="minorHAnsi" w:hAnsiTheme="minorHAnsi" w:cstheme="minorHAnsi"/>
          <w:b/>
          <w:bCs/>
        </w:rPr>
        <w:lastRenderedPageBreak/>
        <w:t>Introduction</w:t>
      </w:r>
      <w:bookmarkEnd w:id="152"/>
    </w:p>
    <w:p w14:paraId="25FAADC1" w14:textId="77777777" w:rsidR="00BF143D" w:rsidRPr="00C95105" w:rsidRDefault="003B7F36" w:rsidP="00C95832">
      <w:pPr>
        <w:spacing w:after="120"/>
        <w:ind w:firstLine="567"/>
        <w:textAlignment w:val="baseline"/>
        <w:rPr>
          <w:rFonts w:asciiTheme="minorHAnsi" w:eastAsiaTheme="minorEastAsia" w:hAnsiTheme="minorHAnsi" w:cstheme="minorHAnsi"/>
          <w:sz w:val="22"/>
          <w:szCs w:val="22"/>
        </w:rPr>
      </w:pPr>
      <w:r w:rsidRPr="00C95105">
        <w:rPr>
          <w:rFonts w:asciiTheme="minorHAnsi" w:eastAsiaTheme="minorEastAsia" w:hAnsiTheme="minorHAnsi" w:cstheme="minorHAnsi"/>
          <w:sz w:val="22"/>
          <w:szCs w:val="22"/>
        </w:rPr>
        <w:t xml:space="preserve">Flexible work is a broad concept. Roughly speaking, it includes any deviation from a standard employment relationship of secure, continuous, full-time work, often involving long hours and/or constant availability. Some flexible work arrangements therefore facilitate workers’ ability to combine paid employment with other valued activities, especially family/caring responsibilities (e.g., Hobson, 2011). More generally, access to flexible careers across the life course promise a more sustainable alternative to traditional “lockstep” arrangements (Moen &amp; Roehling, 2005; Tomlinson, Baird, Berg &amp; Cooper, 2018). </w:t>
      </w:r>
    </w:p>
    <w:p w14:paraId="22D46B2F" w14:textId="65C867B5" w:rsidR="00BF143D" w:rsidRPr="00C95105" w:rsidRDefault="003B7F36" w:rsidP="00BF143D">
      <w:pPr>
        <w:spacing w:after="120"/>
        <w:ind w:firstLine="567"/>
        <w:textAlignment w:val="baseline"/>
        <w:rPr>
          <w:rFonts w:asciiTheme="minorHAnsi" w:eastAsiaTheme="minorEastAsia" w:hAnsiTheme="minorHAnsi" w:cstheme="minorHAnsi"/>
          <w:sz w:val="22"/>
          <w:szCs w:val="22"/>
        </w:rPr>
      </w:pPr>
      <w:r w:rsidRPr="00C95105">
        <w:rPr>
          <w:rFonts w:asciiTheme="minorHAnsi" w:eastAsiaTheme="minorEastAsia" w:hAnsiTheme="minorHAnsi" w:cstheme="minorHAnsi"/>
          <w:sz w:val="22"/>
          <w:szCs w:val="22"/>
        </w:rPr>
        <w:t>Employee-friendly flexible work practices include formal or informal arrangements that enable employees to work reduced or non-standard hours (e.g., part-time work, parental/family leave, schedule control, time-in-lieu, compressed working weeks, job sharing, shift swaps and purchased leave), or to work from home or other locations. However, it should be noted that some forms of flexible work are often more beneficial for employers than workers: for example, outsourced work, zero-hour contracts and other forms of casualisation, and the capacity for remote work when it leads to expectations of 24/7 availability (Fleetwood, 2007; Rubery, Keizer &amp; Grimshaw, 2016). This mixed nature of work patterns that fall under the “flexible work” umbrella may contribute to understandable suspicion towards flexible working models.</w:t>
      </w:r>
    </w:p>
    <w:p w14:paraId="551B0173" w14:textId="65AC289E" w:rsidR="00BF143D" w:rsidRPr="00C95105" w:rsidRDefault="003B7F36" w:rsidP="00BF143D">
      <w:pPr>
        <w:spacing w:after="120"/>
        <w:ind w:firstLine="567"/>
        <w:textAlignment w:val="baseline"/>
        <w:rPr>
          <w:rFonts w:asciiTheme="minorHAnsi" w:eastAsiaTheme="minorEastAsia" w:hAnsiTheme="minorHAnsi" w:cstheme="minorHAnsi"/>
          <w:sz w:val="22"/>
          <w:szCs w:val="22"/>
        </w:rPr>
      </w:pPr>
      <w:r w:rsidRPr="00C95105">
        <w:rPr>
          <w:rFonts w:asciiTheme="minorHAnsi" w:eastAsiaTheme="minorEastAsia" w:hAnsiTheme="minorHAnsi" w:cstheme="minorHAnsi"/>
          <w:sz w:val="22"/>
          <w:szCs w:val="22"/>
        </w:rPr>
        <w:t>The uptake of flexible work and leave is a gender indicator within the Gender Equality Act 2020</w:t>
      </w:r>
      <w:r w:rsidR="000E265E" w:rsidRPr="00C95105">
        <w:rPr>
          <w:rFonts w:asciiTheme="minorHAnsi" w:eastAsiaTheme="minorEastAsia" w:hAnsiTheme="minorHAnsi" w:cstheme="minorHAnsi"/>
          <w:sz w:val="22"/>
          <w:szCs w:val="22"/>
        </w:rPr>
        <w:t xml:space="preserve"> (Vic)</w:t>
      </w:r>
      <w:r w:rsidRPr="00C95105">
        <w:rPr>
          <w:rFonts w:asciiTheme="minorHAnsi" w:eastAsiaTheme="minorEastAsia" w:hAnsiTheme="minorHAnsi" w:cstheme="minorHAnsi"/>
          <w:sz w:val="22"/>
          <w:szCs w:val="22"/>
        </w:rPr>
        <w:t>. Nationwide, it shows considerable gender disparities. The broader context for understanding this disparity is marked gender differences in time spent in paid versus unpaid work. Women spend approximately two-thirds of their total work hours doing unpaid work, on average, and the remaining third in paid work. For men, this pattern is reversed. (OECD, n.d.). Unsurprisingly, alongside this unequal division of paid versus unpaid labour are distinct differences between women and men in flexible working arrangements. For example, the latest available data from the OECD show that women are more than twice as likely to work part-time (37.1 per cent versus 5.3 per cent). This difference is particularly stark in the prime working (and child-raising) years, with 30.9 per cent of women aged 25-54 working part-time, compared to 8 per cent of men (OECD, n.d.).</w:t>
      </w:r>
    </w:p>
    <w:p w14:paraId="6B0460CB" w14:textId="77777777" w:rsidR="00BF143D" w:rsidRPr="00C95105" w:rsidRDefault="003B7F36" w:rsidP="00BF143D">
      <w:pPr>
        <w:spacing w:after="120"/>
        <w:ind w:firstLine="567"/>
        <w:textAlignment w:val="baseline"/>
        <w:rPr>
          <w:rFonts w:asciiTheme="minorHAnsi" w:hAnsiTheme="minorHAnsi" w:cstheme="minorHAnsi"/>
          <w:sz w:val="18"/>
          <w:szCs w:val="18"/>
        </w:rPr>
      </w:pPr>
      <w:r w:rsidRPr="00C95105">
        <w:rPr>
          <w:rFonts w:asciiTheme="minorHAnsi" w:eastAsiaTheme="minorEastAsia" w:hAnsiTheme="minorHAnsi" w:cstheme="minorHAnsi"/>
          <w:sz w:val="22"/>
          <w:szCs w:val="22"/>
        </w:rPr>
        <w:t>Gender differences in uptake of parental leave are similarly stark. For example, men working in organisations reporting to the Workplace Gender Equality Agency (non-public sector employers with 100 or more employees) make up just 12 per cent of those who take primary carer leave, rising to 20 per cent among managers (WGEA, 2022). Although data on uptake of other flexible working practices are sparse, they are strongly associated with women (Borgkvist et al., 2018). The resulting gender differences in labour market experience and attachment are leading contributors to the gender pay gap and inequalities in workplace progression (e.g., Goldin, 2021; Jones, 2019). Increasing men’s uptake of flexible work is therefore considered key to progress towards greater workplace gender equality.</w:t>
      </w:r>
    </w:p>
    <w:p w14:paraId="5C9FAED6" w14:textId="77777777" w:rsidR="00125913" w:rsidRPr="00C95105" w:rsidRDefault="003B7F36" w:rsidP="00BF143D">
      <w:pPr>
        <w:spacing w:after="120"/>
        <w:ind w:firstLine="567"/>
        <w:textAlignment w:val="baseline"/>
        <w:rPr>
          <w:rFonts w:asciiTheme="minorHAnsi" w:eastAsiaTheme="minorEastAsia" w:hAnsiTheme="minorHAnsi" w:cstheme="minorHAnsi"/>
          <w:sz w:val="22"/>
          <w:szCs w:val="22"/>
        </w:rPr>
      </w:pPr>
      <w:r w:rsidRPr="00C95105">
        <w:rPr>
          <w:rFonts w:asciiTheme="minorHAnsi" w:eastAsiaTheme="minorEastAsia" w:hAnsiTheme="minorHAnsi" w:cstheme="minorHAnsi"/>
          <w:sz w:val="22"/>
          <w:szCs w:val="22"/>
        </w:rPr>
        <w:t xml:space="preserve">Some might argue that these gendered patterns reflect inherent differences in men’s and women’s preferences and values with respect to paid versus unpaid work, particularly caring. Indeed, flexible work has traditionally been discussed and understood as specifically important for women, particularly mothers, to enable them to combine paid work with caring responsibilities. However, there is growing interest in men’s desire for, access to, and uptake of flexible work practices. For example, European data from the OECD suggest that work-life balance is a priority for men as well as women, and that many men would be willing to reduce earnings in order to work fewer hours (Hobson &amp; Fahlén, 2009). </w:t>
      </w:r>
    </w:p>
    <w:p w14:paraId="79EF0DC8" w14:textId="7698BD36" w:rsidR="00BF143D" w:rsidRPr="00C95105" w:rsidRDefault="003B7F36" w:rsidP="00BF143D">
      <w:pPr>
        <w:spacing w:after="120"/>
        <w:ind w:firstLine="567"/>
        <w:textAlignment w:val="baseline"/>
        <w:rPr>
          <w:rFonts w:asciiTheme="minorHAnsi" w:eastAsiaTheme="minorEastAsia" w:hAnsiTheme="minorHAnsi" w:cstheme="minorHAnsi"/>
          <w:sz w:val="22"/>
          <w:szCs w:val="22"/>
        </w:rPr>
      </w:pPr>
      <w:r w:rsidRPr="00C95105">
        <w:rPr>
          <w:rFonts w:asciiTheme="minorHAnsi" w:eastAsiaTheme="minorEastAsia" w:hAnsiTheme="minorHAnsi" w:cstheme="minorHAnsi"/>
          <w:sz w:val="22"/>
          <w:szCs w:val="22"/>
        </w:rPr>
        <w:t>In addition, changing demographic trends and employment conditions means that reconciling paid work with other valued and necessary activities can be a pressing issue for many employees, not just those with caring responsibilities. For example, managers and professionals living in single-person households also experience a range of work-life pressures (Wilkinson, Tomlinson &amp; Gardiner, 2017).</w:t>
      </w:r>
    </w:p>
    <w:p w14:paraId="3ECF9A57" w14:textId="261CF92D" w:rsidR="00BF143D" w:rsidRPr="00C95105" w:rsidRDefault="003B7F36" w:rsidP="00BF143D">
      <w:pPr>
        <w:spacing w:after="120"/>
        <w:ind w:firstLine="567"/>
        <w:textAlignment w:val="baseline"/>
        <w:rPr>
          <w:rFonts w:asciiTheme="minorHAnsi" w:hAnsiTheme="minorHAnsi" w:cstheme="minorHAnsi"/>
          <w:sz w:val="18"/>
          <w:szCs w:val="18"/>
        </w:rPr>
      </w:pPr>
      <w:r w:rsidRPr="00C95105">
        <w:rPr>
          <w:rFonts w:asciiTheme="minorHAnsi" w:eastAsiaTheme="minorEastAsia" w:hAnsiTheme="minorHAnsi" w:cstheme="minorHAnsi"/>
          <w:sz w:val="22"/>
          <w:szCs w:val="22"/>
        </w:rPr>
        <w:lastRenderedPageBreak/>
        <w:t xml:space="preserve">Despite the potential benefits to both employers and employees of flexible work arrangements (Kelly &amp; Moen, 2021), the literature points to individual, organisational, and societal barriers to men’s uptake of flexible work (Ewald, Emilee &amp; Huppatz, 2020). At the individual level, masculine identities are imbued with moral meanings and obligations. For blue collar workers, this has been characterised as incorporating an ethic of hard work in order to support their families (Williams, 2010). For professionals, a norm of work devotion dictates that career should always come first, alongside expectations of long hours and constant availability (e.g., Blair-Loy, 2010). </w:t>
      </w:r>
    </w:p>
    <w:p w14:paraId="75D94E5C" w14:textId="2E158353" w:rsidR="00BF143D" w:rsidRPr="00C95105" w:rsidRDefault="003B7F36" w:rsidP="00BF143D">
      <w:pPr>
        <w:spacing w:after="120"/>
        <w:ind w:firstLine="567"/>
        <w:textAlignment w:val="baseline"/>
        <w:rPr>
          <w:rFonts w:asciiTheme="minorHAnsi" w:hAnsiTheme="minorHAnsi" w:cstheme="minorHAnsi"/>
          <w:sz w:val="18"/>
          <w:szCs w:val="18"/>
        </w:rPr>
      </w:pPr>
      <w:r w:rsidRPr="00C95105">
        <w:rPr>
          <w:rFonts w:asciiTheme="minorHAnsi" w:eastAsiaTheme="minorEastAsia" w:hAnsiTheme="minorHAnsi" w:cstheme="minorHAnsi"/>
          <w:sz w:val="22"/>
          <w:szCs w:val="22"/>
        </w:rPr>
        <w:t>At the organisational level, unsupportive supervisors and justified perceptions that there will be negative career consequences are manifestations of flexibility stigma, that regards employees who work flexibly as less committed and less productive (Williams et al., 2013). In line with this, 27 per cent of fathers who took just two weeks of leave under the Australian Government’s parental leave entitlement scheme reported experiencing discrimination in the workplace in relation to taking the leave or their return to work (Australian Human Rights Commission, 2014).</w:t>
      </w:r>
    </w:p>
    <w:p w14:paraId="44BEC527" w14:textId="77777777" w:rsidR="00BF143D" w:rsidRPr="00C95105" w:rsidRDefault="003B7F36" w:rsidP="00BF143D">
      <w:pPr>
        <w:spacing w:after="120"/>
        <w:ind w:firstLine="567"/>
        <w:textAlignment w:val="baseline"/>
        <w:rPr>
          <w:rFonts w:asciiTheme="minorHAnsi" w:eastAsiaTheme="minorEastAsia" w:hAnsiTheme="minorHAnsi" w:cstheme="minorHAnsi"/>
          <w:sz w:val="22"/>
          <w:szCs w:val="22"/>
        </w:rPr>
      </w:pPr>
      <w:r w:rsidRPr="00C95105">
        <w:rPr>
          <w:rFonts w:asciiTheme="minorHAnsi" w:eastAsiaTheme="minorEastAsia" w:hAnsiTheme="minorHAnsi" w:cstheme="minorHAnsi"/>
          <w:sz w:val="22"/>
          <w:szCs w:val="22"/>
        </w:rPr>
        <w:t>Meanwhile, at the societal level, welfare settings, tax, and childcare costs reinforce breadwinner-homemaker households (Wood, Griffiths &amp; Emslie, 2020), and thus associated gender norms. Moreover, the labour market in advanced post-industrial economies such as Australia has long been structured around this gendered division of labour (Charles &amp; Grusky, 2004).</w:t>
      </w:r>
    </w:p>
    <w:p w14:paraId="597A57A0" w14:textId="77777777" w:rsidR="00BF143D" w:rsidRPr="00C95105" w:rsidRDefault="003B7F36" w:rsidP="00BF143D">
      <w:pPr>
        <w:spacing w:after="120"/>
        <w:ind w:firstLine="567"/>
        <w:textAlignment w:val="baseline"/>
        <w:rPr>
          <w:rFonts w:asciiTheme="minorHAnsi" w:hAnsiTheme="minorHAnsi" w:cstheme="minorHAnsi"/>
          <w:sz w:val="18"/>
          <w:szCs w:val="18"/>
        </w:rPr>
      </w:pPr>
      <w:r w:rsidRPr="00C95105">
        <w:rPr>
          <w:rFonts w:asciiTheme="minorHAnsi" w:eastAsiaTheme="minorEastAsia" w:hAnsiTheme="minorHAnsi" w:cstheme="minorHAnsi"/>
          <w:sz w:val="22"/>
          <w:szCs w:val="22"/>
        </w:rPr>
        <w:t xml:space="preserve">Increasing men’s uptake of flexible work is thus a non-trivial task. The few existing field studies investigating how to promote flexible work among all employees, regardless of gender, indicate the need for a multi-level approach involving interventions at the level of leadership, management, infrastructure, policies, and workplace norms (e.g., Kelly &amp; Moen, 2021). </w:t>
      </w:r>
    </w:p>
    <w:p w14:paraId="7832CD98" w14:textId="542CE5D7" w:rsidR="003B7F36" w:rsidRPr="00C95105" w:rsidRDefault="003B7F36" w:rsidP="00BF143D">
      <w:pPr>
        <w:spacing w:after="120"/>
        <w:ind w:firstLine="567"/>
        <w:textAlignment w:val="baseline"/>
        <w:rPr>
          <w:rFonts w:asciiTheme="minorHAnsi" w:hAnsiTheme="minorHAnsi" w:cstheme="minorHAnsi"/>
          <w:sz w:val="18"/>
          <w:szCs w:val="18"/>
        </w:rPr>
      </w:pPr>
      <w:r w:rsidRPr="00C95105">
        <w:rPr>
          <w:rFonts w:asciiTheme="minorHAnsi" w:eastAsiaTheme="minorEastAsia" w:hAnsiTheme="minorHAnsi" w:cstheme="minorHAnsi"/>
          <w:sz w:val="22"/>
          <w:szCs w:val="22"/>
        </w:rPr>
        <w:t>Thus, the objective of the current review was to identify individual, organisational, and societal barriers to, and facilitators of, men’s uptake of flexible work. Our systematic search for relevant studies revealed that, to date, this research largely focuses on men’s uptake of paternity/parental leave. Indicative of the recency of research interest in men and flexible work, only a small number of studies looked at uptake of other forms of flexible work. For this reason, our review focuses primarily on the factors shaping men’s uptake of parental leave. The eligible studies comprised both quantitative and qualitative studies from more than a dozen OECD countries</w:t>
      </w:r>
      <w:r w:rsidRPr="00C95105">
        <w:rPr>
          <w:rFonts w:asciiTheme="minorHAnsi" w:hAnsiTheme="minorHAnsi" w:cstheme="minorHAnsi"/>
          <w:sz w:val="22"/>
          <w:szCs w:val="22"/>
        </w:rPr>
        <w:t>.   </w:t>
      </w:r>
    </w:p>
    <w:p w14:paraId="50062645" w14:textId="77777777" w:rsidR="003B7F36" w:rsidRPr="00C95105" w:rsidRDefault="003B7F36" w:rsidP="004011EB">
      <w:pPr>
        <w:spacing w:after="120"/>
        <w:textAlignment w:val="baseline"/>
        <w:rPr>
          <w:rFonts w:asciiTheme="minorHAnsi" w:hAnsiTheme="minorHAnsi" w:cstheme="minorHAnsi"/>
          <w:sz w:val="18"/>
          <w:szCs w:val="18"/>
        </w:rPr>
      </w:pPr>
      <w:r w:rsidRPr="00C95105">
        <w:rPr>
          <w:rFonts w:asciiTheme="minorHAnsi" w:hAnsiTheme="minorHAnsi" w:cstheme="minorHAnsi"/>
          <w:sz w:val="22"/>
          <w:szCs w:val="22"/>
        </w:rPr>
        <w:t> </w:t>
      </w:r>
    </w:p>
    <w:p w14:paraId="16F70E32" w14:textId="40BD2E42" w:rsidR="003B7F36" w:rsidRPr="00C95105" w:rsidRDefault="003B7F36" w:rsidP="0093280F">
      <w:pPr>
        <w:pStyle w:val="Heading2"/>
        <w:numPr>
          <w:ilvl w:val="1"/>
          <w:numId w:val="9"/>
        </w:numPr>
        <w:spacing w:before="0" w:after="120"/>
        <w:ind w:left="426" w:hanging="437"/>
        <w:rPr>
          <w:rFonts w:asciiTheme="minorHAnsi" w:hAnsiTheme="minorHAnsi" w:cstheme="minorHAnsi"/>
          <w:b/>
          <w:bCs/>
        </w:rPr>
      </w:pPr>
      <w:bookmarkStart w:id="153" w:name="_Toc96957686"/>
      <w:r w:rsidRPr="00C95105">
        <w:rPr>
          <w:rFonts w:asciiTheme="minorHAnsi" w:hAnsiTheme="minorHAnsi" w:cstheme="minorHAnsi"/>
          <w:b/>
          <w:bCs/>
        </w:rPr>
        <w:t>Methods</w:t>
      </w:r>
      <w:bookmarkEnd w:id="153"/>
      <w:r w:rsidRPr="00C95105">
        <w:rPr>
          <w:rFonts w:asciiTheme="minorHAnsi" w:hAnsiTheme="minorHAnsi" w:cstheme="minorHAnsi"/>
          <w:b/>
          <w:bCs/>
        </w:rPr>
        <w:t> </w:t>
      </w:r>
    </w:p>
    <w:p w14:paraId="4F285ABA" w14:textId="11415C83" w:rsidR="003B7F36" w:rsidRPr="00C95105" w:rsidRDefault="003B7F36" w:rsidP="00BF143D">
      <w:pPr>
        <w:spacing w:after="120"/>
        <w:ind w:firstLine="567"/>
        <w:textAlignment w:val="baseline"/>
        <w:rPr>
          <w:rFonts w:asciiTheme="minorHAnsi" w:hAnsiTheme="minorHAnsi" w:cstheme="minorHAnsi"/>
          <w:sz w:val="18"/>
          <w:szCs w:val="18"/>
        </w:rPr>
      </w:pPr>
      <w:r w:rsidRPr="00C95105">
        <w:rPr>
          <w:rFonts w:asciiTheme="minorHAnsi" w:hAnsiTheme="minorHAnsi" w:cstheme="minorHAnsi"/>
          <w:color w:val="000000" w:themeColor="text1"/>
          <w:sz w:val="22"/>
          <w:szCs w:val="22"/>
        </w:rPr>
        <w:t>This project constitutes a rapid review (Cooper, Hedges &amp; Valentine, 2009), including a systematic literature search and selection (Moher, Liberati, Tetzlaff, Altman &amp; The Prisma Group, 2009), with some aspects of the coding and analysis process streamlined to facilitate reporting in a truncated timeframe (Abrami et al., 2010; Thomas et al., 2013).  </w:t>
      </w:r>
    </w:p>
    <w:p w14:paraId="5E65A2B3" w14:textId="6A408499" w:rsidR="003B7F36" w:rsidRPr="00C95105" w:rsidRDefault="003B7F36" w:rsidP="008E4B7A">
      <w:pPr>
        <w:spacing w:after="120"/>
        <w:ind w:firstLine="567"/>
        <w:textAlignment w:val="baseline"/>
        <w:rPr>
          <w:rFonts w:asciiTheme="minorHAnsi" w:hAnsiTheme="minorHAnsi" w:cstheme="minorHAnsi"/>
          <w:sz w:val="18"/>
          <w:szCs w:val="18"/>
        </w:rPr>
      </w:pPr>
      <w:r w:rsidRPr="00C95105">
        <w:rPr>
          <w:rFonts w:asciiTheme="minorHAnsi" w:hAnsiTheme="minorHAnsi" w:cstheme="minorHAnsi"/>
          <w:color w:val="000000" w:themeColor="text1"/>
          <w:sz w:val="22"/>
          <w:szCs w:val="22"/>
        </w:rPr>
        <w:t xml:space="preserve">References were eligible for inclusion in the review if they met the criteria presented in Table </w:t>
      </w:r>
      <w:r w:rsidR="00CB0781" w:rsidRPr="00C95105">
        <w:rPr>
          <w:rFonts w:asciiTheme="minorHAnsi" w:hAnsiTheme="minorHAnsi" w:cstheme="minorHAnsi"/>
          <w:color w:val="000000" w:themeColor="text1"/>
          <w:sz w:val="22"/>
          <w:szCs w:val="22"/>
        </w:rPr>
        <w:t>3.</w:t>
      </w:r>
      <w:r w:rsidRPr="00C95105">
        <w:rPr>
          <w:rFonts w:asciiTheme="minorHAnsi" w:hAnsiTheme="minorHAnsi" w:cstheme="minorHAnsi"/>
          <w:color w:val="000000" w:themeColor="text1"/>
          <w:sz w:val="22"/>
          <w:szCs w:val="22"/>
        </w:rPr>
        <w:t>1. There were no geographical or time restrictions. </w:t>
      </w:r>
    </w:p>
    <w:p w14:paraId="1E5B0274" w14:textId="77777777" w:rsidR="00BF143D" w:rsidRDefault="00BF143D" w:rsidP="004011EB">
      <w:pPr>
        <w:spacing w:after="120"/>
        <w:rPr>
          <w:rFonts w:asciiTheme="minorHAnsi" w:hAnsiTheme="minorHAnsi" w:cstheme="minorHAnsi"/>
          <w:color w:val="000000" w:themeColor="text1"/>
          <w:sz w:val="22"/>
          <w:szCs w:val="22"/>
        </w:rPr>
      </w:pPr>
    </w:p>
    <w:p w14:paraId="5A8A9355" w14:textId="77777777" w:rsidR="0035324F" w:rsidRDefault="0035324F" w:rsidP="004011EB">
      <w:pPr>
        <w:spacing w:after="120"/>
        <w:rPr>
          <w:rFonts w:asciiTheme="minorHAnsi" w:hAnsiTheme="minorHAnsi" w:cstheme="minorHAnsi"/>
          <w:color w:val="000000" w:themeColor="text1"/>
          <w:sz w:val="22"/>
          <w:szCs w:val="22"/>
        </w:rPr>
      </w:pPr>
    </w:p>
    <w:p w14:paraId="2D3B9DA7" w14:textId="77777777" w:rsidR="0035324F" w:rsidRDefault="0035324F" w:rsidP="004011EB">
      <w:pPr>
        <w:spacing w:after="120"/>
        <w:rPr>
          <w:rFonts w:asciiTheme="minorHAnsi" w:hAnsiTheme="minorHAnsi" w:cstheme="minorHAnsi"/>
          <w:color w:val="000000" w:themeColor="text1"/>
          <w:sz w:val="22"/>
          <w:szCs w:val="22"/>
        </w:rPr>
      </w:pPr>
    </w:p>
    <w:p w14:paraId="461ECE20" w14:textId="77777777" w:rsidR="0035324F" w:rsidRDefault="0035324F" w:rsidP="004011EB">
      <w:pPr>
        <w:spacing w:after="120"/>
        <w:rPr>
          <w:rFonts w:asciiTheme="minorHAnsi" w:hAnsiTheme="minorHAnsi" w:cstheme="minorHAnsi"/>
          <w:color w:val="000000" w:themeColor="text1"/>
          <w:sz w:val="22"/>
          <w:szCs w:val="22"/>
        </w:rPr>
      </w:pPr>
    </w:p>
    <w:p w14:paraId="13B17E25" w14:textId="77777777" w:rsidR="0035324F" w:rsidRDefault="0035324F" w:rsidP="004011EB">
      <w:pPr>
        <w:spacing w:after="120"/>
        <w:rPr>
          <w:rFonts w:asciiTheme="minorHAnsi" w:hAnsiTheme="minorHAnsi" w:cstheme="minorHAnsi"/>
          <w:color w:val="000000" w:themeColor="text1"/>
          <w:sz w:val="22"/>
          <w:szCs w:val="22"/>
        </w:rPr>
      </w:pPr>
    </w:p>
    <w:p w14:paraId="468014B5" w14:textId="77777777" w:rsidR="0035324F" w:rsidRDefault="0035324F" w:rsidP="004011EB">
      <w:pPr>
        <w:spacing w:after="120"/>
        <w:rPr>
          <w:rFonts w:asciiTheme="minorHAnsi" w:hAnsiTheme="minorHAnsi" w:cstheme="minorHAnsi"/>
          <w:color w:val="000000" w:themeColor="text1"/>
          <w:sz w:val="22"/>
          <w:szCs w:val="22"/>
        </w:rPr>
      </w:pPr>
    </w:p>
    <w:p w14:paraId="0FDC7875" w14:textId="77777777" w:rsidR="0035324F" w:rsidRDefault="0035324F" w:rsidP="004011EB">
      <w:pPr>
        <w:spacing w:after="120"/>
        <w:rPr>
          <w:rFonts w:asciiTheme="minorHAnsi" w:hAnsiTheme="minorHAnsi" w:cstheme="minorHAnsi"/>
          <w:color w:val="000000" w:themeColor="text1"/>
          <w:sz w:val="22"/>
          <w:szCs w:val="22"/>
        </w:rPr>
      </w:pPr>
    </w:p>
    <w:p w14:paraId="7CAF21A3" w14:textId="77777777" w:rsidR="0035324F" w:rsidRPr="00C95105" w:rsidRDefault="0035324F" w:rsidP="004011EB">
      <w:pPr>
        <w:spacing w:after="120"/>
        <w:rPr>
          <w:rFonts w:asciiTheme="minorHAnsi" w:hAnsiTheme="minorHAnsi" w:cstheme="minorHAnsi"/>
          <w:color w:val="000000" w:themeColor="text1"/>
          <w:sz w:val="22"/>
          <w:szCs w:val="22"/>
        </w:rPr>
      </w:pPr>
    </w:p>
    <w:p w14:paraId="615A7AC0" w14:textId="6AF16C7B" w:rsidR="003B7F36" w:rsidRPr="00C95105" w:rsidRDefault="003B7F36" w:rsidP="008E4B7A">
      <w:pPr>
        <w:pStyle w:val="TableParagraph"/>
        <w:spacing w:after="120"/>
        <w:ind w:left="0"/>
        <w:rPr>
          <w:rFonts w:asciiTheme="minorHAnsi" w:hAnsiTheme="minorHAnsi" w:cstheme="minorHAnsi"/>
          <w:b/>
          <w:bCs/>
          <w:lang w:val="en-AU"/>
        </w:rPr>
      </w:pPr>
      <w:bookmarkStart w:id="154" w:name="_Toc96878642"/>
      <w:r w:rsidRPr="00C95105">
        <w:rPr>
          <w:rFonts w:asciiTheme="minorHAnsi" w:hAnsiTheme="minorHAnsi" w:cstheme="minorHAnsi"/>
          <w:b/>
          <w:bCs/>
          <w:lang w:val="en-AU"/>
        </w:rPr>
        <w:lastRenderedPageBreak/>
        <w:t xml:space="preserve">Table </w:t>
      </w:r>
      <w:r w:rsidR="00BF143D" w:rsidRPr="00C95105">
        <w:rPr>
          <w:rFonts w:asciiTheme="minorHAnsi" w:hAnsiTheme="minorHAnsi" w:cstheme="minorHAnsi"/>
          <w:b/>
          <w:bCs/>
          <w:lang w:val="en-AU"/>
        </w:rPr>
        <w:t>3.1.</w:t>
      </w:r>
      <w:r w:rsidRPr="00C95105">
        <w:rPr>
          <w:rFonts w:asciiTheme="minorHAnsi" w:hAnsiTheme="minorHAnsi" w:cstheme="minorHAnsi"/>
          <w:b/>
          <w:bCs/>
          <w:lang w:val="en-AU"/>
        </w:rPr>
        <w:t xml:space="preserve"> </w:t>
      </w:r>
      <w:r w:rsidRPr="00C95105">
        <w:rPr>
          <w:rFonts w:asciiTheme="minorHAnsi" w:hAnsiTheme="minorHAnsi" w:cstheme="minorHAnsi"/>
          <w:lang w:val="en-AU"/>
        </w:rPr>
        <w:t>Inclusion criteria for reviewed papers</w:t>
      </w:r>
      <w:bookmarkEnd w:id="154"/>
      <w:r w:rsidRPr="00C95105">
        <w:rPr>
          <w:rFonts w:asciiTheme="minorHAnsi" w:hAnsiTheme="minorHAnsi" w:cstheme="minorHAnsi"/>
          <w:b/>
          <w:bCs/>
          <w:lang w:val="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6795"/>
      </w:tblGrid>
      <w:tr w:rsidR="003B7F36" w:rsidRPr="00C95105" w14:paraId="2A92FD3F" w14:textId="77777777" w:rsidTr="00532791">
        <w:tc>
          <w:tcPr>
            <w:tcW w:w="2115" w:type="dxa"/>
            <w:tcBorders>
              <w:top w:val="single" w:sz="6" w:space="0" w:color="auto"/>
              <w:left w:val="nil"/>
              <w:bottom w:val="single" w:sz="6" w:space="0" w:color="auto"/>
              <w:right w:val="nil"/>
            </w:tcBorders>
            <w:shd w:val="clear" w:color="auto" w:fill="auto"/>
            <w:hideMark/>
          </w:tcPr>
          <w:p w14:paraId="6723F316"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b/>
                <w:bCs/>
                <w:sz w:val="22"/>
                <w:szCs w:val="22"/>
              </w:rPr>
              <w:t>Area</w:t>
            </w:r>
            <w:r w:rsidRPr="00C95105">
              <w:rPr>
                <w:rFonts w:asciiTheme="minorHAnsi" w:hAnsiTheme="minorHAnsi" w:cstheme="minorHAnsi"/>
                <w:sz w:val="22"/>
                <w:szCs w:val="22"/>
              </w:rPr>
              <w:t>  </w:t>
            </w:r>
          </w:p>
        </w:tc>
        <w:tc>
          <w:tcPr>
            <w:tcW w:w="6795" w:type="dxa"/>
            <w:tcBorders>
              <w:top w:val="single" w:sz="6" w:space="0" w:color="auto"/>
              <w:left w:val="nil"/>
              <w:bottom w:val="single" w:sz="6" w:space="0" w:color="auto"/>
              <w:right w:val="nil"/>
            </w:tcBorders>
            <w:shd w:val="clear" w:color="auto" w:fill="auto"/>
            <w:hideMark/>
          </w:tcPr>
          <w:p w14:paraId="69317CF0"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b/>
                <w:bCs/>
                <w:sz w:val="22"/>
                <w:szCs w:val="22"/>
              </w:rPr>
              <w:t>Criteria</w:t>
            </w:r>
            <w:r w:rsidRPr="00C95105">
              <w:rPr>
                <w:rFonts w:asciiTheme="minorHAnsi" w:hAnsiTheme="minorHAnsi" w:cstheme="minorHAnsi"/>
                <w:sz w:val="22"/>
                <w:szCs w:val="22"/>
              </w:rPr>
              <w:t>  </w:t>
            </w:r>
          </w:p>
        </w:tc>
      </w:tr>
      <w:tr w:rsidR="003B7F36" w:rsidRPr="00C95105" w14:paraId="72ACBBEC" w14:textId="77777777" w:rsidTr="00532791">
        <w:tc>
          <w:tcPr>
            <w:tcW w:w="2115" w:type="dxa"/>
            <w:tcBorders>
              <w:top w:val="single" w:sz="6" w:space="0" w:color="auto"/>
              <w:left w:val="nil"/>
              <w:bottom w:val="nil"/>
              <w:right w:val="nil"/>
            </w:tcBorders>
            <w:shd w:val="clear" w:color="auto" w:fill="auto"/>
            <w:hideMark/>
          </w:tcPr>
          <w:p w14:paraId="640A2F9A"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Context  </w:t>
            </w:r>
          </w:p>
        </w:tc>
        <w:tc>
          <w:tcPr>
            <w:tcW w:w="6795" w:type="dxa"/>
            <w:tcBorders>
              <w:top w:val="single" w:sz="6" w:space="0" w:color="auto"/>
              <w:left w:val="nil"/>
              <w:bottom w:val="nil"/>
              <w:right w:val="nil"/>
            </w:tcBorders>
            <w:shd w:val="clear" w:color="auto" w:fill="auto"/>
            <w:hideMark/>
          </w:tcPr>
          <w:p w14:paraId="75D11F5A"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Any factor at the individual, interpersonal, organisational, or societal level hypothesised to be positively (facilitator) or negatively (barrier) associated with men’s uptake of flexible work  </w:t>
            </w:r>
          </w:p>
        </w:tc>
      </w:tr>
      <w:tr w:rsidR="003B7F36" w:rsidRPr="00C95105" w14:paraId="55E4F736" w14:textId="77777777" w:rsidTr="00532791">
        <w:tc>
          <w:tcPr>
            <w:tcW w:w="2115" w:type="dxa"/>
            <w:tcBorders>
              <w:top w:val="nil"/>
              <w:left w:val="nil"/>
              <w:bottom w:val="nil"/>
              <w:right w:val="nil"/>
            </w:tcBorders>
            <w:shd w:val="clear" w:color="auto" w:fill="auto"/>
            <w:hideMark/>
          </w:tcPr>
          <w:p w14:paraId="67B2533B"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Outcome of interest  </w:t>
            </w:r>
          </w:p>
        </w:tc>
        <w:tc>
          <w:tcPr>
            <w:tcW w:w="6795" w:type="dxa"/>
            <w:tcBorders>
              <w:top w:val="nil"/>
              <w:left w:val="nil"/>
              <w:bottom w:val="nil"/>
              <w:right w:val="nil"/>
            </w:tcBorders>
            <w:shd w:val="clear" w:color="auto" w:fill="auto"/>
            <w:hideMark/>
          </w:tcPr>
          <w:p w14:paraId="29CDC400" w14:textId="68B093A8"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Any primary data of men’s use /non-use of actual or intended flexible work  </w:t>
            </w:r>
          </w:p>
        </w:tc>
      </w:tr>
      <w:tr w:rsidR="003B7F36" w:rsidRPr="00C95105" w14:paraId="65880AC9" w14:textId="77777777" w:rsidTr="00532791">
        <w:tc>
          <w:tcPr>
            <w:tcW w:w="2115" w:type="dxa"/>
            <w:tcBorders>
              <w:top w:val="nil"/>
              <w:left w:val="nil"/>
              <w:bottom w:val="nil"/>
              <w:right w:val="nil"/>
            </w:tcBorders>
            <w:shd w:val="clear" w:color="auto" w:fill="auto"/>
            <w:hideMark/>
          </w:tcPr>
          <w:p w14:paraId="4BECA9D5"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Nature of study  </w:t>
            </w:r>
          </w:p>
        </w:tc>
        <w:tc>
          <w:tcPr>
            <w:tcW w:w="6795" w:type="dxa"/>
            <w:tcBorders>
              <w:top w:val="nil"/>
              <w:left w:val="nil"/>
              <w:bottom w:val="nil"/>
              <w:right w:val="nil"/>
            </w:tcBorders>
            <w:shd w:val="clear" w:color="auto" w:fill="auto"/>
            <w:hideMark/>
          </w:tcPr>
          <w:p w14:paraId="0EA4DB91" w14:textId="3DACCA73"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Must report original quantitative or qualitative analysis of data </w:t>
            </w:r>
          </w:p>
        </w:tc>
      </w:tr>
      <w:tr w:rsidR="003B7F36" w:rsidRPr="00C95105" w14:paraId="2A6546D3" w14:textId="77777777" w:rsidTr="00532791">
        <w:tc>
          <w:tcPr>
            <w:tcW w:w="2115" w:type="dxa"/>
            <w:tcBorders>
              <w:top w:val="nil"/>
              <w:left w:val="nil"/>
              <w:bottom w:val="nil"/>
              <w:right w:val="nil"/>
            </w:tcBorders>
            <w:shd w:val="clear" w:color="auto" w:fill="auto"/>
            <w:hideMark/>
          </w:tcPr>
          <w:p w14:paraId="2F12BB4E"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Language  </w:t>
            </w:r>
          </w:p>
        </w:tc>
        <w:tc>
          <w:tcPr>
            <w:tcW w:w="6795" w:type="dxa"/>
            <w:tcBorders>
              <w:top w:val="nil"/>
              <w:left w:val="nil"/>
              <w:bottom w:val="nil"/>
              <w:right w:val="nil"/>
            </w:tcBorders>
            <w:shd w:val="clear" w:color="auto" w:fill="auto"/>
            <w:hideMark/>
          </w:tcPr>
          <w:p w14:paraId="51EDC9D8" w14:textId="6EB1580E"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Only English language papers were retained for screening, given the feasibility of translating references in the current time frame  </w:t>
            </w:r>
          </w:p>
        </w:tc>
      </w:tr>
      <w:tr w:rsidR="003B7F36" w:rsidRPr="00C95105" w14:paraId="2105EFE6" w14:textId="77777777" w:rsidTr="00532791">
        <w:tc>
          <w:tcPr>
            <w:tcW w:w="2115" w:type="dxa"/>
            <w:tcBorders>
              <w:top w:val="nil"/>
              <w:left w:val="nil"/>
              <w:bottom w:val="single" w:sz="6" w:space="0" w:color="auto"/>
              <w:right w:val="nil"/>
            </w:tcBorders>
            <w:shd w:val="clear" w:color="auto" w:fill="auto"/>
            <w:hideMark/>
          </w:tcPr>
          <w:p w14:paraId="0A5AE0F3"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Publication </w:t>
            </w:r>
          </w:p>
        </w:tc>
        <w:tc>
          <w:tcPr>
            <w:tcW w:w="6795" w:type="dxa"/>
            <w:tcBorders>
              <w:top w:val="nil"/>
              <w:left w:val="nil"/>
              <w:bottom w:val="single" w:sz="6" w:space="0" w:color="auto"/>
              <w:right w:val="nil"/>
            </w:tcBorders>
            <w:shd w:val="clear" w:color="auto" w:fill="auto"/>
            <w:hideMark/>
          </w:tcPr>
          <w:p w14:paraId="5B748B04"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Academic journal, industry report, trade report, dissertations </w:t>
            </w:r>
          </w:p>
        </w:tc>
      </w:tr>
    </w:tbl>
    <w:p w14:paraId="7BD0FD0E" w14:textId="77777777" w:rsidR="003B7F36" w:rsidRPr="00C95105" w:rsidRDefault="003B7F36" w:rsidP="004011EB">
      <w:pPr>
        <w:spacing w:after="120"/>
        <w:rPr>
          <w:rFonts w:asciiTheme="minorHAnsi" w:hAnsiTheme="minorHAnsi" w:cstheme="minorHAnsi"/>
          <w:b/>
          <w:bCs/>
          <w:i/>
          <w:iCs/>
          <w:color w:val="000000" w:themeColor="text1"/>
          <w:sz w:val="22"/>
          <w:szCs w:val="22"/>
        </w:rPr>
      </w:pPr>
    </w:p>
    <w:p w14:paraId="1B88EC43" w14:textId="2DDDCC3D" w:rsidR="003B7F36" w:rsidRPr="00C95105" w:rsidRDefault="003B7F36" w:rsidP="0093280F">
      <w:pPr>
        <w:pStyle w:val="Heading3"/>
        <w:numPr>
          <w:ilvl w:val="2"/>
          <w:numId w:val="9"/>
        </w:numPr>
        <w:spacing w:before="0" w:after="120"/>
        <w:ind w:left="567" w:hanging="567"/>
        <w:rPr>
          <w:rFonts w:asciiTheme="minorHAnsi" w:hAnsiTheme="minorHAnsi" w:cstheme="minorHAnsi"/>
          <w:b/>
          <w:bCs/>
          <w:i/>
          <w:iCs/>
          <w:color w:val="2F5496" w:themeColor="accent1" w:themeShade="BF"/>
          <w:sz w:val="22"/>
          <w:szCs w:val="22"/>
        </w:rPr>
      </w:pPr>
      <w:bookmarkStart w:id="155" w:name="_Toc96957687"/>
      <w:r w:rsidRPr="00C95105">
        <w:rPr>
          <w:rFonts w:asciiTheme="minorHAnsi" w:hAnsiTheme="minorHAnsi" w:cstheme="minorHAnsi"/>
          <w:b/>
          <w:bCs/>
          <w:i/>
          <w:iCs/>
          <w:color w:val="2F5496" w:themeColor="accent1" w:themeShade="BF"/>
          <w:sz w:val="22"/>
          <w:szCs w:val="22"/>
        </w:rPr>
        <w:t>Literature search </w:t>
      </w:r>
      <w:bookmarkEnd w:id="155"/>
      <w:r w:rsidRPr="00C95105">
        <w:rPr>
          <w:rFonts w:asciiTheme="minorHAnsi" w:hAnsiTheme="minorHAnsi" w:cstheme="minorHAnsi"/>
          <w:b/>
          <w:bCs/>
          <w:i/>
          <w:iCs/>
          <w:color w:val="2F5496" w:themeColor="accent1" w:themeShade="BF"/>
          <w:sz w:val="22"/>
          <w:szCs w:val="22"/>
        </w:rPr>
        <w:t> </w:t>
      </w:r>
    </w:p>
    <w:p w14:paraId="6EDC88A6" w14:textId="52332E76" w:rsidR="003B7F36" w:rsidRPr="00C95105" w:rsidRDefault="003B7F36" w:rsidP="00BF143D">
      <w:pPr>
        <w:spacing w:after="120"/>
        <w:ind w:firstLine="567"/>
        <w:textAlignment w:val="baseline"/>
        <w:rPr>
          <w:rFonts w:asciiTheme="minorHAnsi" w:hAnsiTheme="minorHAnsi" w:cstheme="minorHAnsi"/>
          <w:sz w:val="18"/>
          <w:szCs w:val="18"/>
        </w:rPr>
      </w:pPr>
      <w:r w:rsidRPr="00C95105">
        <w:rPr>
          <w:rFonts w:asciiTheme="minorHAnsi" w:hAnsiTheme="minorHAnsi" w:cstheme="minorHAnsi"/>
          <w:color w:val="000000" w:themeColor="text1"/>
          <w:sz w:val="22"/>
          <w:szCs w:val="22"/>
        </w:rPr>
        <w:t xml:space="preserve">A search string designed to capture references meeting these criteria was entered into more than 25 academic databases. We also conducted a search for non-academic reports and grey literature using Google Advanced Search. These searches returned a total of 4,479 references. One-hundred sixty-seven of these met initial screening criteria and were assessed for inclusion in the final set of references (Figure </w:t>
      </w:r>
      <w:r w:rsidR="00DD3E26" w:rsidRPr="00C95105">
        <w:rPr>
          <w:rFonts w:asciiTheme="minorHAnsi" w:hAnsiTheme="minorHAnsi" w:cstheme="minorHAnsi"/>
          <w:color w:val="000000" w:themeColor="text1"/>
          <w:sz w:val="22"/>
          <w:szCs w:val="22"/>
        </w:rPr>
        <w:t>3.</w:t>
      </w:r>
      <w:r w:rsidRPr="00C95105">
        <w:rPr>
          <w:rFonts w:asciiTheme="minorHAnsi" w:hAnsiTheme="minorHAnsi" w:cstheme="minorHAnsi"/>
          <w:color w:val="000000" w:themeColor="text1"/>
          <w:sz w:val="22"/>
          <w:szCs w:val="22"/>
        </w:rPr>
        <w:t xml:space="preserve">1). The number of references retained for data extraction and breakdown across outcome categories is given in Table </w:t>
      </w:r>
      <w:r w:rsidR="00DD3E26" w:rsidRPr="00C95105">
        <w:rPr>
          <w:rFonts w:asciiTheme="minorHAnsi" w:hAnsiTheme="minorHAnsi" w:cstheme="minorHAnsi"/>
          <w:color w:val="000000" w:themeColor="text1"/>
          <w:sz w:val="22"/>
          <w:szCs w:val="22"/>
        </w:rPr>
        <w:t>3.</w:t>
      </w:r>
      <w:r w:rsidRPr="00C95105">
        <w:rPr>
          <w:rFonts w:asciiTheme="minorHAnsi" w:hAnsiTheme="minorHAnsi" w:cstheme="minorHAnsi"/>
          <w:color w:val="000000" w:themeColor="text1"/>
          <w:sz w:val="22"/>
          <w:szCs w:val="22"/>
        </w:rPr>
        <w:t>2.   </w:t>
      </w:r>
    </w:p>
    <w:p w14:paraId="1D733EFE" w14:textId="77777777" w:rsidR="003B7F36" w:rsidRPr="00C95105" w:rsidRDefault="003B7F36" w:rsidP="004011EB">
      <w:pPr>
        <w:spacing w:after="120"/>
        <w:rPr>
          <w:rFonts w:asciiTheme="minorHAnsi" w:hAnsiTheme="minorHAnsi" w:cstheme="minorHAnsi"/>
          <w:color w:val="000000" w:themeColor="text1"/>
          <w:sz w:val="22"/>
          <w:szCs w:val="22"/>
        </w:rPr>
      </w:pPr>
    </w:p>
    <w:p w14:paraId="69446552" w14:textId="77777777" w:rsidR="003B7F36" w:rsidRPr="00C95105" w:rsidRDefault="003B7F36" w:rsidP="004011EB">
      <w:pPr>
        <w:spacing w:after="120"/>
        <w:rPr>
          <w:rFonts w:asciiTheme="minorHAnsi" w:hAnsiTheme="minorHAnsi" w:cstheme="minorHAnsi"/>
          <w:color w:val="000000" w:themeColor="text1"/>
          <w:sz w:val="22"/>
          <w:szCs w:val="22"/>
        </w:rPr>
      </w:pPr>
    </w:p>
    <w:p w14:paraId="1D12B0F3" w14:textId="77777777" w:rsidR="00E808C1" w:rsidRPr="00C95105" w:rsidRDefault="00E808C1" w:rsidP="004011EB">
      <w:pPr>
        <w:spacing w:after="120"/>
        <w:rPr>
          <w:rFonts w:asciiTheme="minorHAnsi" w:hAnsiTheme="minorHAnsi" w:cstheme="minorHAnsi"/>
          <w:color w:val="000000" w:themeColor="text1"/>
          <w:sz w:val="22"/>
          <w:szCs w:val="22"/>
        </w:rPr>
      </w:pPr>
    </w:p>
    <w:p w14:paraId="391EB1EE" w14:textId="77777777" w:rsidR="00E808C1" w:rsidRPr="00C95105" w:rsidRDefault="00E808C1" w:rsidP="004011EB">
      <w:pPr>
        <w:spacing w:after="120"/>
        <w:rPr>
          <w:rFonts w:asciiTheme="minorHAnsi" w:hAnsiTheme="minorHAnsi" w:cstheme="minorHAnsi"/>
          <w:color w:val="000000" w:themeColor="text1"/>
          <w:sz w:val="22"/>
          <w:szCs w:val="22"/>
        </w:rPr>
      </w:pPr>
    </w:p>
    <w:p w14:paraId="3C7E7208" w14:textId="77777777" w:rsidR="00E808C1" w:rsidRPr="00C95105" w:rsidRDefault="00E808C1" w:rsidP="004011EB">
      <w:pPr>
        <w:spacing w:after="120"/>
        <w:rPr>
          <w:rFonts w:asciiTheme="minorHAnsi" w:hAnsiTheme="minorHAnsi" w:cstheme="minorHAnsi"/>
          <w:color w:val="000000" w:themeColor="text1"/>
          <w:sz w:val="22"/>
          <w:szCs w:val="22"/>
        </w:rPr>
      </w:pPr>
    </w:p>
    <w:p w14:paraId="68D43937" w14:textId="77777777" w:rsidR="00E808C1" w:rsidRPr="00C95105" w:rsidRDefault="00E808C1" w:rsidP="004011EB">
      <w:pPr>
        <w:spacing w:after="120"/>
        <w:rPr>
          <w:rFonts w:asciiTheme="minorHAnsi" w:hAnsiTheme="minorHAnsi" w:cstheme="minorHAnsi"/>
          <w:color w:val="000000" w:themeColor="text1"/>
          <w:sz w:val="22"/>
          <w:szCs w:val="22"/>
        </w:rPr>
      </w:pPr>
    </w:p>
    <w:p w14:paraId="1CC0A33B" w14:textId="77777777" w:rsidR="00E808C1" w:rsidRPr="00C95105" w:rsidRDefault="00E808C1" w:rsidP="004011EB">
      <w:pPr>
        <w:spacing w:after="120"/>
        <w:rPr>
          <w:rFonts w:asciiTheme="minorHAnsi" w:hAnsiTheme="minorHAnsi" w:cstheme="minorHAnsi"/>
          <w:color w:val="000000" w:themeColor="text1"/>
          <w:sz w:val="22"/>
          <w:szCs w:val="22"/>
        </w:rPr>
      </w:pPr>
    </w:p>
    <w:p w14:paraId="104BF455" w14:textId="77777777" w:rsidR="00E808C1" w:rsidRPr="00C95105" w:rsidRDefault="00E808C1" w:rsidP="004011EB">
      <w:pPr>
        <w:spacing w:after="120"/>
        <w:rPr>
          <w:rFonts w:asciiTheme="minorHAnsi" w:hAnsiTheme="minorHAnsi" w:cstheme="minorHAnsi"/>
          <w:color w:val="000000" w:themeColor="text1"/>
          <w:sz w:val="22"/>
          <w:szCs w:val="22"/>
        </w:rPr>
      </w:pPr>
    </w:p>
    <w:p w14:paraId="2645A725" w14:textId="77777777" w:rsidR="00E808C1" w:rsidRPr="00C95105" w:rsidRDefault="00E808C1" w:rsidP="004011EB">
      <w:pPr>
        <w:spacing w:after="120"/>
        <w:rPr>
          <w:rFonts w:asciiTheme="minorHAnsi" w:hAnsiTheme="minorHAnsi" w:cstheme="minorHAnsi"/>
          <w:color w:val="000000" w:themeColor="text1"/>
          <w:sz w:val="22"/>
          <w:szCs w:val="22"/>
        </w:rPr>
      </w:pPr>
    </w:p>
    <w:p w14:paraId="3A2D54F4" w14:textId="77777777" w:rsidR="00E808C1" w:rsidRPr="00C95105" w:rsidRDefault="00E808C1" w:rsidP="004011EB">
      <w:pPr>
        <w:spacing w:after="120"/>
        <w:rPr>
          <w:rFonts w:asciiTheme="minorHAnsi" w:hAnsiTheme="minorHAnsi" w:cstheme="minorHAnsi"/>
          <w:color w:val="000000" w:themeColor="text1"/>
          <w:sz w:val="22"/>
          <w:szCs w:val="22"/>
        </w:rPr>
      </w:pPr>
    </w:p>
    <w:p w14:paraId="23442C87" w14:textId="77777777" w:rsidR="00E808C1" w:rsidRPr="00C95105" w:rsidRDefault="00E808C1" w:rsidP="004011EB">
      <w:pPr>
        <w:spacing w:after="120"/>
        <w:rPr>
          <w:rFonts w:asciiTheme="minorHAnsi" w:hAnsiTheme="minorHAnsi" w:cstheme="minorHAnsi"/>
          <w:color w:val="000000" w:themeColor="text1"/>
          <w:sz w:val="22"/>
          <w:szCs w:val="22"/>
        </w:rPr>
      </w:pPr>
    </w:p>
    <w:p w14:paraId="37308B28" w14:textId="77777777" w:rsidR="00E808C1" w:rsidRPr="00C95105" w:rsidRDefault="00E808C1" w:rsidP="004011EB">
      <w:pPr>
        <w:spacing w:after="120"/>
        <w:rPr>
          <w:rFonts w:asciiTheme="minorHAnsi" w:hAnsiTheme="minorHAnsi" w:cstheme="minorHAnsi"/>
          <w:color w:val="000000" w:themeColor="text1"/>
          <w:sz w:val="22"/>
          <w:szCs w:val="22"/>
        </w:rPr>
      </w:pPr>
    </w:p>
    <w:p w14:paraId="1A898E2C" w14:textId="77777777" w:rsidR="00E808C1" w:rsidRPr="00C95105" w:rsidRDefault="00E808C1" w:rsidP="004011EB">
      <w:pPr>
        <w:spacing w:after="120"/>
        <w:rPr>
          <w:rFonts w:asciiTheme="minorHAnsi" w:hAnsiTheme="minorHAnsi" w:cstheme="minorHAnsi"/>
          <w:color w:val="000000" w:themeColor="text1"/>
          <w:sz w:val="22"/>
          <w:szCs w:val="22"/>
        </w:rPr>
      </w:pPr>
    </w:p>
    <w:p w14:paraId="282F8E77" w14:textId="77777777" w:rsidR="00E808C1" w:rsidRPr="00C95105" w:rsidRDefault="00E808C1" w:rsidP="004011EB">
      <w:pPr>
        <w:spacing w:after="120"/>
        <w:rPr>
          <w:rFonts w:asciiTheme="minorHAnsi" w:hAnsiTheme="minorHAnsi" w:cstheme="minorHAnsi"/>
          <w:color w:val="000000" w:themeColor="text1"/>
          <w:sz w:val="22"/>
          <w:szCs w:val="22"/>
        </w:rPr>
      </w:pPr>
    </w:p>
    <w:p w14:paraId="1DB4DCB7" w14:textId="77777777" w:rsidR="00E808C1" w:rsidRPr="00C95105" w:rsidRDefault="00E808C1" w:rsidP="004011EB">
      <w:pPr>
        <w:spacing w:after="120"/>
        <w:rPr>
          <w:rFonts w:asciiTheme="minorHAnsi" w:hAnsiTheme="minorHAnsi" w:cstheme="minorHAnsi"/>
          <w:color w:val="000000" w:themeColor="text1"/>
          <w:sz w:val="22"/>
          <w:szCs w:val="22"/>
        </w:rPr>
      </w:pPr>
    </w:p>
    <w:p w14:paraId="6C0D7930" w14:textId="77777777" w:rsidR="00E808C1" w:rsidRPr="00C95105" w:rsidRDefault="00E808C1" w:rsidP="004011EB">
      <w:pPr>
        <w:spacing w:after="120"/>
        <w:rPr>
          <w:rFonts w:asciiTheme="minorHAnsi" w:hAnsiTheme="minorHAnsi" w:cstheme="minorHAnsi"/>
          <w:color w:val="000000" w:themeColor="text1"/>
          <w:sz w:val="22"/>
          <w:szCs w:val="22"/>
        </w:rPr>
      </w:pPr>
    </w:p>
    <w:p w14:paraId="006AF62D" w14:textId="77777777" w:rsidR="00E808C1" w:rsidRPr="00C95105" w:rsidRDefault="00E808C1" w:rsidP="004011EB">
      <w:pPr>
        <w:spacing w:after="120"/>
        <w:rPr>
          <w:rFonts w:asciiTheme="minorHAnsi" w:hAnsiTheme="minorHAnsi" w:cstheme="minorHAnsi"/>
          <w:color w:val="000000" w:themeColor="text1"/>
          <w:sz w:val="22"/>
          <w:szCs w:val="22"/>
        </w:rPr>
      </w:pPr>
    </w:p>
    <w:p w14:paraId="26ECA23C" w14:textId="77777777" w:rsidR="00E808C1" w:rsidRPr="00C95105" w:rsidRDefault="00E808C1" w:rsidP="004011EB">
      <w:pPr>
        <w:spacing w:after="120"/>
        <w:rPr>
          <w:rFonts w:asciiTheme="minorHAnsi" w:hAnsiTheme="minorHAnsi" w:cstheme="minorHAnsi"/>
          <w:color w:val="000000" w:themeColor="text1"/>
          <w:sz w:val="22"/>
          <w:szCs w:val="22"/>
        </w:rPr>
      </w:pPr>
    </w:p>
    <w:p w14:paraId="65073CF0" w14:textId="77777777" w:rsidR="00CB0781" w:rsidRPr="00C95105" w:rsidRDefault="00CB0781" w:rsidP="004011EB">
      <w:pPr>
        <w:spacing w:after="120"/>
        <w:rPr>
          <w:rFonts w:asciiTheme="minorHAnsi" w:hAnsiTheme="minorHAnsi" w:cstheme="minorHAnsi"/>
          <w:color w:val="000000" w:themeColor="text1"/>
          <w:sz w:val="22"/>
          <w:szCs w:val="22"/>
        </w:rPr>
      </w:pPr>
    </w:p>
    <w:p w14:paraId="7FEFECD4" w14:textId="77777777" w:rsidR="003B7F36" w:rsidRPr="00C95105" w:rsidRDefault="003B7F36" w:rsidP="004A2E25">
      <w:pPr>
        <w:pStyle w:val="ListParagraph"/>
        <w:ind w:left="0"/>
        <w:rPr>
          <w:rFonts w:asciiTheme="minorHAnsi" w:hAnsiTheme="minorHAnsi" w:cstheme="minorHAnsi"/>
          <w:b/>
          <w:bCs/>
          <w:i/>
          <w:iCs/>
        </w:rPr>
      </w:pPr>
      <w:bookmarkStart w:id="156" w:name="_Toc96866416"/>
      <w:bookmarkStart w:id="157" w:name="_Toc96878285"/>
      <w:r w:rsidRPr="00C95105">
        <w:rPr>
          <w:rFonts w:asciiTheme="minorHAnsi" w:hAnsiTheme="minorHAnsi" w:cstheme="minorHAnsi"/>
          <w:b/>
          <w:bCs/>
          <w:i/>
          <w:iCs/>
        </w:rPr>
        <w:lastRenderedPageBreak/>
        <w:t xml:space="preserve">Figure </w:t>
      </w:r>
      <w:r w:rsidR="00BF143D" w:rsidRPr="00C95105">
        <w:rPr>
          <w:rFonts w:asciiTheme="minorHAnsi" w:hAnsiTheme="minorHAnsi" w:cstheme="minorHAnsi"/>
          <w:b/>
          <w:bCs/>
          <w:i/>
          <w:iCs/>
        </w:rPr>
        <w:t>3.1</w:t>
      </w:r>
      <w:r w:rsidRPr="00C95105">
        <w:rPr>
          <w:rFonts w:asciiTheme="minorHAnsi" w:hAnsiTheme="minorHAnsi" w:cstheme="minorHAnsi"/>
          <w:b/>
          <w:bCs/>
          <w:i/>
          <w:iCs/>
        </w:rPr>
        <w:t xml:space="preserve">. </w:t>
      </w:r>
      <w:r w:rsidRPr="00C95105">
        <w:rPr>
          <w:rFonts w:asciiTheme="minorHAnsi" w:hAnsiTheme="minorHAnsi" w:cstheme="minorHAnsi"/>
          <w:i/>
          <w:iCs/>
        </w:rPr>
        <w:t xml:space="preserve">PRISMA Flow Diagram </w:t>
      </w:r>
      <w:r w:rsidR="00C834DC" w:rsidRPr="00C95105">
        <w:rPr>
          <w:rFonts w:asciiTheme="minorHAnsi" w:hAnsiTheme="minorHAnsi" w:cstheme="minorHAnsi"/>
          <w:i/>
          <w:iCs/>
        </w:rPr>
        <w:t>summarising literature search and inclusion for Men and Flexible Work</w:t>
      </w:r>
      <w:bookmarkEnd w:id="156"/>
      <w:bookmarkEnd w:id="157"/>
    </w:p>
    <w:p w14:paraId="7D44C203" w14:textId="77777777" w:rsidR="00E66750" w:rsidRDefault="00E66750" w:rsidP="008E4B7A">
      <w:pPr>
        <w:pStyle w:val="TableParagraph"/>
        <w:spacing w:after="120"/>
        <w:ind w:left="0"/>
        <w:rPr>
          <w:rFonts w:asciiTheme="minorHAnsi" w:hAnsiTheme="minorHAnsi" w:cstheme="minorHAnsi"/>
          <w:b/>
          <w:bCs/>
          <w:lang w:val="en-AU"/>
        </w:rPr>
      </w:pPr>
      <w:bookmarkStart w:id="158" w:name="_Toc96878643"/>
    </w:p>
    <w:p w14:paraId="49FDCE2C" w14:textId="390530DC" w:rsidR="004B0822" w:rsidRDefault="005E20F4" w:rsidP="008E4B7A">
      <w:pPr>
        <w:pStyle w:val="TableParagraph"/>
        <w:spacing w:after="120"/>
        <w:ind w:left="0"/>
        <w:rPr>
          <w:rFonts w:asciiTheme="minorHAnsi" w:hAnsiTheme="minorHAnsi" w:cstheme="minorHAnsi"/>
          <w:b/>
          <w:bCs/>
          <w:lang w:val="en-AU"/>
        </w:rPr>
      </w:pPr>
      <w:r>
        <w:rPr>
          <w:rFonts w:asciiTheme="minorHAnsi" w:hAnsiTheme="minorHAnsi" w:cstheme="minorHAnsi"/>
          <w:b/>
          <w:bCs/>
          <w:noProof/>
          <w:lang w:val="en-AU"/>
        </w:rPr>
        <w:drawing>
          <wp:inline distT="0" distB="0" distL="0" distR="0" wp14:anchorId="3570D4D9" wp14:editId="0089C240">
            <wp:extent cx="5687251" cy="5669641"/>
            <wp:effectExtent l="0" t="0" r="8890" b="7620"/>
            <wp:docPr id="268" name="Picture 268" descr="Flow diagram showing identification phase includes 5,290 records identified through database searching and 8 additional records identified through other sourced. In screening, 4,479 records after duplicates removed were screened. Of these 4,317 records were excluded during screening. 167 full text articles were assed for eligibility. 105 full text articles excluded, with reasons. 62 studies were included in qualitative synthe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Flow diagram showing identification phase includes 5,290 records identified through database searching and 8 additional records identified through other sourced. In screening, 4,479 records after duplicates removed were screened. Of these 4,317 records were excluded during screening. 167 full text articles were assed for eligibility. 105 full text articles excluded, with reasons. 62 studies were included in qualitative synthesi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1361" cy="5673738"/>
                    </a:xfrm>
                    <a:prstGeom prst="rect">
                      <a:avLst/>
                    </a:prstGeom>
                    <a:noFill/>
                    <a:ln>
                      <a:noFill/>
                    </a:ln>
                  </pic:spPr>
                </pic:pic>
              </a:graphicData>
            </a:graphic>
          </wp:inline>
        </w:drawing>
      </w:r>
    </w:p>
    <w:p w14:paraId="7C4A39FB" w14:textId="790166C6" w:rsidR="004B0822" w:rsidRDefault="004B0822" w:rsidP="008E4B7A">
      <w:pPr>
        <w:pStyle w:val="TableParagraph"/>
        <w:spacing w:after="120"/>
        <w:ind w:left="0"/>
        <w:rPr>
          <w:rFonts w:asciiTheme="minorHAnsi" w:hAnsiTheme="minorHAnsi" w:cstheme="minorHAnsi"/>
          <w:b/>
          <w:bCs/>
          <w:lang w:val="en-AU"/>
        </w:rPr>
      </w:pPr>
    </w:p>
    <w:p w14:paraId="314AC50A" w14:textId="4D48CF47" w:rsidR="003B7F36" w:rsidRPr="00C95105" w:rsidRDefault="003B7F36" w:rsidP="008E4B7A">
      <w:pPr>
        <w:pStyle w:val="TableParagraph"/>
        <w:spacing w:after="120"/>
        <w:ind w:left="0"/>
        <w:rPr>
          <w:rFonts w:asciiTheme="minorHAnsi" w:hAnsiTheme="minorHAnsi" w:cstheme="minorHAnsi"/>
          <w:b/>
          <w:bCs/>
          <w:lang w:val="en-AU"/>
        </w:rPr>
      </w:pPr>
      <w:r w:rsidRPr="00C95105">
        <w:rPr>
          <w:rFonts w:asciiTheme="minorHAnsi" w:hAnsiTheme="minorHAnsi" w:cstheme="minorHAnsi"/>
          <w:b/>
          <w:bCs/>
          <w:lang w:val="en-AU"/>
        </w:rPr>
        <w:t xml:space="preserve">Table </w:t>
      </w:r>
      <w:r w:rsidR="00522669" w:rsidRPr="00C95105">
        <w:rPr>
          <w:rFonts w:asciiTheme="minorHAnsi" w:hAnsiTheme="minorHAnsi" w:cstheme="minorHAnsi"/>
          <w:b/>
          <w:bCs/>
          <w:lang w:val="en-AU"/>
        </w:rPr>
        <w:t>3.2</w:t>
      </w:r>
      <w:r w:rsidRPr="00C95105">
        <w:rPr>
          <w:rFonts w:asciiTheme="minorHAnsi" w:hAnsiTheme="minorHAnsi" w:cstheme="minorHAnsi"/>
          <w:b/>
          <w:bCs/>
          <w:lang w:val="en-AU"/>
        </w:rPr>
        <w:t xml:space="preserve">. </w:t>
      </w:r>
      <w:r w:rsidRPr="00C95105">
        <w:rPr>
          <w:rFonts w:asciiTheme="minorHAnsi" w:hAnsiTheme="minorHAnsi" w:cstheme="minorHAnsi"/>
          <w:lang w:val="en-AU"/>
        </w:rPr>
        <w:t>Summary of References Retained for Data Extraction </w:t>
      </w:r>
      <w:bookmarkEnd w:id="158"/>
      <w:r w:rsidRPr="00C95105">
        <w:rPr>
          <w:rFonts w:asciiTheme="minorHAnsi" w:hAnsiTheme="minorHAnsi" w:cstheme="minorHAnsi"/>
          <w:b/>
          <w:bCs/>
          <w:lang w:val="en-AU"/>
        </w:rPr>
        <w:t> </w:t>
      </w:r>
    </w:p>
    <w:tbl>
      <w:tblPr>
        <w:tblW w:w="652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3"/>
        <w:gridCol w:w="1418"/>
      </w:tblGrid>
      <w:tr w:rsidR="00977ACC" w:rsidRPr="00C95105" w14:paraId="628B0688" w14:textId="77777777" w:rsidTr="00205B9E">
        <w:tc>
          <w:tcPr>
            <w:tcW w:w="5103" w:type="dxa"/>
            <w:tcBorders>
              <w:top w:val="single" w:sz="6" w:space="0" w:color="auto"/>
              <w:left w:val="nil"/>
              <w:bottom w:val="single" w:sz="6" w:space="0" w:color="auto"/>
              <w:right w:val="nil"/>
            </w:tcBorders>
            <w:shd w:val="clear" w:color="auto" w:fill="auto"/>
            <w:hideMark/>
          </w:tcPr>
          <w:p w14:paraId="1C75E53B" w14:textId="77777777" w:rsidR="003B7F36" w:rsidRPr="00C95105" w:rsidRDefault="003B7F36" w:rsidP="004011EB">
            <w:pPr>
              <w:spacing w:after="120"/>
              <w:jc w:val="center"/>
              <w:textAlignment w:val="baseline"/>
              <w:rPr>
                <w:rFonts w:asciiTheme="minorHAnsi" w:hAnsiTheme="minorHAnsi" w:cstheme="minorHAnsi"/>
                <w:color w:val="2F5496" w:themeColor="accent1" w:themeShade="BF"/>
              </w:rPr>
            </w:pPr>
            <w:r w:rsidRPr="00C95105">
              <w:rPr>
                <w:rFonts w:asciiTheme="minorHAnsi" w:hAnsiTheme="minorHAnsi" w:cstheme="minorHAnsi"/>
                <w:b/>
                <w:bCs/>
                <w:color w:val="2F5496" w:themeColor="accent1" w:themeShade="BF"/>
                <w:sz w:val="22"/>
                <w:szCs w:val="22"/>
              </w:rPr>
              <w:t>Outcome Category</w:t>
            </w:r>
            <w:r w:rsidRPr="00C95105">
              <w:rPr>
                <w:rFonts w:asciiTheme="minorHAnsi" w:hAnsiTheme="minorHAnsi" w:cstheme="minorHAnsi"/>
                <w:color w:val="2F5496" w:themeColor="accent1" w:themeShade="BF"/>
                <w:sz w:val="22"/>
                <w:szCs w:val="22"/>
              </w:rPr>
              <w:t>  </w:t>
            </w:r>
          </w:p>
        </w:tc>
        <w:tc>
          <w:tcPr>
            <w:tcW w:w="1418" w:type="dxa"/>
            <w:tcBorders>
              <w:top w:val="single" w:sz="6" w:space="0" w:color="auto"/>
              <w:left w:val="nil"/>
              <w:bottom w:val="single" w:sz="6" w:space="0" w:color="auto"/>
              <w:right w:val="nil"/>
            </w:tcBorders>
            <w:shd w:val="clear" w:color="auto" w:fill="auto"/>
            <w:hideMark/>
          </w:tcPr>
          <w:p w14:paraId="71E7BEAE" w14:textId="77777777" w:rsidR="003B7F36" w:rsidRPr="00C95105" w:rsidRDefault="003B7F36" w:rsidP="00205B9E">
            <w:pPr>
              <w:spacing w:after="120"/>
              <w:ind w:left="169"/>
              <w:jc w:val="center"/>
              <w:textAlignment w:val="baseline"/>
              <w:rPr>
                <w:rFonts w:asciiTheme="minorHAnsi" w:hAnsiTheme="minorHAnsi" w:cstheme="minorHAnsi"/>
                <w:color w:val="2F5496" w:themeColor="accent1" w:themeShade="BF"/>
              </w:rPr>
            </w:pPr>
            <w:r w:rsidRPr="00C95105">
              <w:rPr>
                <w:rFonts w:asciiTheme="minorHAnsi" w:hAnsiTheme="minorHAnsi" w:cstheme="minorHAnsi"/>
                <w:b/>
                <w:bCs/>
                <w:color w:val="2F5496" w:themeColor="accent1" w:themeShade="BF"/>
                <w:sz w:val="22"/>
                <w:szCs w:val="22"/>
              </w:rPr>
              <w:t>Quantity</w:t>
            </w:r>
            <w:r w:rsidRPr="00C95105">
              <w:rPr>
                <w:rFonts w:asciiTheme="minorHAnsi" w:hAnsiTheme="minorHAnsi" w:cstheme="minorHAnsi"/>
                <w:color w:val="2F5496" w:themeColor="accent1" w:themeShade="BF"/>
                <w:sz w:val="22"/>
                <w:szCs w:val="22"/>
              </w:rPr>
              <w:t>  </w:t>
            </w:r>
          </w:p>
        </w:tc>
      </w:tr>
      <w:tr w:rsidR="00205B9E" w:rsidRPr="00C95105" w14:paraId="5A560374" w14:textId="77777777" w:rsidTr="00205B9E">
        <w:tc>
          <w:tcPr>
            <w:tcW w:w="5103" w:type="dxa"/>
            <w:tcBorders>
              <w:top w:val="single" w:sz="6" w:space="0" w:color="auto"/>
              <w:left w:val="nil"/>
              <w:bottom w:val="nil"/>
              <w:right w:val="nil"/>
            </w:tcBorders>
            <w:shd w:val="clear" w:color="auto" w:fill="auto"/>
            <w:hideMark/>
          </w:tcPr>
          <w:p w14:paraId="61976686" w14:textId="6F99E3CE"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Total number of references retained for data extraction  </w:t>
            </w:r>
          </w:p>
        </w:tc>
        <w:tc>
          <w:tcPr>
            <w:tcW w:w="1418" w:type="dxa"/>
            <w:tcBorders>
              <w:top w:val="single" w:sz="6" w:space="0" w:color="auto"/>
              <w:left w:val="nil"/>
              <w:bottom w:val="nil"/>
              <w:right w:val="nil"/>
            </w:tcBorders>
            <w:shd w:val="clear" w:color="auto" w:fill="auto"/>
            <w:hideMark/>
          </w:tcPr>
          <w:p w14:paraId="08450178"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sz w:val="22"/>
                <w:szCs w:val="22"/>
              </w:rPr>
              <w:t>62  </w:t>
            </w:r>
          </w:p>
        </w:tc>
      </w:tr>
      <w:tr w:rsidR="00205B9E" w:rsidRPr="00C95105" w14:paraId="22D780A3" w14:textId="77777777" w:rsidTr="00205B9E">
        <w:tc>
          <w:tcPr>
            <w:tcW w:w="5103" w:type="dxa"/>
            <w:tcBorders>
              <w:top w:val="nil"/>
              <w:left w:val="nil"/>
              <w:bottom w:val="nil"/>
              <w:right w:val="nil"/>
            </w:tcBorders>
            <w:shd w:val="clear" w:color="auto" w:fill="auto"/>
            <w:hideMark/>
          </w:tcPr>
          <w:p w14:paraId="30CF4F16"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Individual-level factors  </w:t>
            </w:r>
          </w:p>
        </w:tc>
        <w:tc>
          <w:tcPr>
            <w:tcW w:w="1418" w:type="dxa"/>
            <w:tcBorders>
              <w:top w:val="nil"/>
              <w:left w:val="nil"/>
              <w:bottom w:val="nil"/>
              <w:right w:val="nil"/>
            </w:tcBorders>
            <w:shd w:val="clear" w:color="auto" w:fill="auto"/>
            <w:hideMark/>
          </w:tcPr>
          <w:p w14:paraId="1C19BF95"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sz w:val="22"/>
                <w:szCs w:val="22"/>
              </w:rPr>
              <w:t>37 </w:t>
            </w:r>
          </w:p>
        </w:tc>
      </w:tr>
      <w:tr w:rsidR="00205B9E" w:rsidRPr="00C95105" w14:paraId="3B10843E" w14:textId="77777777" w:rsidTr="00205B9E">
        <w:tc>
          <w:tcPr>
            <w:tcW w:w="5103" w:type="dxa"/>
            <w:tcBorders>
              <w:top w:val="nil"/>
              <w:left w:val="nil"/>
              <w:bottom w:val="nil"/>
              <w:right w:val="nil"/>
            </w:tcBorders>
            <w:shd w:val="clear" w:color="auto" w:fill="auto"/>
            <w:hideMark/>
          </w:tcPr>
          <w:p w14:paraId="406EA7F5"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Organisational-level factors  </w:t>
            </w:r>
          </w:p>
        </w:tc>
        <w:tc>
          <w:tcPr>
            <w:tcW w:w="1418" w:type="dxa"/>
            <w:tcBorders>
              <w:top w:val="nil"/>
              <w:left w:val="nil"/>
              <w:bottom w:val="nil"/>
              <w:right w:val="nil"/>
            </w:tcBorders>
            <w:shd w:val="clear" w:color="auto" w:fill="auto"/>
            <w:hideMark/>
          </w:tcPr>
          <w:p w14:paraId="702E4B6D"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sz w:val="22"/>
                <w:szCs w:val="22"/>
              </w:rPr>
              <w:t>21 </w:t>
            </w:r>
          </w:p>
        </w:tc>
      </w:tr>
      <w:tr w:rsidR="00205B9E" w:rsidRPr="00C95105" w14:paraId="3662E293" w14:textId="77777777" w:rsidTr="00205B9E">
        <w:tc>
          <w:tcPr>
            <w:tcW w:w="5103" w:type="dxa"/>
            <w:tcBorders>
              <w:top w:val="nil"/>
              <w:left w:val="nil"/>
              <w:bottom w:val="single" w:sz="6" w:space="0" w:color="auto"/>
              <w:right w:val="nil"/>
            </w:tcBorders>
            <w:shd w:val="clear" w:color="auto" w:fill="auto"/>
            <w:hideMark/>
          </w:tcPr>
          <w:p w14:paraId="03AE0AE1"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Societal-level factors  </w:t>
            </w:r>
          </w:p>
        </w:tc>
        <w:tc>
          <w:tcPr>
            <w:tcW w:w="1418" w:type="dxa"/>
            <w:tcBorders>
              <w:top w:val="nil"/>
              <w:left w:val="nil"/>
              <w:bottom w:val="single" w:sz="6" w:space="0" w:color="auto"/>
              <w:right w:val="nil"/>
            </w:tcBorders>
            <w:shd w:val="clear" w:color="auto" w:fill="auto"/>
            <w:hideMark/>
          </w:tcPr>
          <w:p w14:paraId="46E410BC"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sz w:val="22"/>
                <w:szCs w:val="22"/>
              </w:rPr>
              <w:t>26 </w:t>
            </w:r>
          </w:p>
        </w:tc>
      </w:tr>
    </w:tbl>
    <w:p w14:paraId="0A9AF8EC" w14:textId="77777777" w:rsidR="003B7F36" w:rsidRPr="00C95105" w:rsidRDefault="003B7F36" w:rsidP="004011EB">
      <w:pPr>
        <w:spacing w:after="120"/>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Note. Quantity total exceeds 62, as many papers explored multiple levels.  </w:t>
      </w:r>
    </w:p>
    <w:p w14:paraId="764C2F34" w14:textId="77777777" w:rsidR="003B7F36" w:rsidRDefault="003B7F36" w:rsidP="004011EB">
      <w:pPr>
        <w:spacing w:after="120"/>
        <w:textAlignment w:val="baseline"/>
        <w:rPr>
          <w:rFonts w:asciiTheme="minorHAnsi" w:hAnsiTheme="minorHAnsi" w:cstheme="minorHAnsi"/>
          <w:color w:val="000000"/>
          <w:sz w:val="22"/>
          <w:szCs w:val="22"/>
        </w:rPr>
      </w:pPr>
      <w:r w:rsidRPr="00C95105">
        <w:rPr>
          <w:rFonts w:asciiTheme="minorHAnsi" w:hAnsiTheme="minorHAnsi" w:cstheme="minorHAnsi"/>
          <w:i/>
          <w:iCs/>
          <w:color w:val="000000"/>
          <w:sz w:val="22"/>
          <w:szCs w:val="22"/>
        </w:rPr>
        <w:t>  </w:t>
      </w:r>
      <w:r w:rsidRPr="00C95105">
        <w:rPr>
          <w:rFonts w:asciiTheme="minorHAnsi" w:hAnsiTheme="minorHAnsi" w:cstheme="minorHAnsi"/>
          <w:color w:val="000000"/>
          <w:sz w:val="22"/>
          <w:szCs w:val="22"/>
        </w:rPr>
        <w:t> </w:t>
      </w:r>
    </w:p>
    <w:p w14:paraId="067C1E6B" w14:textId="77777777" w:rsidR="0035324F" w:rsidRPr="00C95105" w:rsidRDefault="0035324F" w:rsidP="004011EB">
      <w:pPr>
        <w:spacing w:after="120"/>
        <w:textAlignment w:val="baseline"/>
        <w:rPr>
          <w:rFonts w:asciiTheme="minorHAnsi" w:hAnsiTheme="minorHAnsi" w:cstheme="minorHAnsi"/>
          <w:sz w:val="18"/>
          <w:szCs w:val="18"/>
        </w:rPr>
      </w:pPr>
    </w:p>
    <w:p w14:paraId="63BBC3F1" w14:textId="3E5AD365" w:rsidR="003B7F36" w:rsidRPr="00C95105" w:rsidRDefault="003B7F36" w:rsidP="0093280F">
      <w:pPr>
        <w:pStyle w:val="Heading3"/>
        <w:numPr>
          <w:ilvl w:val="2"/>
          <w:numId w:val="9"/>
        </w:numPr>
        <w:spacing w:before="0" w:after="120"/>
        <w:ind w:left="567" w:hanging="567"/>
        <w:rPr>
          <w:rFonts w:asciiTheme="minorHAnsi" w:hAnsiTheme="minorHAnsi" w:cstheme="minorHAnsi"/>
          <w:b/>
          <w:bCs/>
          <w:i/>
          <w:iCs/>
          <w:color w:val="2F5496" w:themeColor="accent1" w:themeShade="BF"/>
          <w:sz w:val="22"/>
          <w:szCs w:val="22"/>
        </w:rPr>
      </w:pPr>
      <w:bookmarkStart w:id="159" w:name="_Toc96957688"/>
      <w:r w:rsidRPr="00C95105">
        <w:rPr>
          <w:rFonts w:asciiTheme="minorHAnsi" w:hAnsiTheme="minorHAnsi" w:cstheme="minorHAnsi"/>
          <w:b/>
          <w:bCs/>
          <w:i/>
          <w:iCs/>
          <w:color w:val="2F5496" w:themeColor="accent1" w:themeShade="BF"/>
          <w:sz w:val="22"/>
          <w:szCs w:val="22"/>
        </w:rPr>
        <w:lastRenderedPageBreak/>
        <w:t>Data extraction </w:t>
      </w:r>
      <w:bookmarkEnd w:id="159"/>
      <w:r w:rsidRPr="00C95105">
        <w:rPr>
          <w:rFonts w:asciiTheme="minorHAnsi" w:hAnsiTheme="minorHAnsi" w:cstheme="minorHAnsi"/>
          <w:b/>
          <w:bCs/>
          <w:i/>
          <w:iCs/>
          <w:color w:val="2F5496" w:themeColor="accent1" w:themeShade="BF"/>
          <w:sz w:val="22"/>
          <w:szCs w:val="22"/>
        </w:rPr>
        <w:t> </w:t>
      </w:r>
    </w:p>
    <w:p w14:paraId="3558DDAD" w14:textId="77777777" w:rsidR="003B7F36" w:rsidRPr="00C95105" w:rsidRDefault="003B7F36" w:rsidP="0000512F">
      <w:pPr>
        <w:spacing w:after="120"/>
        <w:ind w:firstLine="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The final set of eligible references were coded by a member of the research team with experience in data extraction for systematic reviews. The coding was performed using a data extraction tool capturing information regarding primary findings and recommendations. Any studies not meeting basic research standards were excluded from analysis, and we weighted our recommendations by the quality of those retained. </w:t>
      </w:r>
    </w:p>
    <w:p w14:paraId="0775616F" w14:textId="77777777" w:rsidR="00163EBA" w:rsidRPr="00C95105" w:rsidRDefault="003B7F36" w:rsidP="00163EBA">
      <w:pPr>
        <w:spacing w:after="120"/>
        <w:textAlignment w:val="baseline"/>
        <w:rPr>
          <w:rFonts w:asciiTheme="minorHAnsi" w:hAnsiTheme="minorHAnsi" w:cstheme="minorHAnsi"/>
          <w:color w:val="000000"/>
          <w:sz w:val="22"/>
          <w:szCs w:val="22"/>
        </w:rPr>
      </w:pPr>
      <w:r w:rsidRPr="00C95105">
        <w:rPr>
          <w:rFonts w:asciiTheme="minorHAnsi" w:hAnsiTheme="minorHAnsi" w:cstheme="minorHAnsi"/>
          <w:color w:val="000000"/>
          <w:sz w:val="22"/>
          <w:szCs w:val="22"/>
        </w:rPr>
        <w:t> </w:t>
      </w:r>
    </w:p>
    <w:p w14:paraId="0F8AA99E" w14:textId="5336670D" w:rsidR="003B7F36" w:rsidRPr="00C95105" w:rsidRDefault="003B7F36" w:rsidP="0093280F">
      <w:pPr>
        <w:pStyle w:val="Heading2"/>
        <w:numPr>
          <w:ilvl w:val="1"/>
          <w:numId w:val="9"/>
        </w:numPr>
        <w:spacing w:before="0" w:after="120"/>
        <w:ind w:left="426" w:hanging="437"/>
        <w:rPr>
          <w:rFonts w:asciiTheme="minorHAnsi" w:hAnsiTheme="minorHAnsi" w:cstheme="minorHAnsi"/>
          <w:b/>
          <w:bCs/>
        </w:rPr>
      </w:pPr>
      <w:bookmarkStart w:id="160" w:name="_Toc96957689"/>
      <w:r w:rsidRPr="00C95105">
        <w:rPr>
          <w:rFonts w:asciiTheme="minorHAnsi" w:hAnsiTheme="minorHAnsi" w:cstheme="minorHAnsi"/>
          <w:b/>
          <w:bCs/>
        </w:rPr>
        <w:t>Findings and Recommendations</w:t>
      </w:r>
      <w:bookmarkEnd w:id="160"/>
      <w:r w:rsidRPr="00C95105">
        <w:rPr>
          <w:rFonts w:asciiTheme="minorHAnsi" w:hAnsiTheme="minorHAnsi" w:cstheme="minorHAnsi"/>
          <w:b/>
          <w:bCs/>
        </w:rPr>
        <w:t> </w:t>
      </w:r>
    </w:p>
    <w:p w14:paraId="2867C3EC" w14:textId="594450F9" w:rsidR="003B7F36" w:rsidRPr="00C95105" w:rsidRDefault="003B7F36" w:rsidP="00163EBA">
      <w:pPr>
        <w:spacing w:after="120"/>
        <w:ind w:firstLine="567"/>
        <w:textAlignment w:val="baseline"/>
        <w:rPr>
          <w:rFonts w:asciiTheme="minorHAnsi" w:hAnsiTheme="minorHAnsi" w:cstheme="minorHAnsi"/>
          <w:color w:val="000000" w:themeColor="text1"/>
          <w:sz w:val="22"/>
          <w:szCs w:val="22"/>
        </w:rPr>
      </w:pPr>
      <w:r w:rsidRPr="00C95105">
        <w:rPr>
          <w:rFonts w:asciiTheme="minorHAnsi" w:hAnsiTheme="minorHAnsi" w:cstheme="minorHAnsi"/>
          <w:color w:val="000000" w:themeColor="text1"/>
          <w:sz w:val="22"/>
          <w:szCs w:val="22"/>
        </w:rPr>
        <w:t xml:space="preserve">The tables below provide summaries of the evidence regarding individual (Table </w:t>
      </w:r>
      <w:r w:rsidR="000D0042" w:rsidRPr="00C95105">
        <w:rPr>
          <w:rFonts w:asciiTheme="minorHAnsi" w:hAnsiTheme="minorHAnsi" w:cstheme="minorHAnsi"/>
          <w:color w:val="000000" w:themeColor="text1"/>
          <w:sz w:val="22"/>
          <w:szCs w:val="22"/>
        </w:rPr>
        <w:t>3.</w:t>
      </w:r>
      <w:r w:rsidRPr="00C95105">
        <w:rPr>
          <w:rFonts w:asciiTheme="minorHAnsi" w:hAnsiTheme="minorHAnsi" w:cstheme="minorHAnsi"/>
          <w:color w:val="000000" w:themeColor="text1"/>
          <w:sz w:val="22"/>
          <w:szCs w:val="22"/>
        </w:rPr>
        <w:t xml:space="preserve">3), organisational (Table </w:t>
      </w:r>
      <w:r w:rsidR="000D0042" w:rsidRPr="00C95105">
        <w:rPr>
          <w:rFonts w:asciiTheme="minorHAnsi" w:hAnsiTheme="minorHAnsi" w:cstheme="minorHAnsi"/>
          <w:color w:val="000000" w:themeColor="text1"/>
          <w:sz w:val="22"/>
          <w:szCs w:val="22"/>
        </w:rPr>
        <w:t>3.</w:t>
      </w:r>
      <w:r w:rsidRPr="00C95105">
        <w:rPr>
          <w:rFonts w:asciiTheme="minorHAnsi" w:hAnsiTheme="minorHAnsi" w:cstheme="minorHAnsi"/>
          <w:color w:val="000000" w:themeColor="text1"/>
          <w:sz w:val="22"/>
          <w:szCs w:val="22"/>
        </w:rPr>
        <w:t xml:space="preserve">4), and societal level (Table </w:t>
      </w:r>
      <w:r w:rsidR="000D0042" w:rsidRPr="00C95105">
        <w:rPr>
          <w:rFonts w:asciiTheme="minorHAnsi" w:hAnsiTheme="minorHAnsi" w:cstheme="minorHAnsi"/>
          <w:color w:val="000000" w:themeColor="text1"/>
          <w:sz w:val="22"/>
          <w:szCs w:val="22"/>
        </w:rPr>
        <w:t>3.</w:t>
      </w:r>
      <w:r w:rsidRPr="00C95105">
        <w:rPr>
          <w:rFonts w:asciiTheme="minorHAnsi" w:hAnsiTheme="minorHAnsi" w:cstheme="minorHAnsi"/>
          <w:color w:val="000000" w:themeColor="text1"/>
          <w:sz w:val="22"/>
          <w:szCs w:val="22"/>
        </w:rPr>
        <w:t xml:space="preserve">5) factors that facilitate or inhibit men’s uptake of parental/paternity leave and associated policy recommendations. We focus on findings most relevant to public sector organisations. To be consistent with the reviewed research literature, we use the terminology “paternity leave” in the summary of findings table. However, we apply the gender-neutral terminology “secondary caregiver” used in the VPS Enterprise Agreement in the roadmap for action, in which we address that context more specifically. </w:t>
      </w:r>
    </w:p>
    <w:p w14:paraId="2FD41013" w14:textId="77777777" w:rsidR="003B7F36" w:rsidRPr="00C95105" w:rsidRDefault="003B7F36" w:rsidP="004011EB">
      <w:pPr>
        <w:spacing w:after="120"/>
        <w:rPr>
          <w:rFonts w:asciiTheme="minorHAnsi" w:hAnsiTheme="minorHAnsi" w:cstheme="minorHAnsi"/>
          <w:color w:val="000000" w:themeColor="text1"/>
          <w:sz w:val="22"/>
          <w:szCs w:val="22"/>
        </w:rPr>
      </w:pPr>
    </w:p>
    <w:p w14:paraId="75796C7C" w14:textId="5022B55F" w:rsidR="003B7F36" w:rsidRPr="00C95105" w:rsidRDefault="003B7F36" w:rsidP="0093280F">
      <w:pPr>
        <w:pStyle w:val="Heading3"/>
        <w:numPr>
          <w:ilvl w:val="2"/>
          <w:numId w:val="9"/>
        </w:numPr>
        <w:spacing w:before="0" w:after="120"/>
        <w:ind w:left="567" w:hanging="567"/>
        <w:rPr>
          <w:rFonts w:asciiTheme="minorHAnsi" w:hAnsiTheme="minorHAnsi" w:cstheme="minorHAnsi"/>
          <w:b/>
          <w:bCs/>
          <w:i/>
          <w:iCs/>
          <w:color w:val="2F5496" w:themeColor="accent1" w:themeShade="BF"/>
          <w:sz w:val="22"/>
          <w:szCs w:val="22"/>
        </w:rPr>
      </w:pPr>
      <w:bookmarkStart w:id="161" w:name="_Toc96957690"/>
      <w:r w:rsidRPr="00C95105">
        <w:rPr>
          <w:rFonts w:asciiTheme="minorHAnsi" w:hAnsiTheme="minorHAnsi" w:cstheme="minorHAnsi"/>
          <w:b/>
          <w:bCs/>
          <w:i/>
          <w:iCs/>
          <w:color w:val="2F5496" w:themeColor="accent1" w:themeShade="BF"/>
          <w:sz w:val="22"/>
          <w:szCs w:val="22"/>
        </w:rPr>
        <w:t>Individual-level factors</w:t>
      </w:r>
      <w:bookmarkEnd w:id="161"/>
      <w:r w:rsidRPr="00C95105">
        <w:rPr>
          <w:rFonts w:asciiTheme="minorHAnsi" w:hAnsiTheme="minorHAnsi" w:cstheme="minorHAnsi"/>
          <w:b/>
          <w:bCs/>
          <w:i/>
          <w:iCs/>
          <w:color w:val="2F5496" w:themeColor="accent1" w:themeShade="BF"/>
          <w:sz w:val="22"/>
          <w:szCs w:val="22"/>
        </w:rPr>
        <w:t> </w:t>
      </w:r>
    </w:p>
    <w:p w14:paraId="4E43CB1B" w14:textId="07856FDB" w:rsidR="003B7F36" w:rsidRPr="00C95105" w:rsidRDefault="003B7F36" w:rsidP="00163EBA">
      <w:pPr>
        <w:spacing w:after="120"/>
        <w:ind w:firstLine="567"/>
        <w:textAlignment w:val="baseline"/>
        <w:rPr>
          <w:rFonts w:asciiTheme="minorHAnsi" w:hAnsiTheme="minorHAnsi" w:cstheme="minorHAnsi"/>
          <w:sz w:val="18"/>
          <w:szCs w:val="18"/>
        </w:rPr>
      </w:pPr>
      <w:r w:rsidRPr="00C95105">
        <w:rPr>
          <w:rFonts w:asciiTheme="minorHAnsi" w:hAnsiTheme="minorHAnsi" w:cstheme="minorHAnsi"/>
          <w:color w:val="000000" w:themeColor="text1"/>
          <w:sz w:val="22"/>
          <w:szCs w:val="22"/>
        </w:rPr>
        <w:t>These studies explore individual-level circumstances, particularly income (father’s, mother</w:t>
      </w:r>
      <w:r w:rsidR="00801838">
        <w:rPr>
          <w:rFonts w:asciiTheme="minorHAnsi" w:hAnsiTheme="minorHAnsi" w:cstheme="minorHAnsi"/>
          <w:color w:val="000000" w:themeColor="text1"/>
          <w:sz w:val="22"/>
          <w:szCs w:val="22"/>
        </w:rPr>
        <w:t>’</w:t>
      </w:r>
      <w:r w:rsidRPr="00C95105">
        <w:rPr>
          <w:rFonts w:asciiTheme="minorHAnsi" w:hAnsiTheme="minorHAnsi" w:cstheme="minorHAnsi"/>
          <w:color w:val="000000" w:themeColor="text1"/>
          <w:sz w:val="22"/>
          <w:szCs w:val="22"/>
        </w:rPr>
        <w:t>s, and household), education, and gender-related attitudes. A critical finding is the role of intrahousehold income inequality as a barrier to men’s greater uptake of paternity leave, pointing to the need for well-paid, reserved paternity leave. Notably, such policies appear to be able to trump gender attitudes and norms. </w:t>
      </w:r>
    </w:p>
    <w:p w14:paraId="19D3A09B" w14:textId="77777777" w:rsidR="003B7F36" w:rsidRPr="00C95105" w:rsidRDefault="003B7F36" w:rsidP="004011EB">
      <w:pPr>
        <w:spacing w:after="120"/>
        <w:rPr>
          <w:rFonts w:asciiTheme="minorHAnsi" w:hAnsiTheme="minorHAnsi" w:cstheme="minorHAnsi"/>
          <w:color w:val="000000" w:themeColor="text1"/>
          <w:sz w:val="22"/>
          <w:szCs w:val="22"/>
        </w:rPr>
      </w:pPr>
    </w:p>
    <w:p w14:paraId="66C50CF5" w14:textId="561CF26B" w:rsidR="003B7F36" w:rsidRPr="00C95105" w:rsidRDefault="003B7F36" w:rsidP="008E4B7A">
      <w:pPr>
        <w:pStyle w:val="TableParagraph"/>
        <w:spacing w:after="120"/>
        <w:ind w:left="0"/>
        <w:rPr>
          <w:rFonts w:asciiTheme="minorHAnsi" w:hAnsiTheme="minorHAnsi" w:cstheme="minorHAnsi"/>
          <w:b/>
          <w:bCs/>
          <w:lang w:val="en-AU"/>
        </w:rPr>
      </w:pPr>
      <w:bookmarkStart w:id="162" w:name="_Toc96878644"/>
      <w:r w:rsidRPr="00C95105">
        <w:rPr>
          <w:rFonts w:asciiTheme="minorHAnsi" w:hAnsiTheme="minorHAnsi" w:cstheme="minorHAnsi"/>
          <w:b/>
          <w:bCs/>
          <w:lang w:val="en-AU"/>
        </w:rPr>
        <w:t>Table 3</w:t>
      </w:r>
      <w:r w:rsidR="00163EBA" w:rsidRPr="00C95105">
        <w:rPr>
          <w:rFonts w:asciiTheme="minorHAnsi" w:hAnsiTheme="minorHAnsi" w:cstheme="minorHAnsi"/>
          <w:b/>
          <w:bCs/>
          <w:lang w:val="en-AU"/>
        </w:rPr>
        <w:t>.3</w:t>
      </w:r>
      <w:r w:rsidR="00372630" w:rsidRPr="00C95105">
        <w:rPr>
          <w:rFonts w:asciiTheme="minorHAnsi" w:hAnsiTheme="minorHAnsi" w:cstheme="minorHAnsi"/>
          <w:b/>
          <w:bCs/>
          <w:lang w:val="en-AU"/>
        </w:rPr>
        <w:t xml:space="preserve">. </w:t>
      </w:r>
      <w:r w:rsidR="00FB5E4A" w:rsidRPr="00C95105">
        <w:rPr>
          <w:rFonts w:asciiTheme="minorHAnsi" w:hAnsiTheme="minorHAnsi" w:cstheme="minorHAnsi"/>
          <w:lang w:val="en-AU"/>
        </w:rPr>
        <w:t>Individual-level factors impacting men’s uptake of parental/paternity leave</w:t>
      </w:r>
      <w:bookmarkEnd w:id="162"/>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3720"/>
        <w:gridCol w:w="2820"/>
      </w:tblGrid>
      <w:tr w:rsidR="003B7F36" w:rsidRPr="00C95105" w14:paraId="7C772DCF" w14:textId="77777777" w:rsidTr="008E4B7A">
        <w:trPr>
          <w:tblHeader/>
        </w:trPr>
        <w:tc>
          <w:tcPr>
            <w:tcW w:w="2265" w:type="dxa"/>
            <w:tcBorders>
              <w:top w:val="single" w:sz="6" w:space="0" w:color="auto"/>
              <w:left w:val="nil"/>
              <w:bottom w:val="single" w:sz="6" w:space="0" w:color="auto"/>
              <w:right w:val="nil"/>
            </w:tcBorders>
            <w:shd w:val="clear" w:color="auto" w:fill="auto"/>
            <w:hideMark/>
          </w:tcPr>
          <w:p w14:paraId="308F0B1D"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b/>
                <w:bCs/>
                <w:color w:val="2F5496"/>
                <w:sz w:val="22"/>
                <w:szCs w:val="22"/>
              </w:rPr>
              <w:t>Area</w:t>
            </w:r>
            <w:r w:rsidRPr="00C95105">
              <w:rPr>
                <w:rFonts w:asciiTheme="minorHAnsi" w:hAnsiTheme="minorHAnsi" w:cstheme="minorHAnsi"/>
                <w:color w:val="2F5496"/>
                <w:sz w:val="22"/>
                <w:szCs w:val="22"/>
              </w:rPr>
              <w:t> </w:t>
            </w:r>
          </w:p>
        </w:tc>
        <w:tc>
          <w:tcPr>
            <w:tcW w:w="3720" w:type="dxa"/>
            <w:tcBorders>
              <w:top w:val="single" w:sz="6" w:space="0" w:color="auto"/>
              <w:left w:val="nil"/>
              <w:bottom w:val="single" w:sz="6" w:space="0" w:color="auto"/>
              <w:right w:val="nil"/>
            </w:tcBorders>
            <w:shd w:val="clear" w:color="auto" w:fill="auto"/>
            <w:hideMark/>
          </w:tcPr>
          <w:p w14:paraId="7AAA37E4"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b/>
                <w:bCs/>
                <w:color w:val="2F5496"/>
                <w:sz w:val="22"/>
                <w:szCs w:val="22"/>
              </w:rPr>
              <w:t>Summary of findings</w:t>
            </w:r>
            <w:r w:rsidRPr="00C95105">
              <w:rPr>
                <w:rFonts w:asciiTheme="minorHAnsi" w:hAnsiTheme="minorHAnsi" w:cstheme="minorHAnsi"/>
                <w:color w:val="2F5496"/>
                <w:sz w:val="22"/>
                <w:szCs w:val="22"/>
              </w:rPr>
              <w:t> </w:t>
            </w:r>
          </w:p>
        </w:tc>
        <w:tc>
          <w:tcPr>
            <w:tcW w:w="2820" w:type="dxa"/>
            <w:tcBorders>
              <w:top w:val="single" w:sz="6" w:space="0" w:color="auto"/>
              <w:left w:val="nil"/>
              <w:bottom w:val="single" w:sz="6" w:space="0" w:color="auto"/>
              <w:right w:val="nil"/>
            </w:tcBorders>
            <w:shd w:val="clear" w:color="auto" w:fill="auto"/>
            <w:hideMark/>
          </w:tcPr>
          <w:p w14:paraId="6F2F164B"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b/>
                <w:bCs/>
                <w:color w:val="2F5496"/>
                <w:sz w:val="22"/>
                <w:szCs w:val="22"/>
              </w:rPr>
              <w:t>Recommendations</w:t>
            </w:r>
            <w:r w:rsidRPr="00C95105">
              <w:rPr>
                <w:rFonts w:asciiTheme="minorHAnsi" w:hAnsiTheme="minorHAnsi" w:cstheme="minorHAnsi"/>
                <w:color w:val="2F5496"/>
                <w:sz w:val="22"/>
                <w:szCs w:val="22"/>
              </w:rPr>
              <w:t> </w:t>
            </w:r>
          </w:p>
        </w:tc>
      </w:tr>
      <w:tr w:rsidR="003B7F36" w:rsidRPr="00C95105" w14:paraId="2F35143D" w14:textId="77777777" w:rsidTr="00532791">
        <w:tc>
          <w:tcPr>
            <w:tcW w:w="2265" w:type="dxa"/>
            <w:tcBorders>
              <w:top w:val="single" w:sz="6" w:space="0" w:color="auto"/>
              <w:left w:val="nil"/>
              <w:bottom w:val="single" w:sz="6" w:space="0" w:color="auto"/>
              <w:right w:val="nil"/>
            </w:tcBorders>
            <w:shd w:val="clear" w:color="auto" w:fill="auto"/>
            <w:hideMark/>
          </w:tcPr>
          <w:p w14:paraId="03255411" w14:textId="77777777"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 xml:space="preserve">Household income </w:t>
            </w:r>
          </w:p>
          <w:p w14:paraId="4A16B903" w14:textId="77777777" w:rsidR="003B7F36" w:rsidRPr="00C95105" w:rsidRDefault="003B7F36" w:rsidP="004011EB">
            <w:pPr>
              <w:spacing w:after="120"/>
              <w:textAlignment w:val="baseline"/>
              <w:rPr>
                <w:rFonts w:asciiTheme="minorHAnsi" w:hAnsiTheme="minorHAnsi" w:cstheme="minorHAnsi"/>
                <w:sz w:val="22"/>
                <w:szCs w:val="22"/>
              </w:rPr>
            </w:pPr>
          </w:p>
          <w:p w14:paraId="369F144D" w14:textId="77777777" w:rsidR="003B7F36" w:rsidRPr="00C95105" w:rsidRDefault="003B7F36" w:rsidP="004011EB">
            <w:pPr>
              <w:spacing w:after="120"/>
              <w:textAlignment w:val="baseline"/>
              <w:rPr>
                <w:rFonts w:asciiTheme="minorHAnsi" w:hAnsiTheme="minorHAnsi" w:cstheme="minorHAnsi"/>
                <w:sz w:val="22"/>
                <w:szCs w:val="22"/>
              </w:rPr>
            </w:pPr>
          </w:p>
          <w:p w14:paraId="0FDAB095" w14:textId="60944A64" w:rsidR="003B7F36" w:rsidRPr="00C95105" w:rsidRDefault="003B7F36" w:rsidP="004011EB">
            <w:pPr>
              <w:spacing w:after="120"/>
              <w:textAlignment w:val="baseline"/>
              <w:rPr>
                <w:rFonts w:asciiTheme="minorHAnsi" w:hAnsiTheme="minorHAnsi" w:cstheme="minorHAnsi"/>
                <w:sz w:val="22"/>
                <w:szCs w:val="22"/>
              </w:rPr>
            </w:pPr>
          </w:p>
        </w:tc>
        <w:tc>
          <w:tcPr>
            <w:tcW w:w="3720" w:type="dxa"/>
            <w:tcBorders>
              <w:top w:val="single" w:sz="6" w:space="0" w:color="auto"/>
              <w:left w:val="nil"/>
              <w:bottom w:val="single" w:sz="6" w:space="0" w:color="auto"/>
              <w:right w:val="nil"/>
            </w:tcBorders>
            <w:shd w:val="clear" w:color="auto" w:fill="auto"/>
            <w:hideMark/>
          </w:tcPr>
          <w:p w14:paraId="0ADDAA64" w14:textId="074CB007" w:rsidR="003B7F36" w:rsidRPr="00C95105" w:rsidRDefault="003B7F36" w:rsidP="00CE0306">
            <w:pPr>
              <w:spacing w:after="120"/>
              <w:ind w:right="90"/>
              <w:textAlignment w:val="baseline"/>
              <w:rPr>
                <w:rFonts w:asciiTheme="minorHAnsi" w:hAnsiTheme="minorHAnsi" w:cstheme="minorHAnsi"/>
              </w:rPr>
            </w:pPr>
            <w:r w:rsidRPr="00C95105">
              <w:rPr>
                <w:rFonts w:asciiTheme="minorHAnsi" w:hAnsiTheme="minorHAnsi" w:cstheme="minorHAnsi"/>
                <w:sz w:val="22"/>
                <w:szCs w:val="22"/>
              </w:rPr>
              <w:t>Inequality of earnings matters. The higher earner in the household (usually men) suffer greater short- and long-term income loss from taking parental leave. Fathers’ greater relative income decreases parental leave use, as well as the likelihood of taking longer than a reserved fathers’ quota. </w:t>
            </w:r>
          </w:p>
        </w:tc>
        <w:tc>
          <w:tcPr>
            <w:tcW w:w="2820" w:type="dxa"/>
            <w:tcBorders>
              <w:top w:val="single" w:sz="6" w:space="0" w:color="auto"/>
              <w:left w:val="nil"/>
              <w:bottom w:val="single" w:sz="6" w:space="0" w:color="auto"/>
              <w:right w:val="nil"/>
            </w:tcBorders>
            <w:shd w:val="clear" w:color="auto" w:fill="auto"/>
            <w:hideMark/>
          </w:tcPr>
          <w:p w14:paraId="08368911" w14:textId="408604DC"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Attending to the gender pay gap will tend to make economic optimisation decisions around uptake of unpaid leave more egalitarian. </w:t>
            </w:r>
          </w:p>
        </w:tc>
      </w:tr>
      <w:tr w:rsidR="00CE0306" w:rsidRPr="00C95105" w14:paraId="1DA5EC3F" w14:textId="77777777" w:rsidTr="0035324F">
        <w:tc>
          <w:tcPr>
            <w:tcW w:w="2265" w:type="dxa"/>
            <w:tcBorders>
              <w:top w:val="single" w:sz="6" w:space="0" w:color="auto"/>
              <w:left w:val="nil"/>
              <w:bottom w:val="single" w:sz="6" w:space="0" w:color="auto"/>
              <w:right w:val="nil"/>
            </w:tcBorders>
            <w:shd w:val="clear" w:color="auto" w:fill="auto"/>
          </w:tcPr>
          <w:p w14:paraId="38E1E18B" w14:textId="33F6C0EF" w:rsidR="00CE0306" w:rsidRPr="00C95105" w:rsidRDefault="00CE0306"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Intersectionality</w:t>
            </w:r>
          </w:p>
        </w:tc>
        <w:tc>
          <w:tcPr>
            <w:tcW w:w="3720" w:type="dxa"/>
            <w:tcBorders>
              <w:top w:val="single" w:sz="6" w:space="0" w:color="auto"/>
              <w:left w:val="nil"/>
              <w:bottom w:val="single" w:sz="6" w:space="0" w:color="auto"/>
              <w:right w:val="nil"/>
            </w:tcBorders>
            <w:shd w:val="clear" w:color="auto" w:fill="auto"/>
          </w:tcPr>
          <w:p w14:paraId="4C965215" w14:textId="0A57C1AA" w:rsidR="00CE0306" w:rsidRPr="00C95105" w:rsidRDefault="00CE0306" w:rsidP="004011EB">
            <w:pPr>
              <w:spacing w:after="120"/>
              <w:ind w:right="90"/>
              <w:textAlignment w:val="baseline"/>
              <w:rPr>
                <w:rFonts w:asciiTheme="minorHAnsi" w:hAnsiTheme="minorHAnsi" w:cstheme="minorHAnsi"/>
                <w:sz w:val="22"/>
                <w:szCs w:val="22"/>
              </w:rPr>
            </w:pPr>
            <w:r w:rsidRPr="00C95105">
              <w:rPr>
                <w:rFonts w:asciiTheme="minorHAnsi" w:hAnsiTheme="minorHAnsi" w:cstheme="minorHAnsi"/>
                <w:sz w:val="22"/>
                <w:szCs w:val="22"/>
              </w:rPr>
              <w:t>Economic optimisation is particularly important in lower income households; low-income fathers can’t afford the ‘luxury’ of equal parenting. </w:t>
            </w:r>
          </w:p>
        </w:tc>
        <w:tc>
          <w:tcPr>
            <w:tcW w:w="2820" w:type="dxa"/>
            <w:tcBorders>
              <w:top w:val="single" w:sz="6" w:space="0" w:color="auto"/>
              <w:left w:val="nil"/>
              <w:bottom w:val="single" w:sz="6" w:space="0" w:color="auto"/>
              <w:right w:val="nil"/>
            </w:tcBorders>
            <w:shd w:val="clear" w:color="auto" w:fill="auto"/>
          </w:tcPr>
          <w:p w14:paraId="3DD7DF7F" w14:textId="78CA08B5" w:rsidR="00CE0306" w:rsidRPr="00C95105" w:rsidRDefault="00CE0306"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Paternity leave with generous benefits, or at full pay, will reduce opportunity costs, particularly for those in lower-income brackets. </w:t>
            </w:r>
          </w:p>
        </w:tc>
      </w:tr>
      <w:tr w:rsidR="003B7F36" w:rsidRPr="00C95105" w14:paraId="3C230C4B" w14:textId="77777777" w:rsidTr="0035324F">
        <w:tc>
          <w:tcPr>
            <w:tcW w:w="2265" w:type="dxa"/>
            <w:tcBorders>
              <w:top w:val="single" w:sz="6" w:space="0" w:color="auto"/>
              <w:left w:val="nil"/>
              <w:bottom w:val="nil"/>
              <w:right w:val="nil"/>
            </w:tcBorders>
            <w:shd w:val="clear" w:color="auto" w:fill="auto"/>
            <w:hideMark/>
          </w:tcPr>
          <w:p w14:paraId="22563171"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color w:val="000000"/>
                <w:sz w:val="22"/>
                <w:szCs w:val="22"/>
              </w:rPr>
              <w:t>Gender attitudes/norms </w:t>
            </w:r>
          </w:p>
        </w:tc>
        <w:tc>
          <w:tcPr>
            <w:tcW w:w="3720" w:type="dxa"/>
            <w:vMerge w:val="restart"/>
            <w:tcBorders>
              <w:top w:val="single" w:sz="6" w:space="0" w:color="auto"/>
              <w:left w:val="nil"/>
              <w:right w:val="nil"/>
            </w:tcBorders>
            <w:shd w:val="clear" w:color="auto" w:fill="auto"/>
            <w:hideMark/>
          </w:tcPr>
          <w:p w14:paraId="5FB38840" w14:textId="77777777" w:rsidR="003B7F36" w:rsidRPr="00C95105" w:rsidRDefault="003B7F36" w:rsidP="004011EB">
            <w:pPr>
              <w:spacing w:after="120"/>
              <w:ind w:right="90"/>
              <w:textAlignment w:val="baseline"/>
              <w:rPr>
                <w:rFonts w:asciiTheme="minorHAnsi" w:hAnsiTheme="minorHAnsi" w:cstheme="minorHAnsi"/>
                <w:color w:val="000000" w:themeColor="text1"/>
                <w:sz w:val="22"/>
                <w:szCs w:val="22"/>
              </w:rPr>
            </w:pPr>
            <w:r w:rsidRPr="00C95105">
              <w:rPr>
                <w:rFonts w:asciiTheme="minorHAnsi" w:hAnsiTheme="minorHAnsi" w:cstheme="minorHAnsi"/>
                <w:color w:val="000000" w:themeColor="text1"/>
                <w:sz w:val="22"/>
                <w:szCs w:val="22"/>
              </w:rPr>
              <w:t>Gender attitudes do appear to play a role in uptake. However, they appear to be less important than organisational and societal-level factors.  </w:t>
            </w:r>
          </w:p>
          <w:p w14:paraId="057EF50B" w14:textId="77777777" w:rsidR="003B7F36" w:rsidRPr="00C95105" w:rsidRDefault="003B7F36" w:rsidP="004011EB">
            <w:pPr>
              <w:spacing w:after="120"/>
              <w:ind w:right="90"/>
              <w:textAlignment w:val="baseline"/>
              <w:rPr>
                <w:rFonts w:asciiTheme="minorHAnsi" w:hAnsiTheme="minorHAnsi" w:cstheme="minorHAnsi"/>
                <w:color w:val="000000" w:themeColor="text1"/>
                <w:sz w:val="22"/>
                <w:szCs w:val="22"/>
              </w:rPr>
            </w:pPr>
          </w:p>
          <w:p w14:paraId="728B48C9" w14:textId="77777777" w:rsidR="003B7F36" w:rsidRPr="00C95105" w:rsidRDefault="003B7F36" w:rsidP="004011EB">
            <w:pPr>
              <w:spacing w:after="120"/>
              <w:ind w:right="90"/>
              <w:textAlignment w:val="baseline"/>
              <w:rPr>
                <w:rFonts w:asciiTheme="minorHAnsi" w:hAnsiTheme="minorHAnsi" w:cstheme="minorHAnsi"/>
              </w:rPr>
            </w:pPr>
            <w:r w:rsidRPr="00C95105">
              <w:rPr>
                <w:rFonts w:asciiTheme="minorHAnsi" w:hAnsiTheme="minorHAnsi" w:cstheme="minorHAnsi"/>
                <w:color w:val="000000" w:themeColor="text1"/>
                <w:sz w:val="22"/>
                <w:szCs w:val="22"/>
              </w:rPr>
              <w:lastRenderedPageBreak/>
              <w:t>Gender attitudes seem to have more influence when it comes to shared parental leave - fathers are reluctant to use parental leave that could otherwise be used by mothers. Qualitative research indicates that this conflicts with masculine norms. In contrast, earmarked paternity leave increased the sense of entitlement to take leave, and reduced the need to rationalise this non-normative decision. </w:t>
            </w:r>
          </w:p>
        </w:tc>
        <w:tc>
          <w:tcPr>
            <w:tcW w:w="2820" w:type="dxa"/>
            <w:vMerge w:val="restart"/>
            <w:tcBorders>
              <w:top w:val="single" w:sz="6" w:space="0" w:color="auto"/>
              <w:left w:val="nil"/>
              <w:bottom w:val="outset" w:sz="6" w:space="0" w:color="auto"/>
              <w:right w:val="nil"/>
            </w:tcBorders>
            <w:shd w:val="clear" w:color="auto" w:fill="auto"/>
            <w:hideMark/>
          </w:tcPr>
          <w:p w14:paraId="64744426" w14:textId="77777777" w:rsidR="003B7F36" w:rsidRPr="00C95105" w:rsidRDefault="003B7F36" w:rsidP="004011EB">
            <w:pPr>
              <w:spacing w:after="120"/>
              <w:textAlignment w:val="baseline"/>
              <w:rPr>
                <w:rFonts w:asciiTheme="minorHAnsi" w:hAnsiTheme="minorHAnsi" w:cstheme="minorHAnsi"/>
                <w:color w:val="000000" w:themeColor="text1"/>
                <w:sz w:val="22"/>
                <w:szCs w:val="22"/>
              </w:rPr>
            </w:pPr>
            <w:r w:rsidRPr="00C95105">
              <w:rPr>
                <w:rFonts w:asciiTheme="minorHAnsi" w:hAnsiTheme="minorHAnsi" w:cstheme="minorHAnsi"/>
                <w:color w:val="000000" w:themeColor="text1"/>
                <w:sz w:val="22"/>
                <w:szCs w:val="22"/>
              </w:rPr>
              <w:lastRenderedPageBreak/>
              <w:t>Policies can trump gender attitudes when it comes to uptake. </w:t>
            </w:r>
          </w:p>
          <w:p w14:paraId="5B674CD4" w14:textId="77777777" w:rsidR="003B7F36" w:rsidRPr="00C95105" w:rsidRDefault="003B7F36" w:rsidP="004011EB">
            <w:pPr>
              <w:spacing w:after="120"/>
              <w:textAlignment w:val="baseline"/>
              <w:rPr>
                <w:rFonts w:asciiTheme="minorHAnsi" w:hAnsiTheme="minorHAnsi" w:cstheme="minorHAnsi"/>
              </w:rPr>
            </w:pPr>
          </w:p>
          <w:p w14:paraId="24FB57DB" w14:textId="77777777" w:rsidR="003B7F36" w:rsidRPr="00C95105" w:rsidRDefault="003B7F36" w:rsidP="004011EB">
            <w:pPr>
              <w:spacing w:after="120"/>
              <w:textAlignment w:val="baseline"/>
              <w:rPr>
                <w:rFonts w:asciiTheme="minorHAnsi" w:hAnsiTheme="minorHAnsi" w:cstheme="minorHAnsi"/>
                <w:color w:val="000000" w:themeColor="text1"/>
                <w:sz w:val="22"/>
                <w:szCs w:val="22"/>
              </w:rPr>
            </w:pPr>
            <w:r w:rsidRPr="00C95105">
              <w:rPr>
                <w:rFonts w:asciiTheme="minorHAnsi" w:hAnsiTheme="minorHAnsi" w:cstheme="minorHAnsi"/>
                <w:color w:val="000000" w:themeColor="text1"/>
                <w:sz w:val="22"/>
                <w:szCs w:val="22"/>
              </w:rPr>
              <w:t> </w:t>
            </w:r>
          </w:p>
          <w:p w14:paraId="5966232E" w14:textId="77777777" w:rsidR="003B7F36" w:rsidRPr="00C95105" w:rsidRDefault="003B7F36" w:rsidP="004011EB">
            <w:pPr>
              <w:spacing w:after="120"/>
              <w:textAlignment w:val="baseline"/>
              <w:rPr>
                <w:rFonts w:asciiTheme="minorHAnsi" w:hAnsiTheme="minorHAnsi" w:cstheme="minorHAnsi"/>
                <w:color w:val="000000" w:themeColor="text1"/>
                <w:sz w:val="22"/>
                <w:szCs w:val="22"/>
              </w:rPr>
            </w:pPr>
            <w:r w:rsidRPr="00C95105">
              <w:rPr>
                <w:rFonts w:asciiTheme="minorHAnsi" w:hAnsiTheme="minorHAnsi" w:cstheme="minorHAnsi"/>
                <w:color w:val="000000" w:themeColor="text1"/>
                <w:sz w:val="22"/>
                <w:szCs w:val="22"/>
              </w:rPr>
              <w:lastRenderedPageBreak/>
              <w:t>Non-transferable, paid, paternity leave has the potential to overcome barriers associated with masculine norms. However, implicitly referring to fathers as “secondary caregivers” may reinforce traditional gender norms.</w:t>
            </w:r>
          </w:p>
          <w:p w14:paraId="3E608583" w14:textId="77777777" w:rsidR="003B7F36" w:rsidRPr="00C95105" w:rsidRDefault="003B7F36" w:rsidP="004011EB">
            <w:pPr>
              <w:spacing w:after="120"/>
              <w:textAlignment w:val="baseline"/>
              <w:rPr>
                <w:rFonts w:asciiTheme="minorHAnsi" w:hAnsiTheme="minorHAnsi" w:cstheme="minorHAnsi"/>
                <w:color w:val="000000" w:themeColor="text1"/>
                <w:sz w:val="22"/>
                <w:szCs w:val="22"/>
              </w:rPr>
            </w:pPr>
          </w:p>
          <w:p w14:paraId="17EEB85A"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color w:val="000000" w:themeColor="text1"/>
                <w:sz w:val="22"/>
                <w:szCs w:val="22"/>
              </w:rPr>
              <w:t>NB: The duration of reserved paternity leave may establish what is a legitimate/acceptable leave length for fathers. </w:t>
            </w:r>
          </w:p>
        </w:tc>
      </w:tr>
      <w:tr w:rsidR="003B7F36" w:rsidRPr="00C95105" w14:paraId="7945F3E9" w14:textId="77777777" w:rsidTr="0035324F">
        <w:tc>
          <w:tcPr>
            <w:tcW w:w="2265" w:type="dxa"/>
            <w:tcBorders>
              <w:top w:val="nil"/>
              <w:left w:val="nil"/>
              <w:bottom w:val="single" w:sz="6" w:space="0" w:color="auto"/>
              <w:right w:val="nil"/>
            </w:tcBorders>
            <w:shd w:val="clear" w:color="auto" w:fill="auto"/>
            <w:hideMark/>
          </w:tcPr>
          <w:p w14:paraId="279B6A8C"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color w:val="000000"/>
                <w:sz w:val="22"/>
                <w:szCs w:val="22"/>
              </w:rPr>
              <w:t> </w:t>
            </w:r>
          </w:p>
        </w:tc>
        <w:tc>
          <w:tcPr>
            <w:tcW w:w="3720" w:type="dxa"/>
            <w:vMerge/>
            <w:hideMark/>
          </w:tcPr>
          <w:p w14:paraId="10533369" w14:textId="77777777" w:rsidR="003B7F36" w:rsidRPr="00C95105" w:rsidRDefault="003B7F36" w:rsidP="004011EB">
            <w:pPr>
              <w:spacing w:after="120"/>
              <w:ind w:right="90"/>
              <w:textAlignment w:val="baseline"/>
              <w:rPr>
                <w:rFonts w:asciiTheme="minorHAnsi" w:hAnsiTheme="minorHAnsi" w:cstheme="minorHAnsi"/>
              </w:rPr>
            </w:pPr>
          </w:p>
        </w:tc>
        <w:tc>
          <w:tcPr>
            <w:tcW w:w="2820" w:type="dxa"/>
            <w:vMerge/>
            <w:tcBorders>
              <w:top w:val="outset" w:sz="6" w:space="0" w:color="auto"/>
              <w:bottom w:val="outset" w:sz="6" w:space="0" w:color="auto"/>
              <w:right w:val="nil"/>
            </w:tcBorders>
            <w:hideMark/>
          </w:tcPr>
          <w:p w14:paraId="62E7FF9C" w14:textId="77777777" w:rsidR="003B7F36" w:rsidRPr="00C95105" w:rsidRDefault="003B7F36" w:rsidP="004011EB">
            <w:pPr>
              <w:spacing w:after="120"/>
              <w:textAlignment w:val="baseline"/>
              <w:rPr>
                <w:rFonts w:asciiTheme="minorHAnsi" w:hAnsiTheme="minorHAnsi" w:cstheme="minorHAnsi"/>
              </w:rPr>
            </w:pPr>
          </w:p>
        </w:tc>
      </w:tr>
    </w:tbl>
    <w:p w14:paraId="0BAB3599" w14:textId="77777777" w:rsidR="003B7F36" w:rsidRDefault="003B7F36" w:rsidP="004011EB">
      <w:pPr>
        <w:spacing w:after="120"/>
        <w:textAlignment w:val="baseline"/>
        <w:rPr>
          <w:rFonts w:asciiTheme="minorHAnsi" w:hAnsiTheme="minorHAnsi" w:cstheme="minorHAnsi"/>
          <w:color w:val="000000"/>
          <w:sz w:val="22"/>
          <w:szCs w:val="22"/>
        </w:rPr>
      </w:pPr>
      <w:r w:rsidRPr="00C95105">
        <w:rPr>
          <w:rFonts w:asciiTheme="minorHAnsi" w:hAnsiTheme="minorHAnsi" w:cstheme="minorHAnsi"/>
          <w:color w:val="000000"/>
          <w:sz w:val="22"/>
          <w:szCs w:val="22"/>
        </w:rPr>
        <w:t> </w:t>
      </w:r>
    </w:p>
    <w:p w14:paraId="54C2BA5F" w14:textId="77777777" w:rsidR="0035324F" w:rsidRPr="00C95105" w:rsidRDefault="0035324F" w:rsidP="004011EB">
      <w:pPr>
        <w:spacing w:after="120"/>
        <w:textAlignment w:val="baseline"/>
        <w:rPr>
          <w:rFonts w:asciiTheme="minorHAnsi" w:hAnsiTheme="minorHAnsi" w:cstheme="minorHAnsi"/>
          <w:sz w:val="18"/>
          <w:szCs w:val="18"/>
        </w:rPr>
      </w:pPr>
    </w:p>
    <w:p w14:paraId="4233DD1D" w14:textId="7521E2EE" w:rsidR="003B7F36" w:rsidRPr="00C95105" w:rsidRDefault="003B7F36" w:rsidP="0093280F">
      <w:pPr>
        <w:pStyle w:val="Heading3"/>
        <w:numPr>
          <w:ilvl w:val="2"/>
          <w:numId w:val="9"/>
        </w:numPr>
        <w:spacing w:before="0" w:after="120"/>
        <w:ind w:left="567" w:hanging="567"/>
        <w:rPr>
          <w:rFonts w:asciiTheme="minorHAnsi" w:hAnsiTheme="minorHAnsi" w:cstheme="minorHAnsi"/>
          <w:b/>
          <w:bCs/>
          <w:i/>
          <w:iCs/>
          <w:color w:val="2F5496" w:themeColor="accent1" w:themeShade="BF"/>
          <w:sz w:val="22"/>
          <w:szCs w:val="22"/>
        </w:rPr>
      </w:pPr>
      <w:bookmarkStart w:id="163" w:name="_Toc96957691"/>
      <w:r w:rsidRPr="00C95105">
        <w:rPr>
          <w:rFonts w:asciiTheme="minorHAnsi" w:hAnsiTheme="minorHAnsi" w:cstheme="minorHAnsi"/>
          <w:b/>
          <w:bCs/>
          <w:i/>
          <w:iCs/>
          <w:color w:val="2F5496" w:themeColor="accent1" w:themeShade="BF"/>
          <w:sz w:val="22"/>
          <w:szCs w:val="22"/>
        </w:rPr>
        <w:t>Organisational-level factors</w:t>
      </w:r>
      <w:bookmarkEnd w:id="163"/>
      <w:r w:rsidRPr="00C95105">
        <w:rPr>
          <w:rFonts w:asciiTheme="minorHAnsi" w:hAnsiTheme="minorHAnsi" w:cstheme="minorHAnsi"/>
          <w:b/>
          <w:bCs/>
          <w:i/>
          <w:iCs/>
          <w:color w:val="2F5496" w:themeColor="accent1" w:themeShade="BF"/>
          <w:sz w:val="22"/>
          <w:szCs w:val="22"/>
        </w:rPr>
        <w:t> </w:t>
      </w:r>
    </w:p>
    <w:p w14:paraId="5AB673A8" w14:textId="77777777" w:rsidR="003B7F36" w:rsidRPr="00C95105" w:rsidRDefault="003B7F36" w:rsidP="00CE0306">
      <w:pPr>
        <w:spacing w:after="120"/>
        <w:ind w:firstLine="567"/>
        <w:textAlignment w:val="baseline"/>
        <w:rPr>
          <w:rFonts w:asciiTheme="minorHAnsi" w:hAnsiTheme="minorHAnsi" w:cstheme="minorHAnsi"/>
          <w:sz w:val="18"/>
          <w:szCs w:val="18"/>
        </w:rPr>
      </w:pPr>
      <w:r w:rsidRPr="00C95105">
        <w:rPr>
          <w:rFonts w:asciiTheme="minorHAnsi" w:hAnsiTheme="minorHAnsi" w:cstheme="minorHAnsi"/>
          <w:color w:val="000000" w:themeColor="text1"/>
          <w:sz w:val="22"/>
          <w:szCs w:val="22"/>
        </w:rPr>
        <w:t>These studies explore organisational-level factors – both formal policies and informal culture and norms. Overall, the findings point to the importance of a workplace culture that is supportive of work-life balance to facilitate uptake. </w:t>
      </w:r>
    </w:p>
    <w:p w14:paraId="247FD0DF" w14:textId="77777777" w:rsidR="003B7F36" w:rsidRPr="00C95105" w:rsidRDefault="003B7F36" w:rsidP="004011EB">
      <w:pPr>
        <w:spacing w:after="120"/>
        <w:rPr>
          <w:rFonts w:asciiTheme="minorHAnsi" w:hAnsiTheme="minorHAnsi" w:cstheme="minorHAnsi"/>
          <w:color w:val="000000" w:themeColor="text1"/>
          <w:sz w:val="22"/>
          <w:szCs w:val="22"/>
        </w:rPr>
      </w:pPr>
    </w:p>
    <w:p w14:paraId="567CB082" w14:textId="53020F80" w:rsidR="003B7F36" w:rsidRPr="00C95105" w:rsidRDefault="003B7F36" w:rsidP="008E4B7A">
      <w:pPr>
        <w:pStyle w:val="TableParagraph"/>
        <w:spacing w:after="120"/>
        <w:ind w:left="0"/>
        <w:rPr>
          <w:rFonts w:asciiTheme="minorHAnsi" w:hAnsiTheme="minorHAnsi" w:cstheme="minorHAnsi"/>
          <w:b/>
          <w:bCs/>
          <w:lang w:val="en-AU"/>
        </w:rPr>
      </w:pPr>
      <w:bookmarkStart w:id="164" w:name="_Toc96878645"/>
      <w:r w:rsidRPr="00C95105">
        <w:rPr>
          <w:rFonts w:asciiTheme="minorHAnsi" w:hAnsiTheme="minorHAnsi" w:cstheme="minorHAnsi"/>
          <w:b/>
          <w:bCs/>
          <w:lang w:val="en-AU"/>
        </w:rPr>
        <w:t xml:space="preserve">Table </w:t>
      </w:r>
      <w:r w:rsidR="00CE0306" w:rsidRPr="00C95105">
        <w:rPr>
          <w:rFonts w:asciiTheme="minorHAnsi" w:hAnsiTheme="minorHAnsi" w:cstheme="minorHAnsi"/>
          <w:b/>
          <w:bCs/>
          <w:lang w:val="en-AU"/>
        </w:rPr>
        <w:t>3.4.</w:t>
      </w:r>
      <w:r w:rsidRPr="00C95105">
        <w:rPr>
          <w:rFonts w:asciiTheme="minorHAnsi" w:hAnsiTheme="minorHAnsi" w:cstheme="minorHAnsi"/>
          <w:b/>
          <w:bCs/>
          <w:lang w:val="en-AU"/>
        </w:rPr>
        <w:t xml:space="preserve"> </w:t>
      </w:r>
      <w:r w:rsidRPr="00C95105">
        <w:rPr>
          <w:rFonts w:asciiTheme="minorHAnsi" w:hAnsiTheme="minorHAnsi" w:cstheme="minorHAnsi"/>
          <w:lang w:val="en-AU"/>
        </w:rPr>
        <w:t>Organisational-level factors </w:t>
      </w:r>
      <w:r w:rsidR="00CE0306" w:rsidRPr="00C95105">
        <w:rPr>
          <w:rFonts w:asciiTheme="minorHAnsi" w:hAnsiTheme="minorHAnsi" w:cstheme="minorHAnsi"/>
          <w:lang w:val="en-AU"/>
        </w:rPr>
        <w:t>impacting men’s uptake of parental/paternity leave</w:t>
      </w:r>
      <w:bookmarkEnd w:id="164"/>
    </w:p>
    <w:tbl>
      <w:tblPr>
        <w:tblW w:w="90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8"/>
        <w:gridCol w:w="2925"/>
        <w:gridCol w:w="4137"/>
      </w:tblGrid>
      <w:tr w:rsidR="003B7F36" w:rsidRPr="00C95105" w14:paraId="5F69C4B6" w14:textId="77777777" w:rsidTr="0035324F">
        <w:trPr>
          <w:tblHeader/>
        </w:trPr>
        <w:tc>
          <w:tcPr>
            <w:tcW w:w="1958" w:type="dxa"/>
            <w:tcBorders>
              <w:top w:val="single" w:sz="6" w:space="0" w:color="auto"/>
              <w:left w:val="nil"/>
              <w:bottom w:val="single" w:sz="6" w:space="0" w:color="auto"/>
              <w:right w:val="nil"/>
            </w:tcBorders>
            <w:shd w:val="clear" w:color="auto" w:fill="auto"/>
            <w:hideMark/>
          </w:tcPr>
          <w:p w14:paraId="088C5F98" w14:textId="2AFD6481" w:rsidR="003B7F36" w:rsidRPr="00C95105" w:rsidRDefault="008E4B7A" w:rsidP="004011EB">
            <w:pPr>
              <w:spacing w:after="120"/>
              <w:jc w:val="center"/>
              <w:textAlignment w:val="baseline"/>
              <w:rPr>
                <w:rFonts w:asciiTheme="minorHAnsi" w:hAnsiTheme="minorHAnsi" w:cstheme="minorHAnsi"/>
              </w:rPr>
            </w:pPr>
            <w:r w:rsidRPr="00C95105">
              <w:rPr>
                <w:rFonts w:asciiTheme="minorHAnsi" w:hAnsiTheme="minorHAnsi" w:cstheme="minorHAnsi"/>
                <w:b/>
                <w:bCs/>
                <w:color w:val="2F5496"/>
                <w:sz w:val="22"/>
                <w:szCs w:val="22"/>
              </w:rPr>
              <w:t>Area</w:t>
            </w:r>
            <w:r w:rsidR="003B7F36" w:rsidRPr="00C95105">
              <w:rPr>
                <w:rFonts w:asciiTheme="minorHAnsi" w:hAnsiTheme="minorHAnsi" w:cstheme="minorHAnsi"/>
                <w:color w:val="2F5496"/>
                <w:sz w:val="22"/>
                <w:szCs w:val="22"/>
              </w:rPr>
              <w:t> </w:t>
            </w:r>
          </w:p>
        </w:tc>
        <w:tc>
          <w:tcPr>
            <w:tcW w:w="2925" w:type="dxa"/>
            <w:tcBorders>
              <w:top w:val="single" w:sz="6" w:space="0" w:color="auto"/>
              <w:left w:val="nil"/>
              <w:bottom w:val="single" w:sz="6" w:space="0" w:color="auto"/>
              <w:right w:val="nil"/>
            </w:tcBorders>
            <w:shd w:val="clear" w:color="auto" w:fill="auto"/>
            <w:hideMark/>
          </w:tcPr>
          <w:p w14:paraId="0C3C0112"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b/>
                <w:bCs/>
                <w:color w:val="2F5496"/>
                <w:sz w:val="22"/>
                <w:szCs w:val="22"/>
              </w:rPr>
              <w:t>What the evidence says</w:t>
            </w:r>
            <w:r w:rsidRPr="00C95105">
              <w:rPr>
                <w:rFonts w:asciiTheme="minorHAnsi" w:hAnsiTheme="minorHAnsi" w:cstheme="minorHAnsi"/>
                <w:color w:val="2F5496"/>
                <w:sz w:val="22"/>
                <w:szCs w:val="22"/>
              </w:rPr>
              <w:t> </w:t>
            </w:r>
          </w:p>
        </w:tc>
        <w:tc>
          <w:tcPr>
            <w:tcW w:w="4137" w:type="dxa"/>
            <w:tcBorders>
              <w:top w:val="single" w:sz="6" w:space="0" w:color="auto"/>
              <w:left w:val="nil"/>
              <w:bottom w:val="single" w:sz="6" w:space="0" w:color="auto"/>
              <w:right w:val="nil"/>
            </w:tcBorders>
            <w:shd w:val="clear" w:color="auto" w:fill="auto"/>
            <w:hideMark/>
          </w:tcPr>
          <w:p w14:paraId="7501C183"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b/>
                <w:bCs/>
                <w:color w:val="2F5496"/>
                <w:sz w:val="22"/>
                <w:szCs w:val="22"/>
              </w:rPr>
              <w:t>Recommendations</w:t>
            </w:r>
            <w:r w:rsidRPr="00C95105">
              <w:rPr>
                <w:rFonts w:asciiTheme="minorHAnsi" w:hAnsiTheme="minorHAnsi" w:cstheme="minorHAnsi"/>
                <w:color w:val="2F5496"/>
                <w:sz w:val="22"/>
                <w:szCs w:val="22"/>
              </w:rPr>
              <w:t> </w:t>
            </w:r>
          </w:p>
        </w:tc>
      </w:tr>
      <w:tr w:rsidR="003B7F36" w:rsidRPr="00C95105" w14:paraId="246EA44F" w14:textId="77777777" w:rsidTr="0035324F">
        <w:trPr>
          <w:trHeight w:val="552"/>
        </w:trPr>
        <w:tc>
          <w:tcPr>
            <w:tcW w:w="1958" w:type="dxa"/>
            <w:tcBorders>
              <w:top w:val="single" w:sz="6" w:space="0" w:color="auto"/>
              <w:left w:val="nil"/>
              <w:bottom w:val="nil"/>
              <w:right w:val="nil"/>
            </w:tcBorders>
            <w:shd w:val="clear" w:color="auto" w:fill="auto"/>
            <w:hideMark/>
          </w:tcPr>
          <w:p w14:paraId="77AC5959"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Formal Policies </w:t>
            </w:r>
          </w:p>
          <w:p w14:paraId="29ECA65E"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 </w:t>
            </w:r>
          </w:p>
        </w:tc>
        <w:tc>
          <w:tcPr>
            <w:tcW w:w="2925" w:type="dxa"/>
            <w:vMerge w:val="restart"/>
            <w:tcBorders>
              <w:top w:val="single" w:sz="6" w:space="0" w:color="auto"/>
              <w:left w:val="nil"/>
              <w:right w:val="nil"/>
            </w:tcBorders>
            <w:shd w:val="clear" w:color="auto" w:fill="auto"/>
            <w:hideMark/>
          </w:tcPr>
          <w:p w14:paraId="5E74CC3B" w14:textId="159943A4"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Men are more likely to take paternity/parental leave in organisations that facilitate work-life balance. </w:t>
            </w:r>
          </w:p>
          <w:p w14:paraId="4449742F" w14:textId="77777777" w:rsidR="003B7F36" w:rsidRPr="00C95105" w:rsidRDefault="003B7F36" w:rsidP="00A27548">
            <w:pPr>
              <w:spacing w:after="120"/>
              <w:textAlignment w:val="baseline"/>
              <w:rPr>
                <w:rFonts w:asciiTheme="minorHAnsi" w:hAnsiTheme="minorHAnsi" w:cstheme="minorHAnsi"/>
              </w:rPr>
            </w:pPr>
          </w:p>
        </w:tc>
        <w:tc>
          <w:tcPr>
            <w:tcW w:w="4137" w:type="dxa"/>
            <w:vMerge w:val="restart"/>
            <w:tcBorders>
              <w:top w:val="single" w:sz="6" w:space="0" w:color="auto"/>
              <w:left w:val="nil"/>
              <w:bottom w:val="nil"/>
              <w:right w:val="nil"/>
            </w:tcBorders>
            <w:shd w:val="clear" w:color="auto" w:fill="auto"/>
            <w:hideMark/>
          </w:tcPr>
          <w:p w14:paraId="275C8BDF" w14:textId="1589AF0E"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Beyond flexible work policies, organisations also need to have processes, infrastructure, and human resources that facilitate flexible work. </w:t>
            </w:r>
          </w:p>
        </w:tc>
      </w:tr>
      <w:tr w:rsidR="003B7F36" w:rsidRPr="00C95105" w14:paraId="614CBB53" w14:textId="77777777" w:rsidTr="0035324F">
        <w:tc>
          <w:tcPr>
            <w:tcW w:w="1958" w:type="dxa"/>
            <w:tcBorders>
              <w:top w:val="nil"/>
              <w:left w:val="nil"/>
              <w:bottom w:val="nil"/>
              <w:right w:val="nil"/>
            </w:tcBorders>
            <w:shd w:val="clear" w:color="auto" w:fill="auto"/>
            <w:hideMark/>
          </w:tcPr>
          <w:p w14:paraId="43A22A50"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 </w:t>
            </w:r>
          </w:p>
        </w:tc>
        <w:tc>
          <w:tcPr>
            <w:tcW w:w="2925" w:type="dxa"/>
            <w:vMerge/>
            <w:hideMark/>
          </w:tcPr>
          <w:p w14:paraId="3F3E2112" w14:textId="77777777" w:rsidR="003B7F36" w:rsidRPr="00C95105" w:rsidRDefault="003B7F36" w:rsidP="004011EB">
            <w:pPr>
              <w:spacing w:after="120"/>
              <w:textAlignment w:val="baseline"/>
              <w:rPr>
                <w:rFonts w:asciiTheme="minorHAnsi" w:hAnsiTheme="minorHAnsi" w:cstheme="minorHAnsi"/>
                <w:sz w:val="22"/>
                <w:szCs w:val="22"/>
              </w:rPr>
            </w:pPr>
          </w:p>
        </w:tc>
        <w:tc>
          <w:tcPr>
            <w:tcW w:w="4137" w:type="dxa"/>
            <w:vMerge/>
            <w:tcBorders>
              <w:top w:val="nil"/>
              <w:bottom w:val="nil"/>
              <w:right w:val="nil"/>
            </w:tcBorders>
            <w:hideMark/>
          </w:tcPr>
          <w:p w14:paraId="4D87797E" w14:textId="77777777" w:rsidR="003B7F36" w:rsidRPr="00C95105" w:rsidRDefault="003B7F36" w:rsidP="004011EB">
            <w:pPr>
              <w:spacing w:after="120"/>
              <w:textAlignment w:val="baseline"/>
              <w:rPr>
                <w:rFonts w:asciiTheme="minorHAnsi" w:hAnsiTheme="minorHAnsi" w:cstheme="minorHAnsi"/>
              </w:rPr>
            </w:pPr>
          </w:p>
        </w:tc>
      </w:tr>
      <w:tr w:rsidR="00A27548" w:rsidRPr="00C95105" w14:paraId="5019ECF5" w14:textId="77777777" w:rsidTr="0035324F">
        <w:tc>
          <w:tcPr>
            <w:tcW w:w="1958" w:type="dxa"/>
            <w:tcBorders>
              <w:top w:val="nil"/>
              <w:left w:val="nil"/>
              <w:bottom w:val="nil"/>
              <w:right w:val="nil"/>
            </w:tcBorders>
            <w:shd w:val="clear" w:color="auto" w:fill="auto"/>
          </w:tcPr>
          <w:p w14:paraId="3A0C341C" w14:textId="77777777" w:rsidR="00A27548" w:rsidRPr="00C95105" w:rsidRDefault="00A27548" w:rsidP="004011EB">
            <w:pPr>
              <w:spacing w:after="120"/>
              <w:textAlignment w:val="baseline"/>
              <w:rPr>
                <w:rFonts w:asciiTheme="minorHAnsi" w:hAnsiTheme="minorHAnsi" w:cstheme="minorHAnsi"/>
                <w:sz w:val="22"/>
                <w:szCs w:val="22"/>
              </w:rPr>
            </w:pPr>
          </w:p>
        </w:tc>
        <w:tc>
          <w:tcPr>
            <w:tcW w:w="2925" w:type="dxa"/>
            <w:tcBorders>
              <w:left w:val="nil"/>
              <w:bottom w:val="single" w:sz="4" w:space="0" w:color="auto"/>
              <w:right w:val="nil"/>
            </w:tcBorders>
            <w:shd w:val="clear" w:color="auto" w:fill="auto"/>
          </w:tcPr>
          <w:p w14:paraId="0137E48D" w14:textId="1BF7F5D8" w:rsidR="00A27548" w:rsidRPr="00C95105" w:rsidRDefault="00A27548"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Policy design is necessary but not sufficient. Fathers are less likely to take leave in the absence of an adequate replacement for them.</w:t>
            </w:r>
          </w:p>
        </w:tc>
        <w:tc>
          <w:tcPr>
            <w:tcW w:w="4137" w:type="dxa"/>
            <w:tcBorders>
              <w:top w:val="nil"/>
              <w:left w:val="nil"/>
              <w:bottom w:val="single" w:sz="4" w:space="0" w:color="auto"/>
              <w:right w:val="nil"/>
            </w:tcBorders>
            <w:shd w:val="clear" w:color="auto" w:fill="auto"/>
          </w:tcPr>
          <w:p w14:paraId="2F69F710" w14:textId="6F250688" w:rsidR="00A27548" w:rsidRPr="00C95105" w:rsidRDefault="00A27548" w:rsidP="00A27548">
            <w:pPr>
              <w:spacing w:after="120"/>
              <w:textAlignment w:val="baseline"/>
              <w:rPr>
                <w:rFonts w:asciiTheme="minorHAnsi" w:hAnsiTheme="minorHAnsi" w:cstheme="minorHAnsi"/>
              </w:rPr>
            </w:pPr>
            <w:r w:rsidRPr="00C95105">
              <w:rPr>
                <w:rFonts w:asciiTheme="minorHAnsi" w:eastAsiaTheme="minorEastAsia" w:hAnsiTheme="minorHAnsi" w:cstheme="minorHAnsi"/>
                <w:sz w:val="22"/>
                <w:szCs w:val="22"/>
              </w:rPr>
              <w:t>Ensure adequate resources for replacement of staff who are on leave.</w:t>
            </w:r>
          </w:p>
          <w:p w14:paraId="5847A88C" w14:textId="77777777" w:rsidR="00A27548" w:rsidRPr="00C95105" w:rsidRDefault="00A27548" w:rsidP="004011EB">
            <w:pPr>
              <w:spacing w:after="120"/>
              <w:textAlignment w:val="baseline"/>
              <w:rPr>
                <w:rFonts w:asciiTheme="minorHAnsi" w:hAnsiTheme="minorHAnsi" w:cstheme="minorHAnsi"/>
              </w:rPr>
            </w:pPr>
          </w:p>
        </w:tc>
      </w:tr>
      <w:tr w:rsidR="00A27548" w:rsidRPr="00C95105" w14:paraId="6E12F2FE" w14:textId="77777777" w:rsidTr="00A27548">
        <w:tc>
          <w:tcPr>
            <w:tcW w:w="1958" w:type="dxa"/>
            <w:tcBorders>
              <w:top w:val="nil"/>
              <w:left w:val="nil"/>
              <w:bottom w:val="single" w:sz="4" w:space="0" w:color="auto"/>
              <w:right w:val="nil"/>
            </w:tcBorders>
            <w:shd w:val="clear" w:color="auto" w:fill="auto"/>
          </w:tcPr>
          <w:p w14:paraId="06CC8B80" w14:textId="77777777" w:rsidR="00A27548" w:rsidRPr="00C95105" w:rsidRDefault="00A27548" w:rsidP="004011EB">
            <w:pPr>
              <w:spacing w:after="120"/>
              <w:textAlignment w:val="baseline"/>
              <w:rPr>
                <w:rFonts w:asciiTheme="minorHAnsi" w:hAnsiTheme="minorHAnsi" w:cstheme="minorHAnsi"/>
                <w:sz w:val="22"/>
                <w:szCs w:val="22"/>
              </w:rPr>
            </w:pPr>
          </w:p>
        </w:tc>
        <w:tc>
          <w:tcPr>
            <w:tcW w:w="2925" w:type="dxa"/>
            <w:tcBorders>
              <w:left w:val="nil"/>
              <w:bottom w:val="single" w:sz="4" w:space="0" w:color="auto"/>
              <w:right w:val="nil"/>
            </w:tcBorders>
            <w:shd w:val="clear" w:color="auto" w:fill="auto"/>
          </w:tcPr>
          <w:p w14:paraId="70105210" w14:textId="48C88534" w:rsidR="00A27548" w:rsidRPr="00C95105" w:rsidRDefault="00A27548"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t>Evaluating workers on performance rather than time (presenteeism) facilitates leave uptake. </w:t>
            </w:r>
          </w:p>
        </w:tc>
        <w:tc>
          <w:tcPr>
            <w:tcW w:w="4137" w:type="dxa"/>
            <w:tcBorders>
              <w:left w:val="nil"/>
              <w:bottom w:val="single" w:sz="4" w:space="0" w:color="auto"/>
              <w:right w:val="nil"/>
            </w:tcBorders>
            <w:shd w:val="clear" w:color="auto" w:fill="auto"/>
          </w:tcPr>
          <w:p w14:paraId="3D29223A" w14:textId="7A7878D4" w:rsidR="00A27548" w:rsidRPr="00C95105" w:rsidRDefault="00A27548" w:rsidP="004011EB">
            <w:pPr>
              <w:spacing w:after="120"/>
              <w:textAlignment w:val="baseline"/>
              <w:rPr>
                <w:rFonts w:asciiTheme="minorHAnsi" w:hAnsiTheme="minorHAnsi" w:cstheme="minorHAnsi"/>
              </w:rPr>
            </w:pPr>
            <w:r w:rsidRPr="00C95105">
              <w:rPr>
                <w:rFonts w:asciiTheme="minorHAnsi" w:hAnsiTheme="minorHAnsi" w:cstheme="minorHAnsi"/>
                <w:color w:val="000000"/>
                <w:sz w:val="22"/>
                <w:szCs w:val="22"/>
              </w:rPr>
              <w:t>Ensure evaluation is genuinely based on performance/results.</w:t>
            </w:r>
          </w:p>
        </w:tc>
      </w:tr>
      <w:tr w:rsidR="003B7F36" w:rsidRPr="00C95105" w14:paraId="3C03B1F3" w14:textId="77777777" w:rsidTr="00BD6F94">
        <w:trPr>
          <w:trHeight w:val="4668"/>
        </w:trPr>
        <w:tc>
          <w:tcPr>
            <w:tcW w:w="1958" w:type="dxa"/>
            <w:vMerge w:val="restart"/>
            <w:tcBorders>
              <w:top w:val="single" w:sz="4" w:space="0" w:color="auto"/>
              <w:left w:val="nil"/>
              <w:bottom w:val="single" w:sz="4" w:space="0" w:color="auto"/>
              <w:right w:val="nil"/>
            </w:tcBorders>
            <w:shd w:val="clear" w:color="auto" w:fill="auto"/>
            <w:hideMark/>
          </w:tcPr>
          <w:p w14:paraId="38F7F7A4" w14:textId="4733DD61"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lastRenderedPageBreak/>
              <w:t>Informal Norms</w:t>
            </w:r>
          </w:p>
        </w:tc>
        <w:tc>
          <w:tcPr>
            <w:tcW w:w="2925" w:type="dxa"/>
            <w:tcBorders>
              <w:top w:val="single" w:sz="4" w:space="0" w:color="auto"/>
              <w:left w:val="nil"/>
              <w:bottom w:val="nil"/>
              <w:right w:val="nil"/>
            </w:tcBorders>
            <w:shd w:val="clear" w:color="auto" w:fill="auto"/>
            <w:hideMark/>
          </w:tcPr>
          <w:p w14:paraId="1BE42220" w14:textId="77777777" w:rsidR="003B7F36" w:rsidRPr="00C95105" w:rsidRDefault="003B7F36" w:rsidP="004011EB">
            <w:pPr>
              <w:spacing w:after="120"/>
              <w:ind w:right="90"/>
              <w:textAlignment w:val="baseline"/>
              <w:rPr>
                <w:rFonts w:asciiTheme="minorHAnsi" w:hAnsiTheme="minorHAnsi" w:cstheme="minorHAnsi"/>
                <w:sz w:val="22"/>
                <w:szCs w:val="22"/>
              </w:rPr>
            </w:pPr>
            <w:r w:rsidRPr="00C95105">
              <w:rPr>
                <w:rFonts w:asciiTheme="minorHAnsi" w:hAnsiTheme="minorHAnsi" w:cstheme="minorHAnsi"/>
                <w:sz w:val="22"/>
                <w:szCs w:val="22"/>
              </w:rPr>
              <w:t>Informal workplace norms, particularly norms of overwork/constant availability, can undermine good leave policies. </w:t>
            </w:r>
          </w:p>
          <w:p w14:paraId="19FDED69" w14:textId="77777777" w:rsidR="003B7F36" w:rsidRPr="00C95105" w:rsidRDefault="003B7F36" w:rsidP="004011EB">
            <w:pPr>
              <w:spacing w:after="120"/>
              <w:ind w:right="90"/>
              <w:textAlignment w:val="baseline"/>
              <w:rPr>
                <w:rFonts w:asciiTheme="minorHAnsi" w:hAnsiTheme="minorHAnsi" w:cstheme="minorHAnsi"/>
                <w:sz w:val="22"/>
                <w:szCs w:val="22"/>
              </w:rPr>
            </w:pPr>
          </w:p>
          <w:p w14:paraId="605C4CA8" w14:textId="369AF37C" w:rsidR="003B7F36" w:rsidRPr="00C95105" w:rsidRDefault="003B7F36" w:rsidP="00BD6F94">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Fear of stigma and backlash can also inhibit uptake of leave.</w:t>
            </w:r>
          </w:p>
        </w:tc>
        <w:tc>
          <w:tcPr>
            <w:tcW w:w="4137" w:type="dxa"/>
            <w:tcBorders>
              <w:top w:val="single" w:sz="4" w:space="0" w:color="auto"/>
              <w:left w:val="nil"/>
              <w:right w:val="nil"/>
            </w:tcBorders>
            <w:shd w:val="clear" w:color="auto" w:fill="auto"/>
            <w:hideMark/>
          </w:tcPr>
          <w:p w14:paraId="4FF5B00F" w14:textId="77777777"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Make flexible work options visible, acceptable, and actively promote to everyone. </w:t>
            </w:r>
          </w:p>
          <w:p w14:paraId="1F6FFFED" w14:textId="77777777" w:rsidR="003B7F36" w:rsidRPr="00C95105" w:rsidRDefault="003B7F36" w:rsidP="004011EB">
            <w:pPr>
              <w:spacing w:after="120"/>
              <w:textAlignment w:val="baseline"/>
              <w:rPr>
                <w:rFonts w:asciiTheme="minorHAnsi" w:hAnsiTheme="minorHAnsi" w:cstheme="minorHAnsi"/>
                <w:sz w:val="22"/>
                <w:szCs w:val="22"/>
              </w:rPr>
            </w:pPr>
          </w:p>
          <w:p w14:paraId="26B9DDB9" w14:textId="3417CD45"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Utilise freely available toolkits provided by WGEA</w:t>
            </w:r>
            <w:r w:rsidR="00BD6F94" w:rsidRPr="00C95105">
              <w:rPr>
                <w:rFonts w:asciiTheme="minorHAnsi" w:hAnsiTheme="minorHAnsi" w:cstheme="minorHAnsi"/>
                <w:sz w:val="22"/>
                <w:szCs w:val="22"/>
              </w:rPr>
              <w:t>, Work, Family and Health Network and Victorian Public Sector Commission: </w:t>
            </w:r>
          </w:p>
          <w:p w14:paraId="437BC5A5" w14:textId="77777777" w:rsidR="003B7F36" w:rsidRPr="00C95105" w:rsidRDefault="004E2360" w:rsidP="004011EB">
            <w:pPr>
              <w:spacing w:after="120"/>
              <w:textAlignment w:val="baseline"/>
              <w:rPr>
                <w:rFonts w:asciiTheme="minorHAnsi" w:hAnsiTheme="minorHAnsi" w:cstheme="minorHAnsi"/>
                <w:sz w:val="22"/>
                <w:szCs w:val="22"/>
                <w:u w:val="single"/>
              </w:rPr>
            </w:pPr>
            <w:hyperlink r:id="rId44">
              <w:r w:rsidR="003B7F36" w:rsidRPr="00C95105">
                <w:rPr>
                  <w:rFonts w:asciiTheme="minorHAnsi" w:hAnsiTheme="minorHAnsi" w:cstheme="minorHAnsi"/>
                  <w:sz w:val="22"/>
                  <w:szCs w:val="22"/>
                  <w:u w:val="single"/>
                </w:rPr>
                <w:t>https://www.wgea.gov.au/flexible-work</w:t>
              </w:r>
            </w:hyperlink>
          </w:p>
          <w:p w14:paraId="77A5FCE7" w14:textId="55B176F9" w:rsidR="003B7F36" w:rsidRPr="00C95105" w:rsidRDefault="004E2360" w:rsidP="004011EB">
            <w:pPr>
              <w:spacing w:after="120"/>
              <w:textAlignment w:val="baseline"/>
              <w:rPr>
                <w:rFonts w:asciiTheme="minorHAnsi" w:hAnsiTheme="minorHAnsi" w:cstheme="minorHAnsi"/>
                <w:sz w:val="22"/>
                <w:szCs w:val="22"/>
                <w:u w:val="single"/>
              </w:rPr>
            </w:pPr>
            <w:hyperlink r:id="rId45">
              <w:r w:rsidR="003B7F36" w:rsidRPr="00C95105">
                <w:rPr>
                  <w:rFonts w:asciiTheme="minorHAnsi" w:hAnsiTheme="minorHAnsi" w:cstheme="minorHAnsi"/>
                  <w:sz w:val="22"/>
                  <w:szCs w:val="22"/>
                  <w:u w:val="single"/>
                </w:rPr>
                <w:t>https://workfamilyhealthnetwork.org</w:t>
              </w:r>
            </w:hyperlink>
            <w:r w:rsidR="003B7F36" w:rsidRPr="00C95105">
              <w:rPr>
                <w:rFonts w:asciiTheme="minorHAnsi" w:hAnsiTheme="minorHAnsi" w:cstheme="minorHAnsi"/>
                <w:sz w:val="22"/>
                <w:szCs w:val="22"/>
                <w:u w:val="single"/>
              </w:rPr>
              <w:t> </w:t>
            </w:r>
          </w:p>
          <w:p w14:paraId="4C8358C6" w14:textId="772AF5DF" w:rsidR="003B7F36" w:rsidRPr="00C95105" w:rsidRDefault="004E2360" w:rsidP="004011EB">
            <w:pPr>
              <w:spacing w:after="120"/>
              <w:textAlignment w:val="baseline"/>
              <w:rPr>
                <w:rFonts w:asciiTheme="minorHAnsi" w:hAnsiTheme="minorHAnsi" w:cstheme="minorHAnsi"/>
                <w:sz w:val="22"/>
                <w:szCs w:val="22"/>
                <w:u w:val="single"/>
              </w:rPr>
            </w:pPr>
            <w:hyperlink r:id="rId46">
              <w:r w:rsidR="003B7F36" w:rsidRPr="00C95105">
                <w:rPr>
                  <w:rFonts w:asciiTheme="minorHAnsi" w:hAnsiTheme="minorHAnsi" w:cstheme="minorHAnsi"/>
                  <w:sz w:val="22"/>
                  <w:szCs w:val="22"/>
                  <w:u w:val="single"/>
                </w:rPr>
                <w:t>https://vpsc.vic.gov.au/resources/flexible-work-policy-and-resources/</w:t>
              </w:r>
            </w:hyperlink>
          </w:p>
          <w:p w14:paraId="7AC393A2" w14:textId="01BAF53C" w:rsidR="003B7F36" w:rsidRPr="00C95105" w:rsidRDefault="003B7F36" w:rsidP="004011EB">
            <w:pPr>
              <w:spacing w:after="120"/>
              <w:textAlignment w:val="baseline"/>
              <w:rPr>
                <w:rFonts w:asciiTheme="minorHAnsi" w:hAnsiTheme="minorHAnsi" w:cstheme="minorHAnsi"/>
                <w:sz w:val="22"/>
                <w:szCs w:val="22"/>
              </w:rPr>
            </w:pPr>
            <w:r w:rsidRPr="00C95105">
              <w:rPr>
                <w:rFonts w:asciiTheme="minorHAnsi" w:hAnsiTheme="minorHAnsi" w:cstheme="minorHAnsi"/>
                <w:sz w:val="22"/>
                <w:szCs w:val="22"/>
              </w:rPr>
              <w:t>Identify and deal with issues such as crisis-oriented work patterns, chaotic work schedules, or ‘overselling’ of products and services that make flexible work infeasible.</w:t>
            </w:r>
          </w:p>
        </w:tc>
      </w:tr>
      <w:tr w:rsidR="003B7F36" w:rsidRPr="00C95105" w14:paraId="0F1AD943" w14:textId="77777777" w:rsidTr="40D7941D">
        <w:tc>
          <w:tcPr>
            <w:tcW w:w="1958" w:type="dxa"/>
            <w:vMerge/>
            <w:hideMark/>
          </w:tcPr>
          <w:p w14:paraId="74CE9A1B" w14:textId="77777777" w:rsidR="003B7F36" w:rsidRPr="00C95105" w:rsidRDefault="003B7F36" w:rsidP="004011EB">
            <w:pPr>
              <w:spacing w:after="120"/>
              <w:textAlignment w:val="baseline"/>
              <w:rPr>
                <w:rFonts w:asciiTheme="minorHAnsi" w:hAnsiTheme="minorHAnsi" w:cstheme="minorHAnsi"/>
              </w:rPr>
            </w:pPr>
          </w:p>
        </w:tc>
        <w:tc>
          <w:tcPr>
            <w:tcW w:w="2925" w:type="dxa"/>
            <w:tcBorders>
              <w:top w:val="nil"/>
              <w:left w:val="nil"/>
              <w:bottom w:val="single" w:sz="6" w:space="0" w:color="auto"/>
              <w:right w:val="nil"/>
            </w:tcBorders>
            <w:shd w:val="clear" w:color="auto" w:fill="auto"/>
            <w:hideMark/>
          </w:tcPr>
          <w:p w14:paraId="34FAEE0D" w14:textId="77777777" w:rsidR="003B7F36" w:rsidRPr="00C95105" w:rsidRDefault="003B7F36" w:rsidP="004011EB">
            <w:pPr>
              <w:spacing w:after="120"/>
              <w:textAlignment w:val="baseline"/>
              <w:rPr>
                <w:rFonts w:asciiTheme="minorHAnsi" w:hAnsiTheme="minorHAnsi" w:cstheme="minorHAnsi"/>
                <w:color w:val="000000" w:themeColor="text1"/>
                <w:sz w:val="22"/>
                <w:szCs w:val="22"/>
              </w:rPr>
            </w:pPr>
          </w:p>
        </w:tc>
        <w:tc>
          <w:tcPr>
            <w:tcW w:w="4137" w:type="dxa"/>
            <w:tcBorders>
              <w:top w:val="none" w:sz="6" w:space="0" w:color="000000" w:themeColor="text1"/>
              <w:left w:val="nil"/>
              <w:bottom w:val="single" w:sz="6" w:space="0" w:color="auto"/>
              <w:right w:val="nil"/>
            </w:tcBorders>
            <w:shd w:val="clear" w:color="auto" w:fill="auto"/>
            <w:hideMark/>
          </w:tcPr>
          <w:p w14:paraId="198B4676" w14:textId="77777777" w:rsidR="003B7F36" w:rsidRPr="00C95105" w:rsidRDefault="003B7F36" w:rsidP="004011EB">
            <w:pPr>
              <w:spacing w:after="120"/>
              <w:textAlignment w:val="baseline"/>
              <w:rPr>
                <w:rFonts w:asciiTheme="minorHAnsi" w:hAnsiTheme="minorHAnsi" w:cstheme="minorHAnsi"/>
                <w:color w:val="000000" w:themeColor="text1"/>
                <w:sz w:val="22"/>
                <w:szCs w:val="22"/>
              </w:rPr>
            </w:pPr>
          </w:p>
        </w:tc>
      </w:tr>
    </w:tbl>
    <w:p w14:paraId="77D351E4" w14:textId="77777777" w:rsidR="006757E6" w:rsidRDefault="006757E6" w:rsidP="006757E6"/>
    <w:p w14:paraId="28BC8FDF" w14:textId="39186479" w:rsidR="008E4B7A" w:rsidRDefault="003B7F36" w:rsidP="006757E6">
      <w:r w:rsidRPr="00C95105">
        <w:t> </w:t>
      </w:r>
    </w:p>
    <w:p w14:paraId="10E11106" w14:textId="77777777" w:rsidR="0035324F" w:rsidRDefault="0035324F" w:rsidP="0035324F"/>
    <w:p w14:paraId="0BFED8FE" w14:textId="77777777" w:rsidR="0035324F" w:rsidRPr="0035324F" w:rsidRDefault="0035324F" w:rsidP="0035324F"/>
    <w:p w14:paraId="6A1652F4" w14:textId="560569E6" w:rsidR="003B7F36" w:rsidRPr="00C95105" w:rsidRDefault="003B7F36" w:rsidP="0093280F">
      <w:pPr>
        <w:pStyle w:val="Heading3"/>
        <w:numPr>
          <w:ilvl w:val="2"/>
          <w:numId w:val="9"/>
        </w:numPr>
        <w:spacing w:before="0" w:after="120"/>
        <w:ind w:left="567" w:hanging="567"/>
        <w:rPr>
          <w:rFonts w:asciiTheme="minorHAnsi" w:hAnsiTheme="minorHAnsi" w:cstheme="minorHAnsi"/>
          <w:b/>
          <w:bCs/>
          <w:i/>
          <w:iCs/>
          <w:color w:val="2F5496" w:themeColor="accent1" w:themeShade="BF"/>
          <w:sz w:val="22"/>
          <w:szCs w:val="22"/>
        </w:rPr>
      </w:pPr>
      <w:bookmarkStart w:id="165" w:name="_Toc96957692"/>
      <w:r w:rsidRPr="00C95105">
        <w:rPr>
          <w:rFonts w:asciiTheme="minorHAnsi" w:hAnsiTheme="minorHAnsi" w:cstheme="minorHAnsi"/>
          <w:b/>
          <w:bCs/>
          <w:i/>
          <w:iCs/>
          <w:color w:val="2F5496" w:themeColor="accent1" w:themeShade="BF"/>
          <w:sz w:val="22"/>
          <w:szCs w:val="22"/>
        </w:rPr>
        <w:t>Societal-level factors</w:t>
      </w:r>
      <w:bookmarkEnd w:id="165"/>
      <w:r w:rsidRPr="00C95105">
        <w:rPr>
          <w:rFonts w:asciiTheme="minorHAnsi" w:hAnsiTheme="minorHAnsi" w:cstheme="minorHAnsi"/>
          <w:b/>
          <w:bCs/>
          <w:i/>
          <w:iCs/>
          <w:color w:val="2F5496" w:themeColor="accent1" w:themeShade="BF"/>
          <w:sz w:val="22"/>
          <w:szCs w:val="22"/>
        </w:rPr>
        <w:t> </w:t>
      </w:r>
    </w:p>
    <w:p w14:paraId="75795572" w14:textId="77777777" w:rsidR="003B7F36" w:rsidRPr="00C95105" w:rsidRDefault="003B7F36" w:rsidP="00BD6F94">
      <w:pPr>
        <w:spacing w:after="120"/>
        <w:ind w:firstLine="567"/>
        <w:textAlignment w:val="baseline"/>
        <w:rPr>
          <w:rFonts w:asciiTheme="minorHAnsi" w:hAnsiTheme="minorHAnsi" w:cstheme="minorHAnsi"/>
          <w:sz w:val="18"/>
          <w:szCs w:val="18"/>
        </w:rPr>
      </w:pPr>
      <w:r w:rsidRPr="00C95105">
        <w:rPr>
          <w:rFonts w:asciiTheme="minorHAnsi" w:hAnsiTheme="minorHAnsi" w:cstheme="minorHAnsi"/>
          <w:color w:val="000000" w:themeColor="text1"/>
          <w:sz w:val="22"/>
          <w:szCs w:val="22"/>
        </w:rPr>
        <w:t>Studies investigating societal-level factors were focused on the effect of different kinds of national-level policies on fathers’ uptake of parental/paternity leave. These confirmed the importance of non-transferable, well-paid, statutory paternity leave.  </w:t>
      </w:r>
    </w:p>
    <w:p w14:paraId="4ACFEB74" w14:textId="77777777" w:rsidR="003B7F36" w:rsidRPr="00C95105" w:rsidRDefault="003B7F36" w:rsidP="004011EB">
      <w:pPr>
        <w:spacing w:after="120"/>
        <w:rPr>
          <w:rFonts w:asciiTheme="minorHAnsi" w:hAnsiTheme="minorHAnsi" w:cstheme="minorHAnsi"/>
          <w:color w:val="000000" w:themeColor="text1"/>
          <w:sz w:val="22"/>
          <w:szCs w:val="22"/>
        </w:rPr>
      </w:pPr>
    </w:p>
    <w:p w14:paraId="2588907E" w14:textId="584B6203" w:rsidR="003B7F36" w:rsidRPr="00C95105" w:rsidRDefault="003B7F36" w:rsidP="008E4B7A">
      <w:pPr>
        <w:pStyle w:val="TableParagraph"/>
        <w:spacing w:after="120"/>
        <w:ind w:left="0"/>
        <w:rPr>
          <w:rFonts w:asciiTheme="minorHAnsi" w:hAnsiTheme="minorHAnsi" w:cstheme="minorHAnsi"/>
          <w:b/>
          <w:bCs/>
          <w:lang w:val="en-AU"/>
        </w:rPr>
      </w:pPr>
      <w:bookmarkStart w:id="166" w:name="_Toc96878646"/>
      <w:r w:rsidRPr="00C95105">
        <w:rPr>
          <w:rFonts w:asciiTheme="minorHAnsi" w:hAnsiTheme="minorHAnsi" w:cstheme="minorHAnsi"/>
          <w:b/>
          <w:bCs/>
          <w:lang w:val="en-AU"/>
        </w:rPr>
        <w:t xml:space="preserve">Table </w:t>
      </w:r>
      <w:r w:rsidR="00BD6F94" w:rsidRPr="00C95105">
        <w:rPr>
          <w:rFonts w:asciiTheme="minorHAnsi" w:hAnsiTheme="minorHAnsi" w:cstheme="minorHAnsi"/>
          <w:b/>
          <w:bCs/>
          <w:lang w:val="en-AU"/>
        </w:rPr>
        <w:t>3.</w:t>
      </w:r>
      <w:r w:rsidRPr="00C95105">
        <w:rPr>
          <w:rFonts w:asciiTheme="minorHAnsi" w:hAnsiTheme="minorHAnsi" w:cstheme="minorHAnsi"/>
          <w:b/>
          <w:bCs/>
          <w:lang w:val="en-AU"/>
        </w:rPr>
        <w:t>5</w:t>
      </w:r>
      <w:r w:rsidR="00BD6F94" w:rsidRPr="00C95105">
        <w:rPr>
          <w:rFonts w:asciiTheme="minorHAnsi" w:hAnsiTheme="minorHAnsi" w:cstheme="minorHAnsi"/>
          <w:b/>
          <w:bCs/>
          <w:lang w:val="en-AU"/>
        </w:rPr>
        <w:t>.</w:t>
      </w:r>
      <w:r w:rsidRPr="00C95105">
        <w:rPr>
          <w:rFonts w:asciiTheme="minorHAnsi" w:hAnsiTheme="minorHAnsi" w:cstheme="minorHAnsi"/>
          <w:b/>
          <w:bCs/>
          <w:lang w:val="en-AU"/>
        </w:rPr>
        <w:t xml:space="preserve"> </w:t>
      </w:r>
      <w:r w:rsidRPr="00C95105">
        <w:rPr>
          <w:rFonts w:asciiTheme="minorHAnsi" w:hAnsiTheme="minorHAnsi" w:cstheme="minorHAnsi"/>
          <w:lang w:val="en-AU"/>
        </w:rPr>
        <w:t>Societal-level factors </w:t>
      </w:r>
      <w:r w:rsidR="00CE0306" w:rsidRPr="00C95105">
        <w:rPr>
          <w:rFonts w:asciiTheme="minorHAnsi" w:hAnsiTheme="minorHAnsi" w:cstheme="minorHAnsi"/>
          <w:lang w:val="en-AU"/>
        </w:rPr>
        <w:t>impacting men’s uptake of parental/paternity leave</w:t>
      </w:r>
      <w:bookmarkEnd w:id="166"/>
    </w:p>
    <w:tbl>
      <w:tblPr>
        <w:tblW w:w="8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3686"/>
        <w:gridCol w:w="3402"/>
      </w:tblGrid>
      <w:tr w:rsidR="006A249A" w:rsidRPr="00C95105" w14:paraId="002021F7" w14:textId="77777777" w:rsidTr="008E4B7A">
        <w:trPr>
          <w:tblHeader/>
        </w:trPr>
        <w:tc>
          <w:tcPr>
            <w:tcW w:w="1701" w:type="dxa"/>
            <w:tcBorders>
              <w:top w:val="single" w:sz="6" w:space="0" w:color="auto"/>
              <w:left w:val="nil"/>
              <w:bottom w:val="single" w:sz="6" w:space="0" w:color="auto"/>
              <w:right w:val="nil"/>
            </w:tcBorders>
            <w:shd w:val="clear" w:color="auto" w:fill="auto"/>
            <w:hideMark/>
          </w:tcPr>
          <w:p w14:paraId="031BF2F7" w14:textId="7E0B4E09" w:rsidR="003B7F36" w:rsidRPr="00C95105" w:rsidRDefault="008E4B7A" w:rsidP="004011EB">
            <w:pPr>
              <w:spacing w:after="120"/>
              <w:jc w:val="center"/>
              <w:textAlignment w:val="baseline"/>
              <w:rPr>
                <w:rFonts w:asciiTheme="minorHAnsi" w:hAnsiTheme="minorHAnsi" w:cstheme="minorHAnsi"/>
              </w:rPr>
            </w:pPr>
            <w:r w:rsidRPr="00C95105">
              <w:rPr>
                <w:rFonts w:asciiTheme="minorHAnsi" w:hAnsiTheme="minorHAnsi" w:cstheme="minorHAnsi"/>
                <w:b/>
                <w:bCs/>
                <w:color w:val="2F5496"/>
                <w:sz w:val="22"/>
                <w:szCs w:val="22"/>
              </w:rPr>
              <w:t>Area</w:t>
            </w:r>
          </w:p>
        </w:tc>
        <w:tc>
          <w:tcPr>
            <w:tcW w:w="3686" w:type="dxa"/>
            <w:tcBorders>
              <w:top w:val="single" w:sz="6" w:space="0" w:color="auto"/>
              <w:left w:val="nil"/>
              <w:bottom w:val="single" w:sz="6" w:space="0" w:color="auto"/>
              <w:right w:val="nil"/>
            </w:tcBorders>
            <w:shd w:val="clear" w:color="auto" w:fill="auto"/>
            <w:hideMark/>
          </w:tcPr>
          <w:p w14:paraId="6244A241"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b/>
                <w:bCs/>
                <w:color w:val="2F5496"/>
                <w:sz w:val="22"/>
                <w:szCs w:val="22"/>
              </w:rPr>
              <w:t>What the evidence says</w:t>
            </w:r>
            <w:r w:rsidRPr="00C95105">
              <w:rPr>
                <w:rFonts w:asciiTheme="minorHAnsi" w:hAnsiTheme="minorHAnsi" w:cstheme="minorHAnsi"/>
                <w:color w:val="2F5496"/>
                <w:sz w:val="22"/>
                <w:szCs w:val="22"/>
              </w:rPr>
              <w:t> </w:t>
            </w:r>
          </w:p>
        </w:tc>
        <w:tc>
          <w:tcPr>
            <w:tcW w:w="3402" w:type="dxa"/>
            <w:tcBorders>
              <w:top w:val="single" w:sz="6" w:space="0" w:color="auto"/>
              <w:left w:val="nil"/>
              <w:bottom w:val="single" w:sz="6" w:space="0" w:color="auto"/>
              <w:right w:val="nil"/>
            </w:tcBorders>
            <w:shd w:val="clear" w:color="auto" w:fill="auto"/>
            <w:hideMark/>
          </w:tcPr>
          <w:p w14:paraId="7E117E1D" w14:textId="77777777" w:rsidR="003B7F36" w:rsidRPr="00C95105" w:rsidRDefault="003B7F36" w:rsidP="004011EB">
            <w:pPr>
              <w:spacing w:after="120"/>
              <w:jc w:val="center"/>
              <w:textAlignment w:val="baseline"/>
              <w:rPr>
                <w:rFonts w:asciiTheme="minorHAnsi" w:hAnsiTheme="minorHAnsi" w:cstheme="minorHAnsi"/>
              </w:rPr>
            </w:pPr>
            <w:r w:rsidRPr="00C95105">
              <w:rPr>
                <w:rFonts w:asciiTheme="minorHAnsi" w:hAnsiTheme="minorHAnsi" w:cstheme="minorHAnsi"/>
                <w:b/>
                <w:bCs/>
                <w:color w:val="2F5496"/>
                <w:sz w:val="22"/>
                <w:szCs w:val="22"/>
              </w:rPr>
              <w:t>Recommendations</w:t>
            </w:r>
            <w:r w:rsidRPr="00C95105">
              <w:rPr>
                <w:rFonts w:asciiTheme="minorHAnsi" w:hAnsiTheme="minorHAnsi" w:cstheme="minorHAnsi"/>
                <w:color w:val="2F5496"/>
                <w:sz w:val="22"/>
                <w:szCs w:val="22"/>
              </w:rPr>
              <w:t> </w:t>
            </w:r>
          </w:p>
        </w:tc>
      </w:tr>
      <w:tr w:rsidR="006A249A" w:rsidRPr="00C95105" w14:paraId="443E2D8B" w14:textId="77777777" w:rsidTr="006A249A">
        <w:tc>
          <w:tcPr>
            <w:tcW w:w="1701" w:type="dxa"/>
            <w:tcBorders>
              <w:top w:val="single" w:sz="6" w:space="0" w:color="auto"/>
              <w:left w:val="nil"/>
              <w:bottom w:val="nil"/>
              <w:right w:val="nil"/>
            </w:tcBorders>
            <w:shd w:val="clear" w:color="auto" w:fill="auto"/>
          </w:tcPr>
          <w:p w14:paraId="6464795E" w14:textId="77777777" w:rsidR="00C57DE0" w:rsidRPr="00C95105" w:rsidRDefault="00C57DE0" w:rsidP="006A249A">
            <w:pPr>
              <w:spacing w:after="120"/>
              <w:ind w:right="137"/>
              <w:textAlignment w:val="baseline"/>
              <w:rPr>
                <w:rFonts w:asciiTheme="minorHAnsi" w:hAnsiTheme="minorHAnsi" w:cstheme="minorHAnsi"/>
              </w:rPr>
            </w:pPr>
            <w:r w:rsidRPr="00C95105">
              <w:rPr>
                <w:rFonts w:asciiTheme="minorHAnsi" w:hAnsiTheme="minorHAnsi" w:cstheme="minorHAnsi"/>
                <w:sz w:val="22"/>
                <w:szCs w:val="22"/>
              </w:rPr>
              <w:t>Reserved paternity leave/ ‘fathers’ quotas’ </w:t>
            </w:r>
          </w:p>
          <w:p w14:paraId="24ED62E0" w14:textId="77777777" w:rsidR="008D70AA" w:rsidRPr="00C95105" w:rsidRDefault="008D70AA" w:rsidP="004011EB">
            <w:pPr>
              <w:spacing w:after="120"/>
              <w:textAlignment w:val="baseline"/>
              <w:rPr>
                <w:rFonts w:asciiTheme="minorHAnsi" w:hAnsiTheme="minorHAnsi" w:cstheme="minorHAnsi"/>
                <w:sz w:val="22"/>
                <w:szCs w:val="22"/>
              </w:rPr>
            </w:pPr>
          </w:p>
        </w:tc>
        <w:tc>
          <w:tcPr>
            <w:tcW w:w="3686" w:type="dxa"/>
            <w:tcBorders>
              <w:top w:val="single" w:sz="6" w:space="0" w:color="auto"/>
              <w:left w:val="nil"/>
              <w:bottom w:val="single" w:sz="4" w:space="0" w:color="auto"/>
              <w:right w:val="nil"/>
            </w:tcBorders>
            <w:shd w:val="clear" w:color="auto" w:fill="auto"/>
          </w:tcPr>
          <w:p w14:paraId="41F6E60B" w14:textId="256D35A6" w:rsidR="008D70AA" w:rsidRPr="00C95105" w:rsidRDefault="00C57DE0" w:rsidP="006A249A">
            <w:pPr>
              <w:spacing w:after="120"/>
              <w:ind w:left="141"/>
              <w:textAlignment w:val="baseline"/>
              <w:rPr>
                <w:rFonts w:asciiTheme="minorHAnsi" w:hAnsiTheme="minorHAnsi" w:cstheme="minorHAnsi"/>
                <w:sz w:val="22"/>
                <w:szCs w:val="22"/>
              </w:rPr>
            </w:pPr>
            <w:r w:rsidRPr="00C95105">
              <w:rPr>
                <w:rFonts w:asciiTheme="minorHAnsi" w:hAnsiTheme="minorHAnsi" w:cstheme="minorHAnsi"/>
                <w:sz w:val="22"/>
                <w:szCs w:val="22"/>
              </w:rPr>
              <w:t>Reserved, well-paid paternity leave has a marked positive influence on fathers’ uptake of leave. Increasing the shareable portion of leave appears to have little further effect on uptake.  </w:t>
            </w:r>
          </w:p>
        </w:tc>
        <w:tc>
          <w:tcPr>
            <w:tcW w:w="3402" w:type="dxa"/>
            <w:tcBorders>
              <w:top w:val="single" w:sz="6" w:space="0" w:color="auto"/>
              <w:left w:val="nil"/>
              <w:bottom w:val="single" w:sz="4" w:space="0" w:color="auto"/>
              <w:right w:val="nil"/>
            </w:tcBorders>
            <w:shd w:val="clear" w:color="auto" w:fill="auto"/>
          </w:tcPr>
          <w:p w14:paraId="37E41674" w14:textId="14CF7ECC" w:rsidR="008D70AA" w:rsidRPr="00C95105" w:rsidRDefault="00C57DE0" w:rsidP="006A249A">
            <w:pPr>
              <w:spacing w:after="120"/>
              <w:ind w:left="118"/>
              <w:textAlignment w:val="baseline"/>
              <w:rPr>
                <w:rFonts w:asciiTheme="minorHAnsi" w:eastAsiaTheme="minorEastAsia" w:hAnsiTheme="minorHAnsi" w:cstheme="minorHAnsi"/>
              </w:rPr>
            </w:pPr>
            <w:r w:rsidRPr="00C95105">
              <w:rPr>
                <w:rFonts w:asciiTheme="minorHAnsi" w:eastAsiaTheme="minorEastAsia" w:hAnsiTheme="minorHAnsi" w:cstheme="minorHAnsi"/>
                <w:sz w:val="22"/>
                <w:szCs w:val="22"/>
              </w:rPr>
              <w:t>Defined entities with lower entitlements for paternity leave should prioritise expanding these benefits. </w:t>
            </w:r>
          </w:p>
        </w:tc>
      </w:tr>
      <w:tr w:rsidR="006A249A" w:rsidRPr="00C95105" w14:paraId="0BDDECA7" w14:textId="77777777" w:rsidTr="008653E2">
        <w:tc>
          <w:tcPr>
            <w:tcW w:w="1701" w:type="dxa"/>
            <w:tcBorders>
              <w:top w:val="nil"/>
              <w:left w:val="nil"/>
              <w:bottom w:val="nil"/>
              <w:right w:val="nil"/>
            </w:tcBorders>
            <w:shd w:val="clear" w:color="auto" w:fill="auto"/>
          </w:tcPr>
          <w:p w14:paraId="03048B37" w14:textId="77777777" w:rsidR="00C57DE0" w:rsidRPr="00C95105" w:rsidRDefault="00C57DE0" w:rsidP="00C57DE0">
            <w:pPr>
              <w:spacing w:after="120"/>
              <w:textAlignment w:val="baseline"/>
              <w:rPr>
                <w:rFonts w:asciiTheme="minorHAnsi" w:hAnsiTheme="minorHAnsi" w:cstheme="minorHAnsi"/>
                <w:sz w:val="22"/>
                <w:szCs w:val="22"/>
              </w:rPr>
            </w:pPr>
          </w:p>
        </w:tc>
        <w:tc>
          <w:tcPr>
            <w:tcW w:w="3686" w:type="dxa"/>
            <w:tcBorders>
              <w:top w:val="single" w:sz="6" w:space="0" w:color="auto"/>
              <w:left w:val="nil"/>
              <w:bottom w:val="single" w:sz="4" w:space="0" w:color="auto"/>
              <w:right w:val="nil"/>
            </w:tcBorders>
            <w:shd w:val="clear" w:color="auto" w:fill="auto"/>
          </w:tcPr>
          <w:p w14:paraId="605D7600" w14:textId="7A4F0CA6" w:rsidR="00C57DE0" w:rsidRPr="00C95105" w:rsidRDefault="00C57DE0" w:rsidP="006A249A">
            <w:pPr>
              <w:spacing w:after="120"/>
              <w:ind w:left="141"/>
              <w:textAlignment w:val="baseline"/>
              <w:rPr>
                <w:rFonts w:asciiTheme="minorHAnsi" w:hAnsiTheme="minorHAnsi" w:cstheme="minorHAnsi"/>
                <w:sz w:val="22"/>
                <w:szCs w:val="22"/>
              </w:rPr>
            </w:pPr>
            <w:r w:rsidRPr="00C95105">
              <w:rPr>
                <w:rFonts w:asciiTheme="minorHAnsi" w:hAnsiTheme="minorHAnsi" w:cstheme="minorHAnsi"/>
                <w:sz w:val="22"/>
                <w:szCs w:val="22"/>
              </w:rPr>
              <w:t>The effectiveness of reserved paternity leave is conditional on the level of benefits, as well as formal and informal organisational factors.  </w:t>
            </w:r>
          </w:p>
        </w:tc>
        <w:tc>
          <w:tcPr>
            <w:tcW w:w="3402" w:type="dxa"/>
            <w:tcBorders>
              <w:top w:val="single" w:sz="6" w:space="0" w:color="auto"/>
              <w:left w:val="nil"/>
              <w:bottom w:val="single" w:sz="4" w:space="0" w:color="auto"/>
              <w:right w:val="nil"/>
            </w:tcBorders>
            <w:shd w:val="clear" w:color="auto" w:fill="auto"/>
          </w:tcPr>
          <w:p w14:paraId="7C84C09B" w14:textId="79CCEB19" w:rsidR="00C57DE0" w:rsidRPr="00C95105" w:rsidRDefault="00C57DE0" w:rsidP="006A249A">
            <w:pPr>
              <w:spacing w:after="120"/>
              <w:ind w:left="118"/>
              <w:textAlignment w:val="baseline"/>
              <w:rPr>
                <w:rFonts w:asciiTheme="minorHAnsi" w:hAnsiTheme="minorHAnsi" w:cstheme="minorHAnsi"/>
              </w:rPr>
            </w:pPr>
            <w:r w:rsidRPr="00C95105">
              <w:rPr>
                <w:rFonts w:asciiTheme="minorHAnsi" w:hAnsiTheme="minorHAnsi" w:cstheme="minorHAnsi"/>
                <w:color w:val="000000" w:themeColor="text1"/>
                <w:sz w:val="22"/>
                <w:szCs w:val="22"/>
              </w:rPr>
              <w:t>Increasing benefit level, such as topping up the government scheme to full pay, will likely increase uptake. </w:t>
            </w:r>
          </w:p>
        </w:tc>
      </w:tr>
      <w:tr w:rsidR="006A249A" w:rsidRPr="00C95105" w14:paraId="4AAA9DDF" w14:textId="77777777" w:rsidTr="008653E2">
        <w:tc>
          <w:tcPr>
            <w:tcW w:w="1701" w:type="dxa"/>
            <w:tcBorders>
              <w:top w:val="nil"/>
              <w:left w:val="nil"/>
              <w:bottom w:val="single" w:sz="4" w:space="0" w:color="auto"/>
              <w:right w:val="nil"/>
            </w:tcBorders>
            <w:shd w:val="clear" w:color="auto" w:fill="auto"/>
          </w:tcPr>
          <w:p w14:paraId="5B77D6C2" w14:textId="77777777" w:rsidR="00C57DE0" w:rsidRPr="00C95105" w:rsidRDefault="00C57DE0" w:rsidP="00C57DE0">
            <w:pPr>
              <w:spacing w:after="120"/>
              <w:textAlignment w:val="baseline"/>
              <w:rPr>
                <w:rFonts w:asciiTheme="minorHAnsi" w:hAnsiTheme="minorHAnsi" w:cstheme="minorHAnsi"/>
                <w:sz w:val="22"/>
                <w:szCs w:val="22"/>
              </w:rPr>
            </w:pPr>
          </w:p>
        </w:tc>
        <w:tc>
          <w:tcPr>
            <w:tcW w:w="3686" w:type="dxa"/>
            <w:tcBorders>
              <w:top w:val="single" w:sz="6" w:space="0" w:color="auto"/>
              <w:left w:val="nil"/>
              <w:bottom w:val="single" w:sz="4" w:space="0" w:color="auto"/>
              <w:right w:val="nil"/>
            </w:tcBorders>
            <w:shd w:val="clear" w:color="auto" w:fill="auto"/>
          </w:tcPr>
          <w:p w14:paraId="1F76BFF9" w14:textId="26257820" w:rsidR="00C57DE0" w:rsidRPr="00C95105" w:rsidRDefault="00C57DE0" w:rsidP="006A249A">
            <w:pPr>
              <w:spacing w:after="120"/>
              <w:ind w:left="141"/>
              <w:textAlignment w:val="baseline"/>
              <w:rPr>
                <w:rFonts w:asciiTheme="minorHAnsi" w:hAnsiTheme="minorHAnsi" w:cstheme="minorHAnsi"/>
                <w:sz w:val="22"/>
                <w:szCs w:val="22"/>
              </w:rPr>
            </w:pPr>
            <w:r w:rsidRPr="00C95105">
              <w:rPr>
                <w:rFonts w:asciiTheme="minorHAnsi" w:hAnsiTheme="minorHAnsi" w:cstheme="minorHAnsi"/>
                <w:sz w:val="22"/>
                <w:szCs w:val="22"/>
              </w:rPr>
              <w:t>Introducing and extending well-paid fathers’ quotas can reduce and even reverse gaps in uptake based on contract</w:t>
            </w:r>
            <w:r w:rsidR="006A249A" w:rsidRPr="00C95105">
              <w:rPr>
                <w:rFonts w:asciiTheme="minorHAnsi" w:hAnsiTheme="minorHAnsi" w:cstheme="minorHAnsi"/>
                <w:sz w:val="22"/>
                <w:szCs w:val="22"/>
              </w:rPr>
              <w:t xml:space="preserve"> </w:t>
            </w:r>
            <w:r w:rsidRPr="00C95105">
              <w:rPr>
                <w:rFonts w:asciiTheme="minorHAnsi" w:hAnsiTheme="minorHAnsi" w:cstheme="minorHAnsi"/>
                <w:sz w:val="22"/>
                <w:szCs w:val="22"/>
              </w:rPr>
              <w:t>type, social class, education, and worker type, particularly among lower education, lower income fathers. </w:t>
            </w:r>
          </w:p>
        </w:tc>
        <w:tc>
          <w:tcPr>
            <w:tcW w:w="3402" w:type="dxa"/>
            <w:tcBorders>
              <w:top w:val="single" w:sz="6" w:space="0" w:color="auto"/>
              <w:left w:val="nil"/>
              <w:bottom w:val="single" w:sz="4" w:space="0" w:color="auto"/>
              <w:right w:val="nil"/>
            </w:tcBorders>
            <w:shd w:val="clear" w:color="auto" w:fill="auto"/>
          </w:tcPr>
          <w:p w14:paraId="29AF71B9" w14:textId="39020325" w:rsidR="00C57DE0" w:rsidRPr="00C95105" w:rsidRDefault="00C57DE0" w:rsidP="006A249A">
            <w:pPr>
              <w:spacing w:after="120"/>
              <w:ind w:left="118"/>
              <w:textAlignment w:val="baseline"/>
              <w:rPr>
                <w:rFonts w:asciiTheme="minorHAnsi" w:hAnsiTheme="minorHAnsi" w:cstheme="minorHAnsi"/>
              </w:rPr>
            </w:pPr>
            <w:r w:rsidRPr="00C95105">
              <w:rPr>
                <w:rFonts w:asciiTheme="minorHAnsi" w:hAnsiTheme="minorHAnsi" w:cstheme="minorHAnsi"/>
                <w:sz w:val="22"/>
                <w:szCs w:val="22"/>
              </w:rPr>
              <w:t>Statutory paternity leave policies may help to set norms. </w:t>
            </w:r>
          </w:p>
        </w:tc>
      </w:tr>
      <w:tr w:rsidR="006A249A" w:rsidRPr="00C95105" w14:paraId="5CA3011D" w14:textId="77777777" w:rsidTr="008653E2">
        <w:tc>
          <w:tcPr>
            <w:tcW w:w="1701" w:type="dxa"/>
            <w:tcBorders>
              <w:top w:val="single" w:sz="4" w:space="0" w:color="auto"/>
              <w:left w:val="nil"/>
              <w:bottom w:val="single" w:sz="6" w:space="0" w:color="auto"/>
              <w:right w:val="nil"/>
            </w:tcBorders>
            <w:shd w:val="clear" w:color="auto" w:fill="auto"/>
            <w:hideMark/>
          </w:tcPr>
          <w:p w14:paraId="6B2CA6F9"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sz w:val="22"/>
                <w:szCs w:val="22"/>
              </w:rPr>
              <w:lastRenderedPageBreak/>
              <w:t>Reserved paternity leave versus shared (gender-neutral) leave </w:t>
            </w:r>
          </w:p>
          <w:p w14:paraId="2B0E9C90" w14:textId="77777777" w:rsidR="003B7F36" w:rsidRPr="00C95105" w:rsidRDefault="003B7F36" w:rsidP="004011EB">
            <w:pPr>
              <w:spacing w:after="120"/>
              <w:textAlignment w:val="baseline"/>
              <w:rPr>
                <w:rFonts w:asciiTheme="minorHAnsi" w:hAnsiTheme="minorHAnsi" w:cstheme="minorHAnsi"/>
              </w:rPr>
            </w:pPr>
            <w:r w:rsidRPr="00C95105">
              <w:rPr>
                <w:rFonts w:asciiTheme="minorHAnsi" w:hAnsiTheme="minorHAnsi" w:cstheme="minorHAnsi"/>
                <w:color w:val="000000"/>
                <w:sz w:val="22"/>
                <w:szCs w:val="22"/>
              </w:rPr>
              <w:t> </w:t>
            </w:r>
          </w:p>
        </w:tc>
        <w:tc>
          <w:tcPr>
            <w:tcW w:w="3686" w:type="dxa"/>
            <w:tcBorders>
              <w:top w:val="single" w:sz="6" w:space="0" w:color="auto"/>
              <w:left w:val="nil"/>
              <w:bottom w:val="single" w:sz="6" w:space="0" w:color="auto"/>
              <w:right w:val="nil"/>
            </w:tcBorders>
            <w:shd w:val="clear" w:color="auto" w:fill="auto"/>
            <w:hideMark/>
          </w:tcPr>
          <w:p w14:paraId="6A990EC3" w14:textId="77777777" w:rsidR="003B7F36" w:rsidRPr="00C95105" w:rsidRDefault="003B7F36" w:rsidP="006A249A">
            <w:pPr>
              <w:spacing w:after="120"/>
              <w:ind w:left="141" w:right="90"/>
              <w:textAlignment w:val="baseline"/>
              <w:rPr>
                <w:rFonts w:asciiTheme="minorHAnsi" w:hAnsiTheme="minorHAnsi" w:cstheme="minorHAnsi"/>
              </w:rPr>
            </w:pPr>
            <w:r w:rsidRPr="00C95105">
              <w:rPr>
                <w:rFonts w:asciiTheme="minorHAnsi" w:hAnsiTheme="minorHAnsi" w:cstheme="minorHAnsi"/>
                <w:sz w:val="22"/>
                <w:szCs w:val="22"/>
              </w:rPr>
              <w:t>Men in male-dominated workforces are less likely to take gender-neutral leave than men in female-dominated workforces. However, this is not the case for reserved paternity leave.  </w:t>
            </w:r>
          </w:p>
        </w:tc>
        <w:tc>
          <w:tcPr>
            <w:tcW w:w="3402" w:type="dxa"/>
            <w:tcBorders>
              <w:top w:val="single" w:sz="6" w:space="0" w:color="auto"/>
              <w:left w:val="nil"/>
              <w:bottom w:val="single" w:sz="6" w:space="0" w:color="auto"/>
              <w:right w:val="nil"/>
            </w:tcBorders>
            <w:shd w:val="clear" w:color="auto" w:fill="auto"/>
            <w:hideMark/>
          </w:tcPr>
          <w:p w14:paraId="0CD82F80" w14:textId="77777777" w:rsidR="003B7F36" w:rsidRPr="00C95105" w:rsidRDefault="003B7F36" w:rsidP="006A249A">
            <w:pPr>
              <w:spacing w:after="120"/>
              <w:ind w:left="118"/>
              <w:textAlignment w:val="baseline"/>
              <w:rPr>
                <w:rFonts w:asciiTheme="minorHAnsi" w:hAnsiTheme="minorHAnsi" w:cstheme="minorHAnsi"/>
              </w:rPr>
            </w:pPr>
            <w:r w:rsidRPr="00C95105">
              <w:rPr>
                <w:rFonts w:asciiTheme="minorHAnsi" w:hAnsiTheme="minorHAnsi" w:cstheme="minorHAnsi"/>
                <w:color w:val="000000" w:themeColor="text1"/>
                <w:sz w:val="22"/>
                <w:szCs w:val="22"/>
              </w:rPr>
              <w:t>Reserved paternity leave may be particularly important in male-dominated areas of the public service. Gender-neutral shared leave policies may inhibit male uptake.  </w:t>
            </w:r>
          </w:p>
        </w:tc>
      </w:tr>
    </w:tbl>
    <w:p w14:paraId="746E978A" w14:textId="77777777" w:rsidR="003B7F36" w:rsidRPr="00C95105" w:rsidRDefault="003B7F36" w:rsidP="004011EB">
      <w:pPr>
        <w:spacing w:after="120"/>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w:t>
      </w:r>
    </w:p>
    <w:p w14:paraId="0317FDE3" w14:textId="0AC4E5EB" w:rsidR="003B7F36" w:rsidRPr="00C95105" w:rsidRDefault="003B7F36" w:rsidP="0093280F">
      <w:pPr>
        <w:pStyle w:val="Heading2"/>
        <w:numPr>
          <w:ilvl w:val="1"/>
          <w:numId w:val="9"/>
        </w:numPr>
        <w:spacing w:before="0" w:after="120"/>
        <w:ind w:left="426" w:hanging="437"/>
        <w:rPr>
          <w:rFonts w:asciiTheme="minorHAnsi" w:hAnsiTheme="minorHAnsi" w:cstheme="minorHAnsi"/>
          <w:b/>
          <w:bCs/>
        </w:rPr>
      </w:pPr>
      <w:bookmarkStart w:id="167" w:name="_Toc96957693"/>
      <w:r w:rsidRPr="00C95105">
        <w:rPr>
          <w:rFonts w:asciiTheme="minorHAnsi" w:hAnsiTheme="minorHAnsi" w:cstheme="minorHAnsi"/>
          <w:b/>
          <w:bCs/>
        </w:rPr>
        <w:t xml:space="preserve">A </w:t>
      </w:r>
      <w:r w:rsidR="00EC4881">
        <w:rPr>
          <w:rFonts w:asciiTheme="minorHAnsi" w:hAnsiTheme="minorHAnsi" w:cstheme="minorHAnsi"/>
          <w:b/>
          <w:bCs/>
        </w:rPr>
        <w:t>R</w:t>
      </w:r>
      <w:r w:rsidRPr="00C95105">
        <w:rPr>
          <w:rFonts w:asciiTheme="minorHAnsi" w:hAnsiTheme="minorHAnsi" w:cstheme="minorHAnsi"/>
          <w:b/>
          <w:bCs/>
        </w:rPr>
        <w:t xml:space="preserve">oadmap for </w:t>
      </w:r>
      <w:r w:rsidR="00EC4881">
        <w:rPr>
          <w:rFonts w:asciiTheme="minorHAnsi" w:hAnsiTheme="minorHAnsi" w:cstheme="minorHAnsi"/>
          <w:b/>
          <w:bCs/>
        </w:rPr>
        <w:t>A</w:t>
      </w:r>
      <w:r w:rsidRPr="00C95105">
        <w:rPr>
          <w:rFonts w:asciiTheme="minorHAnsi" w:hAnsiTheme="minorHAnsi" w:cstheme="minorHAnsi"/>
          <w:b/>
          <w:bCs/>
        </w:rPr>
        <w:t>ction</w:t>
      </w:r>
      <w:bookmarkEnd w:id="167"/>
      <w:r w:rsidRPr="00C95105">
        <w:rPr>
          <w:rFonts w:asciiTheme="minorHAnsi" w:hAnsiTheme="minorHAnsi" w:cstheme="minorHAnsi"/>
          <w:b/>
          <w:bCs/>
        </w:rPr>
        <w:t> </w:t>
      </w:r>
    </w:p>
    <w:p w14:paraId="39956829" w14:textId="77777777" w:rsidR="00033A81" w:rsidRPr="00C95105" w:rsidRDefault="003B7F36" w:rsidP="00033A81">
      <w:pPr>
        <w:spacing w:after="120"/>
        <w:ind w:firstLine="567"/>
        <w:rPr>
          <w:rFonts w:asciiTheme="minorHAnsi" w:eastAsiaTheme="minorEastAsia" w:hAnsiTheme="minorHAnsi" w:cstheme="minorHAnsi"/>
          <w:sz w:val="22"/>
          <w:szCs w:val="22"/>
        </w:rPr>
      </w:pPr>
      <w:r w:rsidRPr="00C95105">
        <w:rPr>
          <w:rFonts w:asciiTheme="minorHAnsi" w:eastAsiaTheme="minorEastAsia" w:hAnsiTheme="minorHAnsi" w:cstheme="minorHAnsi"/>
          <w:sz w:val="22"/>
          <w:szCs w:val="22"/>
        </w:rPr>
        <w:t xml:space="preserve">Our research identified individual, organisational, and societal factors that shape men’s uptake of parental leave. Here we focus on the organisational factors since these are within the scope of Gender Equality Action plans. Victorian Public Service organisations enjoy an auspicious context for developing a roadmap for action. </w:t>
      </w:r>
    </w:p>
    <w:p w14:paraId="2F6D3493" w14:textId="77777777" w:rsidR="00033A81" w:rsidRPr="00C95105" w:rsidRDefault="003B7F36" w:rsidP="00033A81">
      <w:pPr>
        <w:spacing w:after="120"/>
        <w:ind w:firstLine="567"/>
        <w:rPr>
          <w:rFonts w:asciiTheme="minorHAnsi" w:eastAsia="Calibri" w:hAnsiTheme="minorHAnsi" w:cstheme="minorHAnsi"/>
          <w:color w:val="000000" w:themeColor="text1"/>
          <w:sz w:val="22"/>
          <w:szCs w:val="22"/>
        </w:rPr>
      </w:pPr>
      <w:r w:rsidRPr="00C95105">
        <w:rPr>
          <w:rFonts w:asciiTheme="minorHAnsi" w:eastAsiaTheme="minorEastAsia" w:hAnsiTheme="minorHAnsi" w:cstheme="minorHAnsi"/>
          <w:sz w:val="22"/>
          <w:szCs w:val="22"/>
        </w:rPr>
        <w:t xml:space="preserve">The Victorian Public Service Enterprise Agreement (2020) entitles eligible employees to 16 weeks of paid parental leave as primary caregivers. Secondary caregivers are entitled to 4 weeks paid leave and an additional 12 weeks of paid leave if they take over the primary caregiving role. There are additional provisions for unpaid leave. </w:t>
      </w:r>
      <w:r w:rsidRPr="00C95105">
        <w:rPr>
          <w:rFonts w:asciiTheme="minorHAnsi" w:eastAsia="Calibri" w:hAnsiTheme="minorHAnsi" w:cstheme="minorHAnsi"/>
          <w:color w:val="000000" w:themeColor="text1"/>
          <w:sz w:val="22"/>
          <w:szCs w:val="22"/>
        </w:rPr>
        <w:t xml:space="preserve">(Different entitlements are in place for other defined entities under the Act.) Put in the context of the current findings, this means that eligible fathers are entitled to the same length of ear-marked, paid, parental leave as are mothers, even as so-called secondary caregivers. </w:t>
      </w:r>
    </w:p>
    <w:p w14:paraId="438E9EEC" w14:textId="37BA1E92" w:rsidR="003B7F36" w:rsidRPr="00C95105" w:rsidRDefault="003B7F36" w:rsidP="00033A81">
      <w:pPr>
        <w:spacing w:after="120"/>
        <w:ind w:firstLine="567"/>
        <w:rPr>
          <w:rFonts w:asciiTheme="minorHAnsi" w:eastAsia="Calibr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 xml:space="preserve">There are numerous toolkits and guides available for developing policies and strategies for embedding flexible work in organisations (Table </w:t>
      </w:r>
      <w:r w:rsidR="007C3B14" w:rsidRPr="00C95105">
        <w:rPr>
          <w:rFonts w:asciiTheme="minorHAnsi" w:eastAsia="Calibri" w:hAnsiTheme="minorHAnsi" w:cstheme="minorHAnsi"/>
          <w:color w:val="000000" w:themeColor="text1"/>
          <w:sz w:val="22"/>
          <w:szCs w:val="22"/>
        </w:rPr>
        <w:t>3.</w:t>
      </w:r>
      <w:r w:rsidRPr="00C95105">
        <w:rPr>
          <w:rFonts w:asciiTheme="minorHAnsi" w:eastAsia="Calibri" w:hAnsiTheme="minorHAnsi" w:cstheme="minorHAnsi"/>
          <w:color w:val="000000" w:themeColor="text1"/>
          <w:sz w:val="22"/>
          <w:szCs w:val="22"/>
        </w:rPr>
        <w:t>4). Rather than replicating these existing, excellent resources, we focus here specifically on identifying and addressing organisational gender-related factors. The current evidence gap points to the need for more research. In the interim, organisations will need to draw on the quantitative and qualitative data they collect as part of their obligations under the Act to establish baseline data, and to develop and test strategies to shift gendered patterns on this gender indicator. With this challenge in mind, we make some practical suggestions below.</w:t>
      </w:r>
    </w:p>
    <w:p w14:paraId="51738B97" w14:textId="77777777" w:rsidR="003B7F36" w:rsidRPr="00C95105" w:rsidRDefault="003B7F36" w:rsidP="004011EB">
      <w:pPr>
        <w:spacing w:after="120"/>
        <w:ind w:firstLine="720"/>
        <w:rPr>
          <w:rFonts w:asciiTheme="minorHAnsi" w:eastAsia="Calibri" w:hAnsiTheme="minorHAnsi" w:cstheme="minorHAnsi"/>
          <w:color w:val="000000" w:themeColor="text1"/>
          <w:sz w:val="22"/>
          <w:szCs w:val="22"/>
        </w:rPr>
      </w:pPr>
    </w:p>
    <w:p w14:paraId="58BF011C" w14:textId="0563BCE8" w:rsidR="003B7F36" w:rsidRPr="00C95105" w:rsidRDefault="003B7F36" w:rsidP="0093280F">
      <w:pPr>
        <w:pStyle w:val="Heading3"/>
        <w:numPr>
          <w:ilvl w:val="2"/>
          <w:numId w:val="9"/>
        </w:numPr>
        <w:spacing w:before="0" w:after="120"/>
        <w:ind w:left="567" w:hanging="567"/>
        <w:rPr>
          <w:rFonts w:asciiTheme="minorHAnsi" w:hAnsiTheme="minorHAnsi" w:cstheme="minorHAnsi"/>
          <w:b/>
          <w:bCs/>
          <w:i/>
          <w:iCs/>
          <w:color w:val="2F5496" w:themeColor="accent1" w:themeShade="BF"/>
          <w:sz w:val="22"/>
          <w:szCs w:val="22"/>
        </w:rPr>
      </w:pPr>
      <w:bookmarkStart w:id="168" w:name="_Toc96957694"/>
      <w:r w:rsidRPr="00C95105">
        <w:rPr>
          <w:rFonts w:asciiTheme="minorHAnsi" w:hAnsiTheme="minorHAnsi" w:cstheme="minorHAnsi"/>
          <w:b/>
          <w:bCs/>
          <w:i/>
          <w:iCs/>
          <w:color w:val="2F5496" w:themeColor="accent1" w:themeShade="BF"/>
          <w:sz w:val="22"/>
          <w:szCs w:val="22"/>
        </w:rPr>
        <w:t>Use available data to identify concerns about flexibility stigma</w:t>
      </w:r>
      <w:bookmarkEnd w:id="168"/>
      <w:r w:rsidRPr="00C95105">
        <w:rPr>
          <w:rFonts w:asciiTheme="minorHAnsi" w:hAnsiTheme="minorHAnsi" w:cstheme="minorHAnsi"/>
          <w:b/>
          <w:bCs/>
          <w:i/>
          <w:iCs/>
          <w:color w:val="2F5496" w:themeColor="accent1" w:themeShade="BF"/>
          <w:sz w:val="22"/>
          <w:szCs w:val="22"/>
        </w:rPr>
        <w:t xml:space="preserve"> </w:t>
      </w:r>
    </w:p>
    <w:p w14:paraId="329A8689" w14:textId="77777777" w:rsidR="003B7F36" w:rsidRPr="00C95105" w:rsidRDefault="003B7F36" w:rsidP="00033A81">
      <w:pPr>
        <w:spacing w:after="120"/>
        <w:ind w:firstLine="567"/>
        <w:rPr>
          <w:rFonts w:asciiTheme="minorHAnsi" w:eastAsia="Calibr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Questions relating to flexible work and carer leave in the Employee experience/People Matter survey data will provide insights into employees’ perceptions of organisational norms regarding flexible work and carer leave. Disaggregation of the data by gender and, where possible, other characteristics, may help indicate where in the organisation these barriers to uptake are most intense. This may assist in prioritising managers for training or assistance in responding to requests for flexible work arrangements.</w:t>
      </w:r>
    </w:p>
    <w:p w14:paraId="6D27F6CE" w14:textId="77777777" w:rsidR="003B7F36" w:rsidRPr="00C95105" w:rsidRDefault="003B7F36" w:rsidP="004011EB">
      <w:pPr>
        <w:spacing w:after="120"/>
        <w:ind w:firstLine="720"/>
        <w:rPr>
          <w:rFonts w:asciiTheme="minorHAnsi" w:eastAsia="Calibri" w:hAnsiTheme="minorHAnsi" w:cstheme="minorHAnsi"/>
          <w:color w:val="000000" w:themeColor="text1"/>
          <w:sz w:val="22"/>
          <w:szCs w:val="22"/>
        </w:rPr>
      </w:pPr>
    </w:p>
    <w:p w14:paraId="31343027" w14:textId="2D93081B" w:rsidR="003B7F36" w:rsidRPr="00C95105" w:rsidRDefault="003B7F36" w:rsidP="0093280F">
      <w:pPr>
        <w:pStyle w:val="Heading3"/>
        <w:numPr>
          <w:ilvl w:val="2"/>
          <w:numId w:val="9"/>
        </w:numPr>
        <w:spacing w:before="0" w:after="120"/>
        <w:ind w:left="567" w:hanging="567"/>
        <w:rPr>
          <w:rFonts w:asciiTheme="minorHAnsi" w:hAnsiTheme="minorHAnsi" w:cstheme="minorHAnsi"/>
          <w:b/>
          <w:bCs/>
          <w:i/>
          <w:iCs/>
          <w:color w:val="2F5496" w:themeColor="accent1" w:themeShade="BF"/>
          <w:sz w:val="22"/>
          <w:szCs w:val="22"/>
        </w:rPr>
      </w:pPr>
      <w:bookmarkStart w:id="169" w:name="_Toc96957695"/>
      <w:r w:rsidRPr="00C95105">
        <w:rPr>
          <w:rFonts w:asciiTheme="minorHAnsi" w:hAnsiTheme="minorHAnsi" w:cstheme="minorHAnsi"/>
          <w:b/>
          <w:bCs/>
          <w:i/>
          <w:iCs/>
          <w:color w:val="2F5496" w:themeColor="accent1" w:themeShade="BF"/>
          <w:sz w:val="22"/>
          <w:szCs w:val="22"/>
        </w:rPr>
        <w:t>Align promotion of flexible work and carer leave with Victorian Public Service purpose</w:t>
      </w:r>
      <w:bookmarkEnd w:id="169"/>
    </w:p>
    <w:p w14:paraId="605F70CB" w14:textId="77777777" w:rsidR="00855410" w:rsidRPr="00C95105" w:rsidRDefault="003B7F36" w:rsidP="00033A81">
      <w:pPr>
        <w:spacing w:after="120"/>
        <w:ind w:firstLine="567"/>
        <w:rPr>
          <w:rFonts w:asciiTheme="minorHAnsi" w:eastAsia="Calibr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 xml:space="preserve">While it is routinely argued that establishing a business case for the promotion of flexible work is important, the ethical dimension is often overlooked. Flexible work arrangements enhance people’s capacity to combine fulfilling paid work with other valued activities. This is of benefit to all employees, a point worth emphasising. </w:t>
      </w:r>
    </w:p>
    <w:p w14:paraId="3A2810A0" w14:textId="410E65AD" w:rsidR="003B7F36" w:rsidRPr="00C95105" w:rsidRDefault="003B7F36" w:rsidP="00033A81">
      <w:pPr>
        <w:spacing w:after="120"/>
        <w:ind w:firstLine="567"/>
        <w:rPr>
          <w:rFonts w:asciiTheme="minorHAnsi" w:eastAsia="Calibr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 xml:space="preserve">However, it is also the case that unpaid care work makes an essential and substantial contribution to society. Many people enjoy benefits from the unpaid work of raising the future generation of workers, tax-payers, and citizens (England &amp; Folbre, 1999). This point should have a </w:t>
      </w:r>
      <w:r w:rsidRPr="00C95105">
        <w:rPr>
          <w:rFonts w:asciiTheme="minorHAnsi" w:eastAsia="Calibri" w:hAnsiTheme="minorHAnsi" w:cstheme="minorHAnsi"/>
          <w:color w:val="000000" w:themeColor="text1"/>
          <w:sz w:val="22"/>
          <w:szCs w:val="22"/>
        </w:rPr>
        <w:lastRenderedPageBreak/>
        <w:t xml:space="preserve">special resonance within the Victorian Public Sector, given its purpose to serve the Victorian community. Recognising the true value of this work, and the contribution it makes to society, may help to destigmatise flexible work. </w:t>
      </w:r>
    </w:p>
    <w:p w14:paraId="2E129667" w14:textId="77777777" w:rsidR="003B7F36" w:rsidRPr="00C95105" w:rsidRDefault="003B7F36" w:rsidP="004011EB">
      <w:pPr>
        <w:spacing w:after="120"/>
        <w:rPr>
          <w:rFonts w:asciiTheme="minorHAnsi" w:eastAsia="Calibri" w:hAnsiTheme="minorHAnsi" w:cstheme="minorHAnsi"/>
          <w:color w:val="000000" w:themeColor="text1"/>
          <w:sz w:val="22"/>
          <w:szCs w:val="22"/>
        </w:rPr>
      </w:pPr>
    </w:p>
    <w:p w14:paraId="1A20C3D0" w14:textId="0F0420B9" w:rsidR="003B7F36" w:rsidRPr="00C95105" w:rsidRDefault="003B7F36" w:rsidP="0093280F">
      <w:pPr>
        <w:pStyle w:val="Heading3"/>
        <w:numPr>
          <w:ilvl w:val="2"/>
          <w:numId w:val="9"/>
        </w:numPr>
        <w:spacing w:before="0" w:after="120"/>
        <w:ind w:left="567" w:hanging="567"/>
        <w:rPr>
          <w:rFonts w:asciiTheme="minorHAnsi" w:hAnsiTheme="minorHAnsi" w:cstheme="minorHAnsi"/>
          <w:b/>
          <w:bCs/>
          <w:i/>
          <w:iCs/>
          <w:color w:val="2F5496" w:themeColor="accent1" w:themeShade="BF"/>
          <w:sz w:val="22"/>
          <w:szCs w:val="22"/>
        </w:rPr>
      </w:pPr>
      <w:bookmarkStart w:id="170" w:name="_Toc96957696"/>
      <w:r w:rsidRPr="00C95105">
        <w:rPr>
          <w:rFonts w:asciiTheme="minorHAnsi" w:hAnsiTheme="minorHAnsi" w:cstheme="minorHAnsi"/>
          <w:b/>
          <w:bCs/>
          <w:i/>
          <w:iCs/>
          <w:color w:val="2F5496" w:themeColor="accent1" w:themeShade="BF"/>
          <w:sz w:val="22"/>
          <w:szCs w:val="22"/>
        </w:rPr>
        <w:t>Consider whether policies, norms and practices are “masculine defaults”</w:t>
      </w:r>
      <w:bookmarkEnd w:id="170"/>
    </w:p>
    <w:p w14:paraId="7604C698" w14:textId="26A1E19C" w:rsidR="003B7F36" w:rsidRPr="00C95105" w:rsidRDefault="003B7F36" w:rsidP="00855410">
      <w:pPr>
        <w:spacing w:after="120"/>
        <w:ind w:firstLine="567"/>
        <w:rPr>
          <w:rFonts w:asciiTheme="minorHAnsi" w:eastAsia="Calibr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 xml:space="preserve">Prior to the passage of anti-discrimination legislation, it was normative for jobs to be gender-segregated (as well as by race and class). Jobs may retain a legacy of practices and norms that are designed by and for the traditional incumbents of the role (Cheryan &amp; Markus, 2020; Ely &amp; Meyerson, 2000). Practices that appear to be rational and gender-neutral, such as using constant availability and overwork as a proxy for commitment, may particularly disadvantage women, gay men, single mothers, and </w:t>
      </w:r>
      <w:r w:rsidR="005E7DD1" w:rsidRPr="00C95105">
        <w:rPr>
          <w:rFonts w:asciiTheme="minorHAnsi" w:eastAsia="Calibri" w:hAnsiTheme="minorHAnsi" w:cstheme="minorHAnsi"/>
          <w:color w:val="000000" w:themeColor="text1"/>
          <w:sz w:val="22"/>
          <w:szCs w:val="22"/>
        </w:rPr>
        <w:t>low-income</w:t>
      </w:r>
      <w:r w:rsidRPr="00C95105">
        <w:rPr>
          <w:rFonts w:asciiTheme="minorHAnsi" w:eastAsia="Calibri" w:hAnsiTheme="minorHAnsi" w:cstheme="minorHAnsi"/>
          <w:color w:val="000000" w:themeColor="text1"/>
          <w:sz w:val="22"/>
          <w:szCs w:val="22"/>
        </w:rPr>
        <w:t xml:space="preserve"> women, who are less likely to have a partner at home who takes primary responsibility for unpaid household labour, or to be able to afford to outsource it (Ely &amp; Meyerson, 2000). Not all work can be done flexibly (Goldin, 2021), whether in relation to time or venue. However, it’s always worth questioning whether a particular inflexibility is genuinely due to a business necessity, or if it is a masculine default.   </w:t>
      </w:r>
    </w:p>
    <w:p w14:paraId="3043B2BA" w14:textId="77777777" w:rsidR="003B7F36" w:rsidRPr="00C95105" w:rsidRDefault="003B7F36" w:rsidP="004011EB">
      <w:pPr>
        <w:spacing w:after="120"/>
        <w:rPr>
          <w:rFonts w:asciiTheme="minorHAnsi" w:eastAsia="Calibri" w:hAnsiTheme="minorHAnsi" w:cstheme="minorHAnsi"/>
          <w:color w:val="000000" w:themeColor="text1"/>
          <w:sz w:val="22"/>
          <w:szCs w:val="22"/>
        </w:rPr>
      </w:pPr>
    </w:p>
    <w:p w14:paraId="302C46A3" w14:textId="1F40D4F7" w:rsidR="003B7F36" w:rsidRPr="00C95105" w:rsidRDefault="003B7F36" w:rsidP="0093280F">
      <w:pPr>
        <w:pStyle w:val="Heading3"/>
        <w:numPr>
          <w:ilvl w:val="2"/>
          <w:numId w:val="9"/>
        </w:numPr>
        <w:spacing w:before="0" w:after="120"/>
        <w:ind w:left="567" w:hanging="567"/>
        <w:rPr>
          <w:rFonts w:asciiTheme="minorHAnsi" w:hAnsiTheme="minorHAnsi" w:cstheme="minorHAnsi"/>
          <w:b/>
          <w:bCs/>
          <w:i/>
          <w:iCs/>
          <w:color w:val="2F5496" w:themeColor="accent1" w:themeShade="BF"/>
          <w:sz w:val="22"/>
          <w:szCs w:val="22"/>
        </w:rPr>
      </w:pPr>
      <w:bookmarkStart w:id="171" w:name="_Toc96957697"/>
      <w:r w:rsidRPr="00C95105">
        <w:rPr>
          <w:rFonts w:asciiTheme="minorHAnsi" w:hAnsiTheme="minorHAnsi" w:cstheme="minorHAnsi"/>
          <w:b/>
          <w:bCs/>
          <w:i/>
          <w:iCs/>
          <w:color w:val="2F5496" w:themeColor="accent1" w:themeShade="BF"/>
          <w:sz w:val="22"/>
          <w:szCs w:val="22"/>
        </w:rPr>
        <w:t>Create a sense of entitlement to carer leave in men</w:t>
      </w:r>
      <w:bookmarkEnd w:id="171"/>
    </w:p>
    <w:p w14:paraId="2D9EB67B" w14:textId="77777777" w:rsidR="003B7F36" w:rsidRPr="00C95105" w:rsidRDefault="003B7F36" w:rsidP="005E7DD1">
      <w:pPr>
        <w:spacing w:after="120"/>
        <w:ind w:firstLine="567"/>
        <w:rPr>
          <w:rFonts w:asciiTheme="minorHAnsi" w:eastAsia="Calibr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Our review pointed to the importance of earmarked fathers’ leave for trumping traditional gender attitudes and masculine norms. The VPS Enterprise Agreement uses the gender-neutral terminology of primary and secondary caregivers. Importantly, this language is fully inclusive of gender and sexual minorities, as well as non-nuclear households. However, it nonetheless implicitly cleaves to a traditional breadwinner/homemaker model by nominating one parent – who will typically be the father – as the “secondary” caregiver. Ensuring that fathers are recognised as such in the workplace, and promoting their entitlement, as fathers, to 16 weeks of paid parental leave in total, may help to overcome the barrier of masculine norms.</w:t>
      </w:r>
      <w:r w:rsidRPr="00C95105">
        <w:rPr>
          <w:rFonts w:asciiTheme="minorHAnsi" w:hAnsiTheme="minorHAnsi" w:cstheme="minorHAnsi"/>
          <w:sz w:val="22"/>
          <w:szCs w:val="22"/>
        </w:rPr>
        <w:t> </w:t>
      </w:r>
    </w:p>
    <w:p w14:paraId="5DC7E6CA" w14:textId="1FB7D7AB" w:rsidR="003B7F36" w:rsidRPr="00C95105" w:rsidRDefault="003B7F36" w:rsidP="004011EB">
      <w:pPr>
        <w:spacing w:after="120"/>
        <w:textAlignment w:val="baseline"/>
        <w:rPr>
          <w:rFonts w:asciiTheme="minorHAnsi" w:hAnsiTheme="minorHAnsi" w:cstheme="minorHAnsi"/>
          <w:sz w:val="18"/>
          <w:szCs w:val="18"/>
        </w:rPr>
      </w:pPr>
    </w:p>
    <w:p w14:paraId="306EBD24" w14:textId="75805F79" w:rsidR="003B7F36" w:rsidRPr="00C95105" w:rsidRDefault="003B7F36" w:rsidP="0093280F">
      <w:pPr>
        <w:pStyle w:val="Heading2"/>
        <w:numPr>
          <w:ilvl w:val="1"/>
          <w:numId w:val="9"/>
        </w:numPr>
        <w:spacing w:before="0" w:after="120"/>
        <w:ind w:left="426" w:hanging="437"/>
        <w:rPr>
          <w:rFonts w:asciiTheme="minorHAnsi" w:hAnsiTheme="minorHAnsi" w:cstheme="minorHAnsi"/>
          <w:b/>
          <w:bCs/>
        </w:rPr>
      </w:pPr>
      <w:bookmarkStart w:id="172" w:name="_Toc96957698"/>
      <w:r w:rsidRPr="00C95105">
        <w:rPr>
          <w:rFonts w:asciiTheme="minorHAnsi" w:hAnsiTheme="minorHAnsi" w:cstheme="minorHAnsi"/>
          <w:b/>
          <w:bCs/>
        </w:rPr>
        <w:t>Conclusions</w:t>
      </w:r>
      <w:bookmarkEnd w:id="172"/>
      <w:r w:rsidRPr="00C95105">
        <w:rPr>
          <w:rFonts w:asciiTheme="minorHAnsi" w:hAnsiTheme="minorHAnsi" w:cstheme="minorHAnsi"/>
          <w:b/>
          <w:bCs/>
        </w:rPr>
        <w:t> </w:t>
      </w:r>
    </w:p>
    <w:p w14:paraId="75523E8C" w14:textId="77777777" w:rsidR="005E7DD1" w:rsidRPr="00C95105" w:rsidRDefault="003B7F36" w:rsidP="005E7DD1">
      <w:pPr>
        <w:spacing w:after="120"/>
        <w:ind w:firstLine="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Research on flexible work, and the associated concept of work-life balance, has understandably tended to focus on the experiences of women, especially mothers. It is only relatively recently that interest has broadened to include fathers (and other demographics, including for those without children). Indeed, it is noteworthy that all but two of our eligible studies were published in the last two decades, with about a third published between 2019 and 2021. The nascent nature of the literature helps to account for why, despite the many forms that flexible work can take, our eligible studies focused almost exclusively on men’s uptake of parental/paternity leave. It therefore remains an open question to what extent the findings and recommendations presented here can be generalised to other, less time-circumscribed, forms of flexible work. </w:t>
      </w:r>
    </w:p>
    <w:p w14:paraId="6E3E598C" w14:textId="29747FA9" w:rsidR="003B7F36" w:rsidRPr="00C95105" w:rsidRDefault="003B7F36" w:rsidP="005E7DD1">
      <w:pPr>
        <w:spacing w:after="120"/>
        <w:ind w:firstLine="567"/>
        <w:textAlignment w:val="baseline"/>
        <w:rPr>
          <w:rFonts w:asciiTheme="minorHAnsi" w:hAnsiTheme="minorHAnsi" w:cstheme="minorHAnsi"/>
          <w:sz w:val="18"/>
          <w:szCs w:val="18"/>
        </w:rPr>
      </w:pPr>
      <w:r w:rsidRPr="00C95105">
        <w:rPr>
          <w:rFonts w:asciiTheme="minorHAnsi" w:hAnsiTheme="minorHAnsi" w:cstheme="minorHAnsi"/>
          <w:color w:val="000000" w:themeColor="text1"/>
          <w:sz w:val="22"/>
          <w:szCs w:val="22"/>
        </w:rPr>
        <w:t>Nonetheless, it seems likely that similar principles will apply. Our findings suggest that intrahousehold income inequality and unsupportive organisational culture are key barriers to more equal uptake of parental leave between couples, and that the income and career opportunity costs associated with taking leave may disproportionately inhibit both low- and high-income men (in the case of heterosexual couples). So long as flexible forms of work, such as part-time hours, are associated with economic and career progression penalties, this will create barriers to their uptake by the higher earner within the household (including for same-sex couples). This conclusion points to the interrelations between flexible work and other gender indicators, particularly gender pay equity, gender composition, and promotion.   </w:t>
      </w:r>
    </w:p>
    <w:p w14:paraId="7A618076" w14:textId="77777777" w:rsidR="003B7F36" w:rsidRPr="00C95105" w:rsidRDefault="003B7F36" w:rsidP="004011EB">
      <w:pPr>
        <w:spacing w:after="120"/>
        <w:textAlignment w:val="baseline"/>
        <w:rPr>
          <w:rFonts w:asciiTheme="minorHAnsi" w:hAnsiTheme="minorHAnsi" w:cstheme="minorHAnsi"/>
          <w:sz w:val="18"/>
          <w:szCs w:val="18"/>
        </w:rPr>
      </w:pPr>
      <w:r w:rsidRPr="00C95105">
        <w:rPr>
          <w:rFonts w:asciiTheme="minorHAnsi" w:hAnsiTheme="minorHAnsi" w:cstheme="minorHAnsi"/>
          <w:sz w:val="22"/>
          <w:szCs w:val="22"/>
        </w:rPr>
        <w:t> </w:t>
      </w:r>
    </w:p>
    <w:p w14:paraId="098A196B" w14:textId="335E2C2B" w:rsidR="003B7F36" w:rsidRPr="00C95105" w:rsidRDefault="003B7F36" w:rsidP="0093280F">
      <w:pPr>
        <w:pStyle w:val="Heading2"/>
        <w:numPr>
          <w:ilvl w:val="1"/>
          <w:numId w:val="9"/>
        </w:numPr>
        <w:spacing w:before="0" w:after="120"/>
        <w:ind w:left="426" w:hanging="437"/>
        <w:rPr>
          <w:rFonts w:asciiTheme="minorHAnsi" w:hAnsiTheme="minorHAnsi" w:cstheme="minorHAnsi"/>
          <w:b/>
          <w:bCs/>
        </w:rPr>
      </w:pPr>
      <w:bookmarkStart w:id="173" w:name="_Toc96957699"/>
      <w:r w:rsidRPr="00C95105">
        <w:rPr>
          <w:rFonts w:asciiTheme="minorHAnsi" w:hAnsiTheme="minorHAnsi" w:cstheme="minorHAnsi"/>
          <w:b/>
          <w:bCs/>
        </w:rPr>
        <w:lastRenderedPageBreak/>
        <w:t>Cited References</w:t>
      </w:r>
      <w:bookmarkEnd w:id="173"/>
      <w:r w:rsidRPr="00C95105">
        <w:rPr>
          <w:rFonts w:asciiTheme="minorHAnsi" w:hAnsiTheme="minorHAnsi" w:cstheme="minorHAnsi"/>
          <w:b/>
          <w:bCs/>
        </w:rPr>
        <w:t> </w:t>
      </w:r>
    </w:p>
    <w:p w14:paraId="12B5A7BE" w14:textId="7001D83C" w:rsidR="25E850DF" w:rsidRPr="00C95105" w:rsidRDefault="00624105" w:rsidP="0F4DB4AB">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Abrami, P. C., Borokhovski, E., Bernard, R. M., Wade, C. A., Tamim, R., Persson, T., Bethel, E. C., Hanz, K., &amp; Surkes, M. A. (2010). Issues in conducting and disseminating brief reviews of evidence. </w:t>
      </w:r>
      <w:r w:rsidRPr="00C95105">
        <w:rPr>
          <w:rFonts w:asciiTheme="minorHAnsi" w:hAnsiTheme="minorHAnsi" w:cstheme="minorHAnsi"/>
          <w:i/>
          <w:iCs/>
          <w:sz w:val="22"/>
          <w:szCs w:val="22"/>
          <w:lang w:val="en-AU"/>
        </w:rPr>
        <w:t>Evidence &amp; Policy: A Journal of Research, Debate and Practice</w:t>
      </w:r>
      <w:r w:rsidRPr="00C95105">
        <w:rPr>
          <w:rFonts w:asciiTheme="minorHAnsi" w:hAnsiTheme="minorHAnsi" w:cstheme="minorHAnsi"/>
          <w:sz w:val="22"/>
          <w:szCs w:val="22"/>
          <w:lang w:val="en-AU"/>
        </w:rPr>
        <w:t xml:space="preserve">, </w:t>
      </w:r>
      <w:r w:rsidRPr="00C95105">
        <w:rPr>
          <w:rFonts w:asciiTheme="minorHAnsi" w:hAnsiTheme="minorHAnsi" w:cstheme="minorHAnsi"/>
          <w:i/>
          <w:iCs/>
          <w:sz w:val="22"/>
          <w:szCs w:val="22"/>
          <w:lang w:val="en-AU"/>
        </w:rPr>
        <w:t>6</w:t>
      </w:r>
      <w:r w:rsidRPr="00C95105">
        <w:rPr>
          <w:rFonts w:asciiTheme="minorHAnsi" w:hAnsiTheme="minorHAnsi" w:cstheme="minorHAnsi"/>
          <w:sz w:val="22"/>
          <w:szCs w:val="22"/>
          <w:lang w:val="en-AU"/>
        </w:rPr>
        <w:t>(3), 371-389.</w:t>
      </w:r>
    </w:p>
    <w:p w14:paraId="41E28022" w14:textId="77777777" w:rsidR="003B7F36" w:rsidRPr="00C95105" w:rsidRDefault="003B7F36" w:rsidP="005E7DD1">
      <w:pPr>
        <w:spacing w:after="120"/>
        <w:ind w:left="567" w:hanging="567"/>
        <w:textAlignment w:val="baseline"/>
        <w:rPr>
          <w:rStyle w:val="Hyperlink"/>
          <w:rFonts w:asciiTheme="minorHAnsi" w:hAnsiTheme="minorHAnsi" w:cstheme="minorHAnsi"/>
          <w:sz w:val="22"/>
          <w:szCs w:val="22"/>
          <w:shd w:val="clear" w:color="auto" w:fill="FFFFFF"/>
        </w:rPr>
      </w:pPr>
      <w:r w:rsidRPr="00C95105">
        <w:rPr>
          <w:rFonts w:asciiTheme="minorHAnsi" w:hAnsiTheme="minorHAnsi" w:cstheme="minorHAnsi"/>
          <w:sz w:val="22"/>
          <w:szCs w:val="22"/>
        </w:rPr>
        <w:t xml:space="preserve">Australian Human Rights Commission. (2014). </w:t>
      </w:r>
      <w:r w:rsidRPr="00C95105">
        <w:rPr>
          <w:rFonts w:asciiTheme="minorHAnsi" w:hAnsiTheme="minorHAnsi" w:cstheme="minorHAnsi"/>
          <w:i/>
          <w:iCs/>
          <w:sz w:val="22"/>
          <w:szCs w:val="22"/>
        </w:rPr>
        <w:t>Supporting working parents: Pregnancy and return to work national review. Sydney: Australian Human Rights Commission</w:t>
      </w:r>
      <w:r w:rsidRPr="00C95105">
        <w:rPr>
          <w:rFonts w:asciiTheme="minorHAnsi" w:hAnsiTheme="minorHAnsi" w:cstheme="minorHAnsi"/>
          <w:sz w:val="22"/>
          <w:szCs w:val="22"/>
        </w:rPr>
        <w:t xml:space="preserve">. Retrieved from </w:t>
      </w:r>
      <w:r w:rsidRPr="00C95105">
        <w:rPr>
          <w:rStyle w:val="Hyperlink"/>
          <w:rFonts w:asciiTheme="minorHAnsi" w:hAnsiTheme="minorHAnsi" w:cstheme="minorHAnsi"/>
          <w:sz w:val="22"/>
          <w:szCs w:val="22"/>
          <w:shd w:val="clear" w:color="auto" w:fill="FFFFFF"/>
        </w:rPr>
        <w:t>https://humanrights.gov.au/our-work/sex-discrimination/publications/supporting-working-parents-pregnancy-and-return-work</w:t>
      </w:r>
    </w:p>
    <w:p w14:paraId="0EE6E773" w14:textId="1AA67899" w:rsidR="003B7F36" w:rsidRPr="00C95105" w:rsidRDefault="003B7F36" w:rsidP="005E7DD1">
      <w:pPr>
        <w:autoSpaceDE w:val="0"/>
        <w:autoSpaceDN w:val="0"/>
        <w:adjustRightInd w:val="0"/>
        <w:spacing w:after="120"/>
        <w:ind w:left="567" w:hanging="567"/>
        <w:rPr>
          <w:rStyle w:val="normaltextrun"/>
          <w:rFonts w:asciiTheme="minorHAnsi" w:hAnsiTheme="minorHAnsi" w:cstheme="minorHAnsi"/>
          <w:sz w:val="22"/>
          <w:szCs w:val="22"/>
        </w:rPr>
      </w:pPr>
      <w:r w:rsidRPr="00C95105">
        <w:rPr>
          <w:rFonts w:asciiTheme="minorHAnsi" w:hAnsiTheme="minorHAnsi" w:cstheme="minorHAnsi"/>
          <w:sz w:val="22"/>
          <w:szCs w:val="22"/>
        </w:rPr>
        <w:t>Blair-Loy, M. (2010). Moral dimensions of the work-family nexus. In S. Hitlin &amp; S. Vaisey (Eds.),</w:t>
      </w:r>
      <w:r w:rsidR="005E7DD1" w:rsidRPr="00C95105">
        <w:rPr>
          <w:rFonts w:asciiTheme="minorHAnsi" w:hAnsiTheme="minorHAnsi" w:cstheme="minorHAnsi"/>
          <w:sz w:val="22"/>
          <w:szCs w:val="22"/>
        </w:rPr>
        <w:t xml:space="preserve"> </w:t>
      </w:r>
      <w:r w:rsidRPr="00C95105">
        <w:rPr>
          <w:rFonts w:asciiTheme="minorHAnsi" w:hAnsiTheme="minorHAnsi" w:cstheme="minorHAnsi"/>
          <w:i/>
          <w:iCs/>
          <w:sz w:val="22"/>
          <w:szCs w:val="22"/>
        </w:rPr>
        <w:t xml:space="preserve">Handbook of the sociology of morality </w:t>
      </w:r>
      <w:r w:rsidRPr="00C95105">
        <w:rPr>
          <w:rFonts w:asciiTheme="minorHAnsi" w:hAnsiTheme="minorHAnsi" w:cstheme="minorHAnsi"/>
          <w:sz w:val="22"/>
          <w:szCs w:val="22"/>
        </w:rPr>
        <w:t>(pp. 439–453). New York: Springer.</w:t>
      </w:r>
    </w:p>
    <w:p w14:paraId="4B49DA2E" w14:textId="52B7217D" w:rsidR="003B7F36" w:rsidRPr="00C95105" w:rsidRDefault="003B7F36" w:rsidP="005E7DD1">
      <w:pPr>
        <w:spacing w:after="120"/>
        <w:ind w:left="567" w:hanging="567"/>
        <w:textAlignment w:val="baseline"/>
        <w:rPr>
          <w:rStyle w:val="eop"/>
          <w:rFonts w:asciiTheme="minorHAnsi" w:hAnsiTheme="minorHAnsi" w:cstheme="minorHAnsi"/>
          <w:color w:val="000000"/>
          <w:sz w:val="22"/>
          <w:szCs w:val="22"/>
          <w:shd w:val="clear" w:color="auto" w:fill="FFFFFF"/>
        </w:rPr>
      </w:pPr>
      <w:r w:rsidRPr="00C95105">
        <w:rPr>
          <w:rStyle w:val="normaltextrun"/>
          <w:rFonts w:asciiTheme="minorHAnsi" w:hAnsiTheme="minorHAnsi" w:cstheme="minorHAnsi"/>
          <w:color w:val="000000"/>
          <w:sz w:val="22"/>
          <w:szCs w:val="22"/>
          <w:shd w:val="clear" w:color="auto" w:fill="FFFFFF"/>
        </w:rPr>
        <w:t xml:space="preserve">Charles, M., &amp; Grusky, D. B. (2004). </w:t>
      </w:r>
      <w:r w:rsidRPr="00C95105">
        <w:rPr>
          <w:rStyle w:val="normaltextrun"/>
          <w:rFonts w:asciiTheme="minorHAnsi" w:hAnsiTheme="minorHAnsi" w:cstheme="minorHAnsi"/>
          <w:i/>
          <w:iCs/>
          <w:color w:val="000000"/>
          <w:sz w:val="22"/>
          <w:szCs w:val="22"/>
          <w:shd w:val="clear" w:color="auto" w:fill="FFFFFF"/>
        </w:rPr>
        <w:t>Occupational Ghettos: The Worldwide Segregation of Women and Men</w:t>
      </w:r>
      <w:r w:rsidRPr="00C95105">
        <w:rPr>
          <w:rStyle w:val="normaltextrun"/>
          <w:rFonts w:asciiTheme="minorHAnsi" w:hAnsiTheme="minorHAnsi" w:cstheme="minorHAnsi"/>
          <w:color w:val="000000"/>
          <w:sz w:val="22"/>
          <w:szCs w:val="22"/>
          <w:shd w:val="clear" w:color="auto" w:fill="FFFFFF"/>
        </w:rPr>
        <w:t>. Stanford: Stanford University Press. </w:t>
      </w:r>
      <w:r w:rsidRPr="00C95105">
        <w:rPr>
          <w:rStyle w:val="eop"/>
          <w:rFonts w:asciiTheme="minorHAnsi" w:hAnsiTheme="minorHAnsi" w:cstheme="minorHAnsi"/>
          <w:color w:val="000000"/>
          <w:sz w:val="22"/>
          <w:szCs w:val="22"/>
          <w:shd w:val="clear" w:color="auto" w:fill="FFFFFF"/>
        </w:rPr>
        <w:t> </w:t>
      </w:r>
    </w:p>
    <w:p w14:paraId="6B43E16A" w14:textId="551ABBED" w:rsidR="003B7F36" w:rsidRPr="00C95105" w:rsidRDefault="003B7F36" w:rsidP="005E7DD1">
      <w:pPr>
        <w:spacing w:after="120"/>
        <w:ind w:left="567" w:hanging="567"/>
        <w:textAlignment w:val="baseline"/>
        <w:rPr>
          <w:rStyle w:val="Hyperlink"/>
          <w:rFonts w:asciiTheme="minorHAnsi" w:hAnsiTheme="minorHAnsi" w:cstheme="minorHAnsi"/>
          <w:sz w:val="22"/>
          <w:szCs w:val="22"/>
          <w:shd w:val="clear" w:color="auto" w:fill="FFFFFF"/>
        </w:rPr>
      </w:pPr>
      <w:r w:rsidRPr="00C95105">
        <w:rPr>
          <w:rStyle w:val="eop"/>
          <w:rFonts w:asciiTheme="minorHAnsi" w:hAnsiTheme="minorHAnsi" w:cstheme="minorHAnsi"/>
          <w:color w:val="000000"/>
          <w:sz w:val="22"/>
          <w:szCs w:val="22"/>
          <w:shd w:val="clear" w:color="auto" w:fill="FFFFFF"/>
        </w:rPr>
        <w:t>Cheryan, S., &amp; Markus, H.</w:t>
      </w:r>
      <w:r w:rsidR="005E7DD1" w:rsidRPr="00C95105">
        <w:rPr>
          <w:rStyle w:val="eop"/>
          <w:rFonts w:asciiTheme="minorHAnsi" w:hAnsiTheme="minorHAnsi" w:cstheme="minorHAnsi"/>
          <w:color w:val="000000"/>
          <w:sz w:val="22"/>
          <w:szCs w:val="22"/>
          <w:shd w:val="clear" w:color="auto" w:fill="FFFFFF"/>
        </w:rPr>
        <w:t xml:space="preserve"> </w:t>
      </w:r>
      <w:r w:rsidRPr="00C95105">
        <w:rPr>
          <w:rStyle w:val="eop"/>
          <w:rFonts w:asciiTheme="minorHAnsi" w:hAnsiTheme="minorHAnsi" w:cstheme="minorHAnsi"/>
          <w:color w:val="000000"/>
          <w:sz w:val="22"/>
          <w:szCs w:val="22"/>
          <w:shd w:val="clear" w:color="auto" w:fill="FFFFFF"/>
        </w:rPr>
        <w:t xml:space="preserve">R. (2020). Masculine defaults: Identifying and mitigating hidden cultural biases. </w:t>
      </w:r>
      <w:r w:rsidRPr="00C95105">
        <w:rPr>
          <w:rStyle w:val="eop"/>
          <w:rFonts w:asciiTheme="minorHAnsi" w:hAnsiTheme="minorHAnsi" w:cstheme="minorHAnsi"/>
          <w:i/>
          <w:iCs/>
          <w:color w:val="000000"/>
          <w:sz w:val="22"/>
          <w:szCs w:val="22"/>
          <w:shd w:val="clear" w:color="auto" w:fill="FFFFFF"/>
        </w:rPr>
        <w:t xml:space="preserve">Psychological Review </w:t>
      </w:r>
      <w:r w:rsidRPr="00C95105">
        <w:rPr>
          <w:rStyle w:val="eop"/>
          <w:rFonts w:asciiTheme="minorHAnsi" w:hAnsiTheme="minorHAnsi" w:cstheme="minorHAnsi"/>
          <w:color w:val="000000"/>
          <w:sz w:val="22"/>
          <w:szCs w:val="22"/>
          <w:shd w:val="clear" w:color="auto" w:fill="FFFFFF"/>
        </w:rPr>
        <w:t xml:space="preserve">127(6): 1022-1052. </w:t>
      </w:r>
      <w:hyperlink r:id="rId47" w:history="1">
        <w:r w:rsidRPr="00C95105">
          <w:rPr>
            <w:rStyle w:val="Hyperlink"/>
            <w:rFonts w:asciiTheme="minorHAnsi" w:hAnsiTheme="minorHAnsi" w:cstheme="minorHAnsi"/>
            <w:sz w:val="22"/>
            <w:szCs w:val="22"/>
            <w:shd w:val="clear" w:color="auto" w:fill="FFFFFF"/>
          </w:rPr>
          <w:t>http://doi.apa.org/getdoi.cfm?doi=10.1037/rev0000209</w:t>
        </w:r>
      </w:hyperlink>
    </w:p>
    <w:p w14:paraId="3DB8C8D7" w14:textId="7DDBDEBE" w:rsidR="4F8DD88C" w:rsidRPr="00C95105" w:rsidRDefault="4F8DD88C" w:rsidP="0A2CFA6C">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Cooper, H., Hedges, L. V., &amp; Valentine, J. C. (Eds.). (2009). </w:t>
      </w:r>
      <w:r w:rsidRPr="00C95105">
        <w:rPr>
          <w:rFonts w:asciiTheme="minorHAnsi" w:hAnsiTheme="minorHAnsi" w:cstheme="minorHAnsi"/>
          <w:i/>
          <w:iCs/>
          <w:sz w:val="22"/>
          <w:szCs w:val="22"/>
        </w:rPr>
        <w:t>Handbook of Research Synthesis and Meta-Analysis</w:t>
      </w:r>
      <w:r w:rsidRPr="00C95105">
        <w:rPr>
          <w:rFonts w:asciiTheme="minorHAnsi" w:hAnsiTheme="minorHAnsi" w:cstheme="minorHAnsi"/>
          <w:sz w:val="22"/>
          <w:szCs w:val="22"/>
        </w:rPr>
        <w:t xml:space="preserve">. New York: The Russell Sage Foundation. </w:t>
      </w:r>
      <w:hyperlink r:id="rId48">
        <w:r w:rsidRPr="00C95105">
          <w:rPr>
            <w:rFonts w:asciiTheme="minorHAnsi" w:hAnsiTheme="minorHAnsi" w:cstheme="minorHAnsi"/>
            <w:sz w:val="22"/>
            <w:szCs w:val="22"/>
          </w:rPr>
          <w:t>doi: 10.7758/9781610441384</w:t>
        </w:r>
      </w:hyperlink>
    </w:p>
    <w:p w14:paraId="6D67F6AA" w14:textId="1C49C517" w:rsidR="003B7F36" w:rsidRPr="00C95105" w:rsidRDefault="003B7F36" w:rsidP="005E7DD1">
      <w:pPr>
        <w:spacing w:after="120"/>
        <w:ind w:left="567" w:hanging="567"/>
        <w:textAlignment w:val="baseline"/>
        <w:rPr>
          <w:rStyle w:val="eop"/>
          <w:rFonts w:asciiTheme="minorHAnsi" w:hAnsiTheme="minorHAnsi" w:cstheme="minorHAnsi"/>
          <w:color w:val="000000"/>
          <w:sz w:val="22"/>
          <w:szCs w:val="22"/>
          <w:shd w:val="clear" w:color="auto" w:fill="FFFFFF"/>
        </w:rPr>
      </w:pPr>
      <w:r w:rsidRPr="00C95105">
        <w:rPr>
          <w:rStyle w:val="eop"/>
          <w:rFonts w:asciiTheme="minorHAnsi" w:hAnsiTheme="minorHAnsi" w:cstheme="minorHAnsi"/>
          <w:color w:val="000000"/>
          <w:sz w:val="22"/>
          <w:szCs w:val="22"/>
          <w:shd w:val="clear" w:color="auto" w:fill="FFFFFF"/>
        </w:rPr>
        <w:t>Ely, R.</w:t>
      </w:r>
      <w:r w:rsidR="005E7DD1" w:rsidRPr="00C95105">
        <w:rPr>
          <w:rStyle w:val="eop"/>
          <w:rFonts w:asciiTheme="minorHAnsi" w:hAnsiTheme="minorHAnsi" w:cstheme="minorHAnsi"/>
          <w:color w:val="000000"/>
          <w:sz w:val="22"/>
          <w:szCs w:val="22"/>
          <w:shd w:val="clear" w:color="auto" w:fill="FFFFFF"/>
        </w:rPr>
        <w:t xml:space="preserve"> </w:t>
      </w:r>
      <w:r w:rsidRPr="00C95105">
        <w:rPr>
          <w:rStyle w:val="eop"/>
          <w:rFonts w:asciiTheme="minorHAnsi" w:hAnsiTheme="minorHAnsi" w:cstheme="minorHAnsi"/>
          <w:color w:val="000000"/>
          <w:sz w:val="22"/>
          <w:szCs w:val="22"/>
          <w:shd w:val="clear" w:color="auto" w:fill="FFFFFF"/>
        </w:rPr>
        <w:t>J., &amp; Meyerson, D.</w:t>
      </w:r>
      <w:r w:rsidR="005E7DD1" w:rsidRPr="00C95105">
        <w:rPr>
          <w:rStyle w:val="eop"/>
          <w:rFonts w:asciiTheme="minorHAnsi" w:hAnsiTheme="minorHAnsi" w:cstheme="minorHAnsi"/>
          <w:color w:val="000000"/>
          <w:sz w:val="22"/>
          <w:szCs w:val="22"/>
          <w:shd w:val="clear" w:color="auto" w:fill="FFFFFF"/>
        </w:rPr>
        <w:t xml:space="preserve"> </w:t>
      </w:r>
      <w:r w:rsidRPr="00C95105">
        <w:rPr>
          <w:rStyle w:val="eop"/>
          <w:rFonts w:asciiTheme="minorHAnsi" w:hAnsiTheme="minorHAnsi" w:cstheme="minorHAnsi"/>
          <w:color w:val="000000"/>
          <w:sz w:val="22"/>
          <w:szCs w:val="22"/>
          <w:shd w:val="clear" w:color="auto" w:fill="FFFFFF"/>
        </w:rPr>
        <w:t xml:space="preserve">E. (2000). Theories of gender in organizations: A new approach to organizational analysis and change. </w:t>
      </w:r>
      <w:r w:rsidRPr="00C95105">
        <w:rPr>
          <w:rStyle w:val="eop"/>
          <w:rFonts w:asciiTheme="minorHAnsi" w:hAnsiTheme="minorHAnsi" w:cstheme="minorHAnsi"/>
          <w:i/>
          <w:iCs/>
          <w:color w:val="000000"/>
          <w:sz w:val="22"/>
          <w:szCs w:val="22"/>
          <w:shd w:val="clear" w:color="auto" w:fill="FFFFFF"/>
        </w:rPr>
        <w:t xml:space="preserve">Research in Organizational Behavior </w:t>
      </w:r>
      <w:r w:rsidRPr="00C95105">
        <w:rPr>
          <w:rStyle w:val="eop"/>
          <w:rFonts w:asciiTheme="minorHAnsi" w:hAnsiTheme="minorHAnsi" w:cstheme="minorHAnsi"/>
          <w:color w:val="000000"/>
          <w:sz w:val="22"/>
          <w:szCs w:val="22"/>
          <w:shd w:val="clear" w:color="auto" w:fill="FFFFFF"/>
        </w:rPr>
        <w:t>22: 103-151, doi: 10.1016/S0191-3085(00)22004-2.</w:t>
      </w:r>
    </w:p>
    <w:p w14:paraId="486ECD65" w14:textId="77777777" w:rsidR="003B7F36" w:rsidRPr="00C95105" w:rsidRDefault="003B7F36" w:rsidP="005E7DD1">
      <w:pPr>
        <w:spacing w:after="120"/>
        <w:ind w:left="567" w:hanging="567"/>
        <w:textAlignment w:val="baseline"/>
        <w:rPr>
          <w:rStyle w:val="eop"/>
          <w:rFonts w:asciiTheme="minorHAnsi" w:hAnsiTheme="minorHAnsi" w:cstheme="minorHAnsi"/>
          <w:color w:val="000000"/>
          <w:sz w:val="22"/>
          <w:szCs w:val="22"/>
          <w:shd w:val="clear" w:color="auto" w:fill="FFFFFF"/>
        </w:rPr>
      </w:pPr>
      <w:r w:rsidRPr="00C95105">
        <w:rPr>
          <w:rStyle w:val="eop"/>
          <w:rFonts w:asciiTheme="minorHAnsi" w:hAnsiTheme="minorHAnsi" w:cstheme="minorHAnsi"/>
          <w:color w:val="000000"/>
          <w:sz w:val="22"/>
          <w:szCs w:val="22"/>
          <w:shd w:val="clear" w:color="auto" w:fill="FFFFFF"/>
        </w:rPr>
        <w:t xml:space="preserve">England, P., &amp; Folbre, N. (1999). The cost of caring. </w:t>
      </w:r>
      <w:r w:rsidRPr="00C95105">
        <w:rPr>
          <w:rStyle w:val="eop"/>
          <w:rFonts w:asciiTheme="minorHAnsi" w:hAnsiTheme="minorHAnsi" w:cstheme="minorHAnsi"/>
          <w:i/>
          <w:iCs/>
          <w:color w:val="000000"/>
          <w:sz w:val="22"/>
          <w:szCs w:val="22"/>
          <w:shd w:val="clear" w:color="auto" w:fill="FFFFFF"/>
        </w:rPr>
        <w:t xml:space="preserve">The Annals of the American Academy of Political and Social Science, </w:t>
      </w:r>
      <w:r w:rsidRPr="00C95105">
        <w:rPr>
          <w:rStyle w:val="eop"/>
          <w:rFonts w:asciiTheme="minorHAnsi" w:hAnsiTheme="minorHAnsi" w:cstheme="minorHAnsi"/>
          <w:color w:val="000000"/>
          <w:sz w:val="22"/>
          <w:szCs w:val="22"/>
          <w:shd w:val="clear" w:color="auto" w:fill="FFFFFF"/>
        </w:rPr>
        <w:t>561: 39-51.</w:t>
      </w:r>
    </w:p>
    <w:p w14:paraId="3C14282E" w14:textId="1032029E" w:rsidR="003B7F36" w:rsidRPr="00C95105" w:rsidRDefault="003B7F36" w:rsidP="00F26C9C">
      <w:pPr>
        <w:spacing w:after="120"/>
        <w:ind w:left="567" w:hanging="567"/>
        <w:rPr>
          <w:rStyle w:val="eop"/>
          <w:rFonts w:asciiTheme="minorHAnsi" w:hAnsiTheme="minorHAnsi" w:cstheme="minorHAnsi"/>
          <w:sz w:val="22"/>
          <w:szCs w:val="22"/>
        </w:rPr>
      </w:pPr>
      <w:r w:rsidRPr="00C95105">
        <w:rPr>
          <w:rFonts w:asciiTheme="minorHAnsi" w:hAnsiTheme="minorHAnsi" w:cstheme="minorHAnsi"/>
          <w:color w:val="222222"/>
          <w:sz w:val="22"/>
          <w:szCs w:val="22"/>
          <w:shd w:val="clear" w:color="auto" w:fill="FFFFFF"/>
        </w:rPr>
        <w:t>Ewald, A., Gilbert, E., &amp; Huppatz, K. (2020). Fathering and flexible working arrangements: A systematic interdisciplinary review. </w:t>
      </w:r>
      <w:r w:rsidRPr="00C95105">
        <w:rPr>
          <w:rFonts w:asciiTheme="minorHAnsi" w:hAnsiTheme="minorHAnsi" w:cstheme="minorHAnsi"/>
          <w:i/>
          <w:iCs/>
          <w:color w:val="222222"/>
          <w:sz w:val="22"/>
          <w:szCs w:val="22"/>
          <w:shd w:val="clear" w:color="auto" w:fill="FFFFFF"/>
        </w:rPr>
        <w:t>Journal of Family Theory &amp; Review</w:t>
      </w:r>
      <w:r w:rsidRPr="00C95105">
        <w:rPr>
          <w:rFonts w:asciiTheme="minorHAnsi" w:hAnsiTheme="minorHAnsi" w:cstheme="minorHAnsi"/>
          <w:color w:val="222222"/>
          <w:sz w:val="22"/>
          <w:szCs w:val="22"/>
          <w:shd w:val="clear" w:color="auto" w:fill="FFFFFF"/>
        </w:rPr>
        <w:t>, </w:t>
      </w:r>
      <w:r w:rsidRPr="00C95105">
        <w:rPr>
          <w:rFonts w:asciiTheme="minorHAnsi" w:hAnsiTheme="minorHAnsi" w:cstheme="minorHAnsi"/>
          <w:i/>
          <w:iCs/>
          <w:color w:val="222222"/>
          <w:sz w:val="22"/>
          <w:szCs w:val="22"/>
          <w:shd w:val="clear" w:color="auto" w:fill="FFFFFF"/>
        </w:rPr>
        <w:t>12</w:t>
      </w:r>
      <w:r w:rsidRPr="00C95105">
        <w:rPr>
          <w:rFonts w:asciiTheme="minorHAnsi" w:hAnsiTheme="minorHAnsi" w:cstheme="minorHAnsi"/>
          <w:color w:val="222222"/>
          <w:sz w:val="22"/>
          <w:szCs w:val="22"/>
          <w:shd w:val="clear" w:color="auto" w:fill="FFFFFF"/>
        </w:rPr>
        <w:t xml:space="preserve">(1), 27-40. </w:t>
      </w:r>
      <w:hyperlink r:id="rId49" w:history="1">
        <w:r w:rsidR="00F26C9C" w:rsidRPr="00C95105">
          <w:rPr>
            <w:rStyle w:val="Hyperlink"/>
            <w:rFonts w:asciiTheme="minorHAnsi" w:hAnsiTheme="minorHAnsi" w:cstheme="minorHAnsi"/>
            <w:sz w:val="22"/>
            <w:szCs w:val="22"/>
            <w:shd w:val="clear" w:color="auto" w:fill="FFFFFF"/>
          </w:rPr>
          <w:t>https://doi.org/10.1111/jftr.12363</w:t>
        </w:r>
      </w:hyperlink>
    </w:p>
    <w:p w14:paraId="6C564A98" w14:textId="4DD61259" w:rsidR="003B7F36" w:rsidRPr="00C95105" w:rsidRDefault="003B7F36" w:rsidP="005E7DD1">
      <w:pPr>
        <w:spacing w:after="120"/>
        <w:ind w:left="567" w:hanging="567"/>
        <w:textAlignment w:val="baseline"/>
        <w:rPr>
          <w:rStyle w:val="eop"/>
          <w:rFonts w:asciiTheme="minorHAnsi" w:hAnsiTheme="minorHAnsi" w:cstheme="minorHAnsi"/>
          <w:color w:val="202020"/>
          <w:sz w:val="22"/>
          <w:szCs w:val="22"/>
        </w:rPr>
      </w:pPr>
      <w:r w:rsidRPr="00C95105">
        <w:rPr>
          <w:rFonts w:asciiTheme="minorHAnsi" w:hAnsiTheme="minorHAnsi" w:cstheme="minorHAnsi"/>
          <w:color w:val="202020"/>
          <w:sz w:val="22"/>
          <w:szCs w:val="22"/>
        </w:rPr>
        <w:t xml:space="preserve">Fleetwood, S. (2007). Why work-life balance now? </w:t>
      </w:r>
      <w:r w:rsidRPr="00C95105">
        <w:rPr>
          <w:rFonts w:asciiTheme="minorHAnsi" w:hAnsiTheme="minorHAnsi" w:cstheme="minorHAnsi"/>
          <w:i/>
          <w:iCs/>
          <w:color w:val="202020"/>
          <w:sz w:val="22"/>
          <w:szCs w:val="22"/>
        </w:rPr>
        <w:t>The International Journal of Human Resource Management, 18</w:t>
      </w:r>
      <w:r w:rsidRPr="00C95105">
        <w:rPr>
          <w:rFonts w:asciiTheme="minorHAnsi" w:hAnsiTheme="minorHAnsi" w:cstheme="minorHAnsi"/>
          <w:color w:val="202020"/>
          <w:sz w:val="22"/>
          <w:szCs w:val="22"/>
        </w:rPr>
        <w:t>(3)</w:t>
      </w:r>
      <w:r w:rsidR="00F26C9C" w:rsidRPr="00C95105">
        <w:rPr>
          <w:rFonts w:asciiTheme="minorHAnsi" w:hAnsiTheme="minorHAnsi" w:cstheme="minorHAnsi"/>
          <w:color w:val="202020"/>
          <w:sz w:val="22"/>
          <w:szCs w:val="22"/>
        </w:rPr>
        <w:t>,</w:t>
      </w:r>
      <w:r w:rsidRPr="00C95105">
        <w:rPr>
          <w:rFonts w:asciiTheme="minorHAnsi" w:hAnsiTheme="minorHAnsi" w:cstheme="minorHAnsi"/>
          <w:color w:val="202020"/>
          <w:sz w:val="22"/>
          <w:szCs w:val="22"/>
        </w:rPr>
        <w:t xml:space="preserve"> 387-400. </w:t>
      </w:r>
      <w:hyperlink r:id="rId50" w:history="1">
        <w:r w:rsidRPr="00C95105">
          <w:rPr>
            <w:rFonts w:asciiTheme="minorHAnsi" w:hAnsiTheme="minorHAnsi" w:cstheme="minorHAnsi"/>
            <w:color w:val="202020"/>
            <w:sz w:val="22"/>
            <w:szCs w:val="22"/>
          </w:rPr>
          <w:t>https://doi.org/10.1080/09585190601167441</w:t>
        </w:r>
      </w:hyperlink>
    </w:p>
    <w:p w14:paraId="5514BAD0" w14:textId="77777777" w:rsidR="00EF1E15" w:rsidRPr="00C95105" w:rsidRDefault="00EF1E15" w:rsidP="00EF1E15">
      <w:pPr>
        <w:pStyle w:val="CommentText"/>
        <w:spacing w:after="120"/>
        <w:ind w:left="567" w:hanging="567"/>
        <w:rPr>
          <w:rFonts w:asciiTheme="minorHAnsi" w:eastAsia="Calibr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Gender Equality Act 2020 (Vic). Retrieved from https://www.legislation.vic.gov.au/as-made/acts/gender-equality-act-2020</w:t>
      </w:r>
    </w:p>
    <w:p w14:paraId="457899E9" w14:textId="77777777" w:rsidR="003B7F36" w:rsidRPr="00C95105" w:rsidRDefault="003B7F36" w:rsidP="005E7DD1">
      <w:pPr>
        <w:spacing w:after="120"/>
        <w:ind w:left="567" w:hanging="567"/>
        <w:textAlignment w:val="baseline"/>
        <w:rPr>
          <w:rStyle w:val="eop"/>
          <w:rFonts w:asciiTheme="minorHAnsi" w:hAnsiTheme="minorHAnsi" w:cstheme="minorHAnsi"/>
          <w:color w:val="000000"/>
          <w:sz w:val="22"/>
          <w:szCs w:val="22"/>
          <w:shd w:val="clear" w:color="auto" w:fill="FFFFFF"/>
        </w:rPr>
      </w:pPr>
      <w:r w:rsidRPr="00C95105">
        <w:rPr>
          <w:rStyle w:val="normaltextrun"/>
          <w:rFonts w:asciiTheme="minorHAnsi" w:hAnsiTheme="minorHAnsi" w:cstheme="minorHAnsi"/>
          <w:color w:val="000000"/>
          <w:sz w:val="22"/>
          <w:szCs w:val="22"/>
          <w:shd w:val="clear" w:color="auto" w:fill="FFFFFF"/>
        </w:rPr>
        <w:t xml:space="preserve">Goldin, C. (2021). </w:t>
      </w:r>
      <w:r w:rsidRPr="00C95105">
        <w:rPr>
          <w:rStyle w:val="normaltextrun"/>
          <w:rFonts w:asciiTheme="minorHAnsi" w:hAnsiTheme="minorHAnsi" w:cstheme="minorHAnsi"/>
          <w:i/>
          <w:iCs/>
          <w:color w:val="000000"/>
          <w:sz w:val="22"/>
          <w:szCs w:val="22"/>
          <w:shd w:val="clear" w:color="auto" w:fill="FFFFFF"/>
        </w:rPr>
        <w:t>Career and Family: Women’s Century-Long Journey toward Equity</w:t>
      </w:r>
      <w:r w:rsidRPr="00C95105">
        <w:rPr>
          <w:rStyle w:val="normaltextrun"/>
          <w:rFonts w:asciiTheme="minorHAnsi" w:hAnsiTheme="minorHAnsi" w:cstheme="minorHAnsi"/>
          <w:color w:val="000000"/>
          <w:sz w:val="22"/>
          <w:szCs w:val="22"/>
          <w:shd w:val="clear" w:color="auto" w:fill="FFFFFF"/>
        </w:rPr>
        <w:t>. Princeton &amp; Oxford: Princeton University Press.</w:t>
      </w:r>
      <w:r w:rsidRPr="00C95105">
        <w:rPr>
          <w:rStyle w:val="eop"/>
          <w:rFonts w:asciiTheme="minorHAnsi" w:hAnsiTheme="minorHAnsi" w:cstheme="minorHAnsi"/>
          <w:color w:val="000000"/>
          <w:sz w:val="22"/>
          <w:szCs w:val="22"/>
          <w:shd w:val="clear" w:color="auto" w:fill="FFFFFF"/>
        </w:rPr>
        <w:t> </w:t>
      </w:r>
    </w:p>
    <w:p w14:paraId="3EB560AD" w14:textId="1BE6B2D0" w:rsidR="003B7F36" w:rsidRPr="00C95105" w:rsidRDefault="003B7F36" w:rsidP="005E7DD1">
      <w:pPr>
        <w:spacing w:after="120"/>
        <w:ind w:left="567" w:hanging="567"/>
        <w:textAlignment w:val="baseline"/>
        <w:rPr>
          <w:rStyle w:val="eop"/>
          <w:rFonts w:asciiTheme="minorHAnsi" w:hAnsiTheme="minorHAnsi" w:cstheme="minorHAnsi"/>
          <w:color w:val="000000"/>
          <w:sz w:val="22"/>
          <w:szCs w:val="22"/>
          <w:shd w:val="clear" w:color="auto" w:fill="FFFFFF"/>
        </w:rPr>
      </w:pPr>
      <w:r w:rsidRPr="00C95105">
        <w:rPr>
          <w:rStyle w:val="eop"/>
          <w:rFonts w:asciiTheme="minorHAnsi" w:hAnsiTheme="minorHAnsi" w:cstheme="minorHAnsi"/>
          <w:color w:val="000000"/>
          <w:sz w:val="22"/>
          <w:szCs w:val="22"/>
          <w:shd w:val="clear" w:color="auto" w:fill="FFFFFF"/>
        </w:rPr>
        <w:t xml:space="preserve">Hobson, B. (2011). The agency gap in work-life balance: Applying Sen’s capabilities framework within European contexts. </w:t>
      </w:r>
      <w:r w:rsidRPr="00C95105">
        <w:rPr>
          <w:rStyle w:val="eop"/>
          <w:rFonts w:asciiTheme="minorHAnsi" w:hAnsiTheme="minorHAnsi" w:cstheme="minorHAnsi"/>
          <w:i/>
          <w:iCs/>
          <w:color w:val="000000"/>
          <w:sz w:val="22"/>
          <w:szCs w:val="22"/>
          <w:shd w:val="clear" w:color="auto" w:fill="FFFFFF"/>
        </w:rPr>
        <w:t>Social Politics</w:t>
      </w:r>
      <w:r w:rsidR="00F26C9C" w:rsidRPr="00C95105">
        <w:rPr>
          <w:rStyle w:val="eop"/>
          <w:rFonts w:asciiTheme="minorHAnsi" w:hAnsiTheme="minorHAnsi" w:cstheme="minorHAnsi"/>
          <w:i/>
          <w:iCs/>
          <w:color w:val="000000"/>
          <w:sz w:val="22"/>
          <w:szCs w:val="22"/>
          <w:shd w:val="clear" w:color="auto" w:fill="FFFFFF"/>
        </w:rPr>
        <w:t>,</w:t>
      </w:r>
      <w:r w:rsidRPr="00C95105">
        <w:rPr>
          <w:rStyle w:val="eop"/>
          <w:rFonts w:asciiTheme="minorHAnsi" w:hAnsiTheme="minorHAnsi" w:cstheme="minorHAnsi"/>
          <w:i/>
          <w:iCs/>
          <w:color w:val="000000"/>
          <w:sz w:val="22"/>
          <w:szCs w:val="22"/>
          <w:shd w:val="clear" w:color="auto" w:fill="FFFFFF"/>
        </w:rPr>
        <w:t xml:space="preserve"> </w:t>
      </w:r>
      <w:r w:rsidRPr="00C95105">
        <w:rPr>
          <w:rStyle w:val="eop"/>
          <w:rFonts w:asciiTheme="minorHAnsi" w:hAnsiTheme="minorHAnsi" w:cstheme="minorHAnsi"/>
          <w:color w:val="000000"/>
          <w:sz w:val="22"/>
          <w:szCs w:val="22"/>
          <w:shd w:val="clear" w:color="auto" w:fill="FFFFFF"/>
        </w:rPr>
        <w:t>18(2)</w:t>
      </w:r>
      <w:r w:rsidR="00F26C9C" w:rsidRPr="00C95105">
        <w:rPr>
          <w:rStyle w:val="eop"/>
          <w:rFonts w:asciiTheme="minorHAnsi" w:hAnsiTheme="minorHAnsi" w:cstheme="minorHAnsi"/>
          <w:color w:val="000000"/>
          <w:sz w:val="22"/>
          <w:szCs w:val="22"/>
          <w:shd w:val="clear" w:color="auto" w:fill="FFFFFF"/>
        </w:rPr>
        <w:t>,</w:t>
      </w:r>
      <w:r w:rsidRPr="00C95105">
        <w:rPr>
          <w:rStyle w:val="eop"/>
          <w:rFonts w:asciiTheme="minorHAnsi" w:hAnsiTheme="minorHAnsi" w:cstheme="minorHAnsi"/>
          <w:color w:val="000000"/>
          <w:sz w:val="22"/>
          <w:szCs w:val="22"/>
          <w:shd w:val="clear" w:color="auto" w:fill="FFFFFF"/>
        </w:rPr>
        <w:t xml:space="preserve"> 147-167, doi:10.1093/sp/jxr-12</w:t>
      </w:r>
    </w:p>
    <w:p w14:paraId="4F4AAF4E" w14:textId="77777777" w:rsidR="003B7F36" w:rsidRPr="00C95105" w:rsidRDefault="003B7F36" w:rsidP="005E7DD1">
      <w:pPr>
        <w:spacing w:after="120"/>
        <w:ind w:left="567" w:hanging="567"/>
        <w:textAlignment w:val="baseline"/>
        <w:rPr>
          <w:rStyle w:val="eop"/>
          <w:rFonts w:asciiTheme="minorHAnsi" w:hAnsiTheme="minorHAnsi" w:cstheme="minorHAnsi"/>
          <w:color w:val="000000"/>
          <w:sz w:val="22"/>
          <w:szCs w:val="22"/>
          <w:shd w:val="clear" w:color="auto" w:fill="FFFFFF"/>
        </w:rPr>
      </w:pPr>
      <w:r w:rsidRPr="00C95105">
        <w:rPr>
          <w:rFonts w:asciiTheme="minorHAnsi" w:hAnsiTheme="minorHAnsi" w:cstheme="minorHAnsi"/>
          <w:color w:val="222222"/>
          <w:sz w:val="22"/>
          <w:szCs w:val="22"/>
          <w:shd w:val="clear" w:color="auto" w:fill="FFFFFF"/>
        </w:rPr>
        <w:t>Hobson, B., &amp; Fahlén, S. (2009). Competing scenarios for European fathers: Applying Sen's capabilities and agency framework to work—family balance. </w:t>
      </w:r>
      <w:r w:rsidRPr="00C95105">
        <w:rPr>
          <w:rFonts w:asciiTheme="minorHAnsi" w:hAnsiTheme="minorHAnsi" w:cstheme="minorHAnsi"/>
          <w:i/>
          <w:iCs/>
          <w:color w:val="222222"/>
          <w:sz w:val="22"/>
          <w:szCs w:val="22"/>
          <w:shd w:val="clear" w:color="auto" w:fill="FFFFFF"/>
        </w:rPr>
        <w:t>The Annals of the American Academy of Political and Social Science</w:t>
      </w:r>
      <w:r w:rsidRPr="00C95105">
        <w:rPr>
          <w:rFonts w:asciiTheme="minorHAnsi" w:hAnsiTheme="minorHAnsi" w:cstheme="minorHAnsi"/>
          <w:color w:val="222222"/>
          <w:sz w:val="22"/>
          <w:szCs w:val="22"/>
          <w:shd w:val="clear" w:color="auto" w:fill="FFFFFF"/>
        </w:rPr>
        <w:t>, </w:t>
      </w:r>
      <w:r w:rsidRPr="00C95105">
        <w:rPr>
          <w:rFonts w:asciiTheme="minorHAnsi" w:hAnsiTheme="minorHAnsi" w:cstheme="minorHAnsi"/>
          <w:i/>
          <w:iCs/>
          <w:color w:val="222222"/>
          <w:sz w:val="22"/>
          <w:szCs w:val="22"/>
          <w:shd w:val="clear" w:color="auto" w:fill="FFFFFF"/>
        </w:rPr>
        <w:t>624</w:t>
      </w:r>
      <w:r w:rsidRPr="00C95105">
        <w:rPr>
          <w:rFonts w:asciiTheme="minorHAnsi" w:hAnsiTheme="minorHAnsi" w:cstheme="minorHAnsi"/>
          <w:color w:val="222222"/>
          <w:sz w:val="22"/>
          <w:szCs w:val="22"/>
          <w:shd w:val="clear" w:color="auto" w:fill="FFFFFF"/>
        </w:rPr>
        <w:t xml:space="preserve">(1), 214-233. </w:t>
      </w:r>
      <w:hyperlink r:id="rId51" w:history="1">
        <w:r w:rsidRPr="00C95105">
          <w:rPr>
            <w:rStyle w:val="Hyperlink"/>
            <w:rFonts w:asciiTheme="minorHAnsi" w:hAnsiTheme="minorHAnsi" w:cstheme="minorHAnsi"/>
            <w:sz w:val="22"/>
            <w:szCs w:val="22"/>
            <w:shd w:val="clear" w:color="auto" w:fill="FFFFFF"/>
          </w:rPr>
          <w:t>https://doi.org/10.1177/0002716209334435</w:t>
        </w:r>
      </w:hyperlink>
    </w:p>
    <w:p w14:paraId="7F3410BC" w14:textId="77777777" w:rsidR="003B7F36" w:rsidRPr="00C95105" w:rsidRDefault="003B7F36" w:rsidP="005E7DD1">
      <w:pPr>
        <w:spacing w:after="120"/>
        <w:ind w:left="567" w:hanging="567"/>
        <w:textAlignment w:val="baseline"/>
        <w:rPr>
          <w:rStyle w:val="eop"/>
          <w:rFonts w:asciiTheme="minorHAnsi" w:hAnsiTheme="minorHAnsi" w:cstheme="minorHAnsi"/>
          <w:color w:val="000000"/>
          <w:sz w:val="22"/>
          <w:szCs w:val="22"/>
          <w:shd w:val="clear" w:color="auto" w:fill="FFFFFF"/>
        </w:rPr>
      </w:pPr>
      <w:r w:rsidRPr="00C95105">
        <w:rPr>
          <w:rStyle w:val="eop"/>
          <w:rFonts w:asciiTheme="minorHAnsi" w:hAnsiTheme="minorHAnsi" w:cstheme="minorHAnsi"/>
          <w:color w:val="000000"/>
          <w:sz w:val="22"/>
          <w:szCs w:val="22"/>
          <w:shd w:val="clear" w:color="auto" w:fill="FFFFFF"/>
        </w:rPr>
        <w:t xml:space="preserve">Jones, L. (October, 2019). </w:t>
      </w:r>
      <w:r w:rsidRPr="00C95105">
        <w:rPr>
          <w:rStyle w:val="eop"/>
          <w:rFonts w:asciiTheme="minorHAnsi" w:hAnsiTheme="minorHAnsi" w:cstheme="minorHAnsi"/>
          <w:i/>
          <w:iCs/>
          <w:color w:val="000000"/>
          <w:sz w:val="22"/>
          <w:szCs w:val="22"/>
          <w:shd w:val="clear" w:color="auto" w:fill="FFFFFF"/>
        </w:rPr>
        <w:t>Women’s progression in the workplace. Government Equalities Office</w:t>
      </w:r>
      <w:r w:rsidRPr="00C95105">
        <w:rPr>
          <w:rStyle w:val="eop"/>
          <w:rFonts w:asciiTheme="minorHAnsi" w:hAnsiTheme="minorHAnsi" w:cstheme="minorHAnsi"/>
          <w:color w:val="000000"/>
          <w:sz w:val="22"/>
          <w:szCs w:val="22"/>
          <w:shd w:val="clear" w:color="auto" w:fill="FFFFFF"/>
        </w:rPr>
        <w:t>. Retrieved from https://www.kcl.ac.uk/giwl/assets/womens-progression-in-the-workplace.pdf</w:t>
      </w:r>
    </w:p>
    <w:p w14:paraId="0B72EE7E" w14:textId="77777777" w:rsidR="003B7F36" w:rsidRPr="00C95105" w:rsidRDefault="003B7F36" w:rsidP="005E7DD1">
      <w:pPr>
        <w:spacing w:after="120"/>
        <w:ind w:left="567" w:hanging="567"/>
        <w:textAlignment w:val="baseline"/>
        <w:rPr>
          <w:rStyle w:val="eop"/>
          <w:rFonts w:asciiTheme="minorHAnsi" w:hAnsiTheme="minorHAnsi" w:cstheme="minorHAnsi"/>
          <w:color w:val="000000"/>
          <w:sz w:val="22"/>
          <w:szCs w:val="22"/>
          <w:shd w:val="clear" w:color="auto" w:fill="FFFFFF"/>
        </w:rPr>
      </w:pPr>
      <w:r w:rsidRPr="00C95105">
        <w:rPr>
          <w:rStyle w:val="normaltextrun"/>
          <w:rFonts w:asciiTheme="minorHAnsi" w:hAnsiTheme="minorHAnsi" w:cstheme="minorHAnsi"/>
          <w:color w:val="000000"/>
          <w:sz w:val="22"/>
          <w:szCs w:val="22"/>
          <w:shd w:val="clear" w:color="auto" w:fill="FFFFFF"/>
        </w:rPr>
        <w:t xml:space="preserve">Kelly EL &amp; Moen P (2021). </w:t>
      </w:r>
      <w:r w:rsidRPr="00C95105">
        <w:rPr>
          <w:rStyle w:val="normaltextrun"/>
          <w:rFonts w:asciiTheme="minorHAnsi" w:hAnsiTheme="minorHAnsi" w:cstheme="minorHAnsi"/>
          <w:i/>
          <w:iCs/>
          <w:color w:val="000000"/>
          <w:sz w:val="22"/>
          <w:szCs w:val="22"/>
          <w:shd w:val="clear" w:color="auto" w:fill="FFFFFF"/>
        </w:rPr>
        <w:t>Overload: How good jobs went bad and what we can do about it</w:t>
      </w:r>
      <w:r w:rsidRPr="00C95105">
        <w:rPr>
          <w:rStyle w:val="normaltextrun"/>
          <w:rFonts w:asciiTheme="minorHAnsi" w:hAnsiTheme="minorHAnsi" w:cstheme="minorHAnsi"/>
          <w:color w:val="000000"/>
          <w:sz w:val="22"/>
          <w:szCs w:val="22"/>
          <w:shd w:val="clear" w:color="auto" w:fill="FFFFFF"/>
        </w:rPr>
        <w:t>. Princeton: Princeton University Press</w:t>
      </w:r>
    </w:p>
    <w:p w14:paraId="5334045B" w14:textId="7BA83ABB" w:rsidR="003B7F36" w:rsidRPr="00C95105" w:rsidRDefault="003B7F36" w:rsidP="005E7DD1">
      <w:pPr>
        <w:spacing w:after="120"/>
        <w:ind w:left="567" w:hanging="567"/>
        <w:textAlignment w:val="baseline"/>
        <w:rPr>
          <w:rStyle w:val="normaltextrun"/>
          <w:rFonts w:asciiTheme="minorHAnsi" w:hAnsiTheme="minorHAnsi" w:cstheme="minorHAnsi"/>
          <w:color w:val="000000"/>
          <w:shd w:val="clear" w:color="auto" w:fill="FFFFFF"/>
        </w:rPr>
      </w:pPr>
      <w:r w:rsidRPr="00C95105">
        <w:rPr>
          <w:rStyle w:val="normaltextrun"/>
          <w:rFonts w:asciiTheme="minorHAnsi" w:hAnsiTheme="minorHAnsi" w:cstheme="minorHAnsi"/>
          <w:color w:val="000000" w:themeColor="text1"/>
          <w:sz w:val="22"/>
          <w:szCs w:val="22"/>
        </w:rPr>
        <w:t>Moen, P., &amp; Roehling, P. (2005). </w:t>
      </w:r>
      <w:r w:rsidRPr="00C95105">
        <w:rPr>
          <w:rStyle w:val="normaltextrun"/>
          <w:rFonts w:asciiTheme="minorHAnsi" w:hAnsiTheme="minorHAnsi" w:cstheme="minorHAnsi"/>
          <w:i/>
          <w:color w:val="000000" w:themeColor="text1"/>
          <w:sz w:val="22"/>
          <w:szCs w:val="22"/>
        </w:rPr>
        <w:t>The career mystique: Cracks in the American dream</w:t>
      </w:r>
      <w:r w:rsidRPr="00C95105">
        <w:rPr>
          <w:rStyle w:val="normaltextrun"/>
          <w:rFonts w:asciiTheme="minorHAnsi" w:hAnsiTheme="minorHAnsi" w:cstheme="minorHAnsi"/>
          <w:color w:val="000000" w:themeColor="text1"/>
          <w:sz w:val="22"/>
          <w:szCs w:val="22"/>
        </w:rPr>
        <w:t>. Oxford: Rowman &amp; Littlefield.</w:t>
      </w:r>
    </w:p>
    <w:p w14:paraId="0D97F3D3" w14:textId="0E3A587E" w:rsidR="003B7F36" w:rsidRPr="00C95105" w:rsidRDefault="003B7F36" w:rsidP="005E7DD1">
      <w:pPr>
        <w:spacing w:after="120"/>
        <w:ind w:left="567" w:hanging="567"/>
        <w:textAlignment w:val="baseline"/>
        <w:rPr>
          <w:rFonts w:asciiTheme="minorHAnsi" w:hAnsiTheme="minorHAnsi" w:cstheme="minorHAnsi"/>
          <w:sz w:val="22"/>
          <w:szCs w:val="22"/>
        </w:rPr>
      </w:pPr>
      <w:r w:rsidRPr="00C95105">
        <w:rPr>
          <w:rFonts w:asciiTheme="minorHAnsi" w:hAnsiTheme="minorHAnsi" w:cstheme="minorHAnsi"/>
          <w:color w:val="202020"/>
          <w:sz w:val="22"/>
          <w:szCs w:val="22"/>
        </w:rPr>
        <w:lastRenderedPageBreak/>
        <w:t>Moher D., Liberati</w:t>
      </w:r>
      <w:r w:rsidR="00AE24FA">
        <w:rPr>
          <w:rFonts w:asciiTheme="minorHAnsi" w:hAnsiTheme="minorHAnsi" w:cstheme="minorHAnsi"/>
          <w:color w:val="202020"/>
          <w:sz w:val="22"/>
          <w:szCs w:val="22"/>
        </w:rPr>
        <w:t xml:space="preserve">, </w:t>
      </w:r>
      <w:r w:rsidRPr="00C95105">
        <w:rPr>
          <w:rFonts w:asciiTheme="minorHAnsi" w:hAnsiTheme="minorHAnsi" w:cstheme="minorHAnsi"/>
          <w:color w:val="202020"/>
          <w:sz w:val="22"/>
          <w:szCs w:val="22"/>
        </w:rPr>
        <w:t>A</w:t>
      </w:r>
      <w:r w:rsidR="00AE24FA">
        <w:rPr>
          <w:rFonts w:asciiTheme="minorHAnsi" w:hAnsiTheme="minorHAnsi" w:cstheme="minorHAnsi"/>
          <w:color w:val="202020"/>
          <w:sz w:val="22"/>
          <w:szCs w:val="22"/>
        </w:rPr>
        <w:t>.,</w:t>
      </w:r>
      <w:r w:rsidRPr="00C95105">
        <w:rPr>
          <w:rFonts w:asciiTheme="minorHAnsi" w:hAnsiTheme="minorHAnsi" w:cstheme="minorHAnsi"/>
          <w:color w:val="202020"/>
          <w:sz w:val="22"/>
          <w:szCs w:val="22"/>
        </w:rPr>
        <w:t xml:space="preserve"> Tetzlaff</w:t>
      </w:r>
      <w:r w:rsidR="00AE24FA">
        <w:rPr>
          <w:rFonts w:asciiTheme="minorHAnsi" w:hAnsiTheme="minorHAnsi" w:cstheme="minorHAnsi"/>
          <w:color w:val="202020"/>
          <w:sz w:val="22"/>
          <w:szCs w:val="22"/>
        </w:rPr>
        <w:t>,</w:t>
      </w:r>
      <w:r w:rsidRPr="00C95105">
        <w:rPr>
          <w:rFonts w:asciiTheme="minorHAnsi" w:hAnsiTheme="minorHAnsi" w:cstheme="minorHAnsi"/>
          <w:color w:val="202020"/>
          <w:sz w:val="22"/>
          <w:szCs w:val="22"/>
        </w:rPr>
        <w:t xml:space="preserve"> J., Altman</w:t>
      </w:r>
      <w:r w:rsidR="00AE24FA">
        <w:rPr>
          <w:rFonts w:asciiTheme="minorHAnsi" w:hAnsiTheme="minorHAnsi" w:cstheme="minorHAnsi"/>
          <w:color w:val="202020"/>
          <w:sz w:val="22"/>
          <w:szCs w:val="22"/>
        </w:rPr>
        <w:t>,</w:t>
      </w:r>
      <w:r w:rsidRPr="00C95105">
        <w:rPr>
          <w:rFonts w:asciiTheme="minorHAnsi" w:hAnsiTheme="minorHAnsi" w:cstheme="minorHAnsi"/>
          <w:color w:val="202020"/>
          <w:sz w:val="22"/>
          <w:szCs w:val="22"/>
        </w:rPr>
        <w:t xml:space="preserve"> D.G., </w:t>
      </w:r>
      <w:r w:rsidR="00C0332A">
        <w:rPr>
          <w:rFonts w:asciiTheme="minorHAnsi" w:hAnsiTheme="minorHAnsi" w:cstheme="minorHAnsi"/>
          <w:color w:val="202020"/>
          <w:sz w:val="22"/>
          <w:szCs w:val="22"/>
        </w:rPr>
        <w:t xml:space="preserve">&amp; </w:t>
      </w:r>
      <w:r w:rsidRPr="00C95105">
        <w:rPr>
          <w:rFonts w:asciiTheme="minorHAnsi" w:hAnsiTheme="minorHAnsi" w:cstheme="minorHAnsi"/>
          <w:color w:val="202020"/>
          <w:sz w:val="22"/>
          <w:szCs w:val="22"/>
        </w:rPr>
        <w:t>The PRISMA Group (2009). Preferred Reporting Items for</w:t>
      </w:r>
      <w:r w:rsidRPr="00C95105">
        <w:rPr>
          <w:rFonts w:asciiTheme="minorHAnsi" w:hAnsiTheme="minorHAnsi" w:cstheme="minorHAnsi"/>
          <w:color w:val="000000" w:themeColor="text1"/>
          <w:sz w:val="22"/>
          <w:szCs w:val="22"/>
        </w:rPr>
        <w:t xml:space="preserve"> </w:t>
      </w:r>
      <w:r w:rsidRPr="00C95105">
        <w:rPr>
          <w:rFonts w:asciiTheme="minorHAnsi" w:hAnsiTheme="minorHAnsi" w:cstheme="minorHAnsi"/>
          <w:color w:val="202020"/>
          <w:sz w:val="22"/>
          <w:szCs w:val="22"/>
        </w:rPr>
        <w:t xml:space="preserve">Systematic Reviews and Meta-Analyses: The PRISMA Statement. </w:t>
      </w:r>
      <w:r w:rsidRPr="00C95105">
        <w:rPr>
          <w:rFonts w:asciiTheme="minorHAnsi" w:hAnsiTheme="minorHAnsi" w:cstheme="minorHAnsi"/>
          <w:i/>
          <w:iCs/>
          <w:color w:val="202020"/>
          <w:sz w:val="22"/>
          <w:szCs w:val="22"/>
        </w:rPr>
        <w:t>PLoS Med 6</w:t>
      </w:r>
      <w:r w:rsidRPr="00C95105">
        <w:rPr>
          <w:rFonts w:asciiTheme="minorHAnsi" w:hAnsiTheme="minorHAnsi" w:cstheme="minorHAnsi"/>
          <w:color w:val="202020"/>
          <w:sz w:val="22"/>
          <w:szCs w:val="22"/>
        </w:rPr>
        <w:t>(7)</w:t>
      </w:r>
      <w:r w:rsidR="00F26C9C" w:rsidRPr="00C95105">
        <w:rPr>
          <w:rFonts w:asciiTheme="minorHAnsi" w:hAnsiTheme="minorHAnsi" w:cstheme="minorHAnsi"/>
          <w:color w:val="202020"/>
          <w:sz w:val="22"/>
          <w:szCs w:val="22"/>
        </w:rPr>
        <w:t>.</w:t>
      </w:r>
      <w:r w:rsidRPr="00C95105">
        <w:rPr>
          <w:rFonts w:asciiTheme="minorHAnsi" w:hAnsiTheme="minorHAnsi" w:cstheme="minorHAnsi"/>
          <w:color w:val="202020"/>
          <w:sz w:val="22"/>
          <w:szCs w:val="22"/>
        </w:rPr>
        <w:t xml:space="preserve"> </w:t>
      </w:r>
      <w:hyperlink r:id="rId52">
        <w:r w:rsidRPr="00C95105">
          <w:rPr>
            <w:rStyle w:val="Hyperlink"/>
            <w:rFonts w:asciiTheme="minorHAnsi" w:hAnsiTheme="minorHAnsi" w:cstheme="minorHAnsi"/>
            <w:sz w:val="22"/>
            <w:szCs w:val="22"/>
          </w:rPr>
          <w:t>https://doi.org/10.1371/journal.pmed.1000097 </w:t>
        </w:r>
      </w:hyperlink>
    </w:p>
    <w:p w14:paraId="1971942F" w14:textId="77777777" w:rsidR="003B7F36" w:rsidRPr="00C95105" w:rsidRDefault="003B7F36" w:rsidP="005E7DD1">
      <w:pPr>
        <w:spacing w:after="120"/>
        <w:ind w:left="567" w:hanging="567"/>
        <w:rPr>
          <w:rFonts w:asciiTheme="minorHAnsi" w:hAnsiTheme="minorHAnsi" w:cstheme="minorHAnsi"/>
          <w:color w:val="202020"/>
          <w:sz w:val="22"/>
          <w:szCs w:val="22"/>
        </w:rPr>
      </w:pPr>
      <w:r w:rsidRPr="00C95105">
        <w:rPr>
          <w:rFonts w:asciiTheme="minorHAnsi" w:hAnsiTheme="minorHAnsi" w:cstheme="minorHAnsi"/>
          <w:color w:val="202020"/>
          <w:sz w:val="22"/>
          <w:szCs w:val="22"/>
        </w:rPr>
        <w:t>OECD (n.d).</w:t>
      </w:r>
      <w:r w:rsidRPr="00C95105">
        <w:rPr>
          <w:rFonts w:asciiTheme="minorHAnsi" w:hAnsiTheme="minorHAnsi" w:cstheme="minorHAnsi"/>
          <w:color w:val="0563C1"/>
          <w:sz w:val="22"/>
          <w:szCs w:val="22"/>
        </w:rPr>
        <w:t xml:space="preserve"> </w:t>
      </w:r>
      <w:r w:rsidRPr="00C95105">
        <w:rPr>
          <w:rFonts w:asciiTheme="minorHAnsi" w:hAnsiTheme="minorHAnsi" w:cstheme="minorHAnsi"/>
          <w:i/>
          <w:iCs/>
          <w:color w:val="202020"/>
          <w:sz w:val="22"/>
          <w:szCs w:val="22"/>
        </w:rPr>
        <w:t>Employment: Time spent in paid and unpaid work, by sex</w:t>
      </w:r>
      <w:r w:rsidRPr="00C95105">
        <w:rPr>
          <w:rFonts w:asciiTheme="minorHAnsi" w:hAnsiTheme="minorHAnsi" w:cstheme="minorHAnsi"/>
          <w:color w:val="202020"/>
          <w:sz w:val="22"/>
          <w:szCs w:val="22"/>
        </w:rPr>
        <w:t xml:space="preserve">. Retrieved 24 February, 2022, from </w:t>
      </w:r>
      <w:hyperlink r:id="rId53">
        <w:r w:rsidRPr="00C95105">
          <w:rPr>
            <w:rStyle w:val="Hyperlink"/>
            <w:rFonts w:asciiTheme="minorHAnsi" w:hAnsiTheme="minorHAnsi" w:cstheme="minorHAnsi"/>
            <w:sz w:val="22"/>
            <w:szCs w:val="22"/>
          </w:rPr>
          <w:t>https://stats.oecd.org/index.aspx?queryid=54757</w:t>
        </w:r>
      </w:hyperlink>
      <w:r w:rsidRPr="00C95105">
        <w:rPr>
          <w:rStyle w:val="Hyperlink"/>
          <w:rFonts w:asciiTheme="minorHAnsi" w:hAnsiTheme="minorHAnsi" w:cstheme="minorHAnsi"/>
          <w:sz w:val="22"/>
          <w:szCs w:val="22"/>
        </w:rPr>
        <w:t>.</w:t>
      </w:r>
      <w:r w:rsidRPr="00C95105">
        <w:rPr>
          <w:rFonts w:asciiTheme="minorHAnsi" w:hAnsiTheme="minorHAnsi" w:cstheme="minorHAnsi"/>
          <w:color w:val="202020"/>
          <w:sz w:val="22"/>
          <w:szCs w:val="22"/>
        </w:rPr>
        <w:t xml:space="preserve"> </w:t>
      </w:r>
    </w:p>
    <w:p w14:paraId="354EA132" w14:textId="05368495" w:rsidR="003B7F36" w:rsidRPr="00C95105" w:rsidRDefault="003B7F36" w:rsidP="005E7DD1">
      <w:pPr>
        <w:spacing w:after="120"/>
        <w:ind w:left="567" w:hanging="567"/>
        <w:rPr>
          <w:rFonts w:asciiTheme="minorHAnsi" w:hAnsiTheme="minorHAnsi" w:cstheme="minorHAnsi"/>
          <w:sz w:val="22"/>
          <w:szCs w:val="22"/>
        </w:rPr>
      </w:pPr>
      <w:r w:rsidRPr="00C95105">
        <w:rPr>
          <w:rFonts w:asciiTheme="minorHAnsi" w:hAnsiTheme="minorHAnsi" w:cstheme="minorHAnsi"/>
          <w:color w:val="202020"/>
          <w:sz w:val="22"/>
          <w:szCs w:val="22"/>
        </w:rPr>
        <w:t xml:space="preserve">Rubery, J., Keizer, A. &amp; Grimshaw, D. (2016). Flexibility bites back: The multiple and hidden costs of flexible employment policies. </w:t>
      </w:r>
      <w:r w:rsidRPr="00C95105">
        <w:rPr>
          <w:rFonts w:asciiTheme="minorHAnsi" w:hAnsiTheme="minorHAnsi" w:cstheme="minorHAnsi"/>
          <w:i/>
          <w:iCs/>
          <w:color w:val="202020"/>
          <w:sz w:val="22"/>
          <w:szCs w:val="22"/>
        </w:rPr>
        <w:t>Human Resource Management Journal</w:t>
      </w:r>
      <w:r w:rsidR="00F26C9C" w:rsidRPr="00C95105">
        <w:rPr>
          <w:rFonts w:asciiTheme="minorHAnsi" w:hAnsiTheme="minorHAnsi" w:cstheme="minorHAnsi"/>
          <w:i/>
          <w:iCs/>
          <w:color w:val="202020"/>
          <w:sz w:val="22"/>
          <w:szCs w:val="22"/>
        </w:rPr>
        <w:t>,</w:t>
      </w:r>
      <w:r w:rsidRPr="00C95105">
        <w:rPr>
          <w:rFonts w:asciiTheme="minorHAnsi" w:hAnsiTheme="minorHAnsi" w:cstheme="minorHAnsi"/>
          <w:i/>
          <w:iCs/>
          <w:color w:val="202020"/>
          <w:sz w:val="22"/>
          <w:szCs w:val="22"/>
        </w:rPr>
        <w:t xml:space="preserve"> 26</w:t>
      </w:r>
      <w:r w:rsidRPr="00C95105">
        <w:rPr>
          <w:rFonts w:asciiTheme="minorHAnsi" w:hAnsiTheme="minorHAnsi" w:cstheme="minorHAnsi"/>
          <w:color w:val="202020"/>
          <w:sz w:val="22"/>
          <w:szCs w:val="22"/>
        </w:rPr>
        <w:t>(3)</w:t>
      </w:r>
      <w:r w:rsidR="00F26C9C" w:rsidRPr="00C95105">
        <w:rPr>
          <w:rFonts w:asciiTheme="minorHAnsi" w:hAnsiTheme="minorHAnsi" w:cstheme="minorHAnsi"/>
          <w:color w:val="202020"/>
          <w:sz w:val="22"/>
          <w:szCs w:val="22"/>
        </w:rPr>
        <w:t>,</w:t>
      </w:r>
      <w:r w:rsidRPr="00C95105">
        <w:rPr>
          <w:rFonts w:asciiTheme="minorHAnsi" w:hAnsiTheme="minorHAnsi" w:cstheme="minorHAnsi"/>
          <w:color w:val="202020"/>
          <w:sz w:val="22"/>
          <w:szCs w:val="22"/>
        </w:rPr>
        <w:t xml:space="preserve"> 235-251. </w:t>
      </w:r>
      <w:r w:rsidRPr="00C95105">
        <w:rPr>
          <w:rFonts w:asciiTheme="minorHAnsi" w:hAnsiTheme="minorHAnsi" w:cstheme="minorHAnsi"/>
          <w:sz w:val="22"/>
          <w:szCs w:val="22"/>
        </w:rPr>
        <w:t>doi: 10.1111/1748-8583.12092</w:t>
      </w:r>
    </w:p>
    <w:p w14:paraId="16C1417F" w14:textId="25D90154" w:rsidR="346C98F6" w:rsidRPr="00C95105" w:rsidRDefault="00624105" w:rsidP="346C98F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Thomas, J., Newman, M., &amp; Oliver, S. (2013). Rapid evidence assessments of research to inform social policy: taking stock and moving forward. </w:t>
      </w:r>
      <w:r w:rsidRPr="00C95105">
        <w:rPr>
          <w:rFonts w:asciiTheme="minorHAnsi" w:hAnsiTheme="minorHAnsi" w:cstheme="minorHAnsi"/>
          <w:i/>
          <w:iCs/>
          <w:sz w:val="22"/>
          <w:szCs w:val="22"/>
        </w:rPr>
        <w:t>Evidence &amp; Policy: A Journal of Research</w:t>
      </w:r>
      <w:r w:rsidRPr="00C95105">
        <w:rPr>
          <w:rFonts w:asciiTheme="minorHAnsi" w:hAnsiTheme="minorHAnsi" w:cstheme="minorHAnsi"/>
          <w:sz w:val="22"/>
          <w:szCs w:val="22"/>
        </w:rPr>
        <w:t xml:space="preserve">, </w:t>
      </w:r>
      <w:r w:rsidRPr="00C95105">
        <w:rPr>
          <w:rFonts w:asciiTheme="minorHAnsi" w:hAnsiTheme="minorHAnsi" w:cstheme="minorHAnsi"/>
          <w:i/>
          <w:iCs/>
          <w:sz w:val="22"/>
          <w:szCs w:val="22"/>
        </w:rPr>
        <w:t>Debate and Practice</w:t>
      </w:r>
      <w:r w:rsidRPr="00C95105">
        <w:rPr>
          <w:rFonts w:asciiTheme="minorHAnsi" w:hAnsiTheme="minorHAnsi" w:cstheme="minorHAnsi"/>
          <w:sz w:val="22"/>
          <w:szCs w:val="22"/>
        </w:rPr>
        <w:t>, 9(1), 5-27. https://doi.org/10.1332/174426413x662572</w:t>
      </w:r>
    </w:p>
    <w:p w14:paraId="7D8D53DC" w14:textId="3B0335DF" w:rsidR="003B7F36" w:rsidRPr="00C95105" w:rsidRDefault="003B7F36" w:rsidP="005E7DD1">
      <w:pPr>
        <w:spacing w:after="120"/>
        <w:ind w:left="567" w:hanging="567"/>
        <w:rPr>
          <w:rStyle w:val="Hyperlink"/>
          <w:rFonts w:asciiTheme="minorHAnsi" w:eastAsiaTheme="minorEastAsia" w:hAnsiTheme="minorHAnsi" w:cstheme="minorHAnsi"/>
          <w:sz w:val="22"/>
          <w:szCs w:val="22"/>
        </w:rPr>
      </w:pPr>
      <w:r w:rsidRPr="00C95105">
        <w:rPr>
          <w:rFonts w:asciiTheme="minorHAnsi" w:eastAsiaTheme="minorEastAsia" w:hAnsiTheme="minorHAnsi" w:cstheme="minorHAnsi"/>
          <w:color w:val="202020"/>
          <w:sz w:val="22"/>
          <w:szCs w:val="22"/>
        </w:rPr>
        <w:t xml:space="preserve">Tomlinson, J., Baird, M., Berg P., &amp; Cooper R. (2018). Flexible careers across the life course: Advancing theory, research and practice. </w:t>
      </w:r>
      <w:r w:rsidRPr="00C95105">
        <w:rPr>
          <w:rFonts w:asciiTheme="minorHAnsi" w:eastAsiaTheme="minorEastAsia" w:hAnsiTheme="minorHAnsi" w:cstheme="minorHAnsi"/>
          <w:i/>
          <w:iCs/>
          <w:color w:val="202020"/>
          <w:sz w:val="22"/>
          <w:szCs w:val="22"/>
        </w:rPr>
        <w:t>Human Relations, 71</w:t>
      </w:r>
      <w:r w:rsidRPr="00C95105">
        <w:rPr>
          <w:rFonts w:asciiTheme="minorHAnsi" w:eastAsiaTheme="minorEastAsia" w:hAnsiTheme="minorHAnsi" w:cstheme="minorHAnsi"/>
          <w:color w:val="202020"/>
          <w:sz w:val="22"/>
          <w:szCs w:val="22"/>
        </w:rPr>
        <w:t>(1)</w:t>
      </w:r>
      <w:r w:rsidR="00F26C9C" w:rsidRPr="00C95105">
        <w:rPr>
          <w:rFonts w:asciiTheme="minorHAnsi" w:eastAsiaTheme="minorEastAsia" w:hAnsiTheme="minorHAnsi" w:cstheme="minorHAnsi"/>
          <w:color w:val="202020"/>
          <w:sz w:val="22"/>
          <w:szCs w:val="22"/>
        </w:rPr>
        <w:t>,</w:t>
      </w:r>
      <w:r w:rsidRPr="00C95105">
        <w:rPr>
          <w:rFonts w:asciiTheme="minorHAnsi" w:eastAsiaTheme="minorEastAsia" w:hAnsiTheme="minorHAnsi" w:cstheme="minorHAnsi"/>
          <w:color w:val="202020"/>
          <w:sz w:val="22"/>
          <w:szCs w:val="22"/>
        </w:rPr>
        <w:t xml:space="preserve"> 4-22. </w:t>
      </w:r>
      <w:hyperlink r:id="rId54">
        <w:r w:rsidRPr="00C95105">
          <w:rPr>
            <w:rStyle w:val="Hyperlink"/>
            <w:rFonts w:asciiTheme="minorHAnsi" w:eastAsiaTheme="minorEastAsia" w:hAnsiTheme="minorHAnsi" w:cstheme="minorHAnsi"/>
            <w:sz w:val="22"/>
            <w:szCs w:val="22"/>
          </w:rPr>
          <w:t>https://doi.org/10.1177/0018726717733313</w:t>
        </w:r>
      </w:hyperlink>
    </w:p>
    <w:p w14:paraId="230BB4CF" w14:textId="7943FE79" w:rsidR="003B7F36" w:rsidRPr="00C95105" w:rsidRDefault="003B7F36" w:rsidP="00F26C9C">
      <w:pPr>
        <w:spacing w:after="120"/>
        <w:ind w:left="567" w:hanging="567"/>
        <w:rPr>
          <w:rFonts w:asciiTheme="minorHAnsi" w:eastAsiaTheme="minorEastAsia" w:hAnsiTheme="minorHAnsi" w:cstheme="minorHAnsi"/>
          <w:color w:val="202020"/>
          <w:sz w:val="22"/>
          <w:szCs w:val="22"/>
        </w:rPr>
      </w:pPr>
      <w:r w:rsidRPr="00C95105">
        <w:rPr>
          <w:rFonts w:asciiTheme="minorHAnsi" w:eastAsiaTheme="minorEastAsia" w:hAnsiTheme="minorHAnsi" w:cstheme="minorHAnsi"/>
          <w:color w:val="202020"/>
          <w:sz w:val="22"/>
          <w:szCs w:val="22"/>
        </w:rPr>
        <w:t xml:space="preserve">Williams, J. C. (2010). </w:t>
      </w:r>
      <w:r w:rsidRPr="00C95105">
        <w:rPr>
          <w:rFonts w:asciiTheme="minorHAnsi" w:eastAsiaTheme="minorEastAsia" w:hAnsiTheme="minorHAnsi" w:cstheme="minorHAnsi"/>
          <w:i/>
          <w:iCs/>
          <w:color w:val="202020"/>
          <w:sz w:val="22"/>
          <w:szCs w:val="22"/>
        </w:rPr>
        <w:t>Reshaping the work-family debate: Why men and class matter</w:t>
      </w:r>
      <w:r w:rsidRPr="00C95105">
        <w:rPr>
          <w:rFonts w:asciiTheme="minorHAnsi" w:eastAsiaTheme="minorEastAsia" w:hAnsiTheme="minorHAnsi" w:cstheme="minorHAnsi"/>
          <w:color w:val="202020"/>
          <w:sz w:val="22"/>
          <w:szCs w:val="22"/>
        </w:rPr>
        <w:t>. Cambridge,</w:t>
      </w:r>
      <w:r w:rsidR="00F26C9C" w:rsidRPr="00C95105">
        <w:rPr>
          <w:rFonts w:asciiTheme="minorHAnsi" w:eastAsiaTheme="minorEastAsia" w:hAnsiTheme="minorHAnsi" w:cstheme="minorHAnsi"/>
          <w:color w:val="202020"/>
          <w:sz w:val="22"/>
          <w:szCs w:val="22"/>
        </w:rPr>
        <w:t xml:space="preserve"> </w:t>
      </w:r>
      <w:r w:rsidRPr="00C95105">
        <w:rPr>
          <w:rFonts w:asciiTheme="minorHAnsi" w:eastAsiaTheme="minorEastAsia" w:hAnsiTheme="minorHAnsi" w:cstheme="minorHAnsi"/>
          <w:color w:val="202020"/>
          <w:sz w:val="22"/>
          <w:szCs w:val="22"/>
        </w:rPr>
        <w:t xml:space="preserve">MA: </w:t>
      </w:r>
      <w:r w:rsidRPr="00C95105">
        <w:rPr>
          <w:rFonts w:asciiTheme="minorHAnsi" w:hAnsiTheme="minorHAnsi" w:cstheme="minorHAnsi"/>
          <w:color w:val="202020"/>
          <w:sz w:val="22"/>
          <w:szCs w:val="22"/>
        </w:rPr>
        <w:t>Harvard</w:t>
      </w:r>
      <w:r w:rsidRPr="00C95105">
        <w:rPr>
          <w:rFonts w:asciiTheme="minorHAnsi" w:eastAsiaTheme="minorEastAsia" w:hAnsiTheme="minorHAnsi" w:cstheme="minorHAnsi"/>
          <w:color w:val="202020"/>
          <w:sz w:val="22"/>
          <w:szCs w:val="22"/>
        </w:rPr>
        <w:t xml:space="preserve"> University Press.</w:t>
      </w:r>
    </w:p>
    <w:p w14:paraId="13242226" w14:textId="77777777" w:rsidR="003B7F36" w:rsidRPr="00C95105" w:rsidRDefault="003B7F36" w:rsidP="005E7DD1">
      <w:pPr>
        <w:spacing w:after="120"/>
        <w:ind w:left="567" w:hanging="567"/>
        <w:rPr>
          <w:rStyle w:val="Hyperlink"/>
          <w:rFonts w:asciiTheme="minorHAnsi" w:eastAsiaTheme="minorEastAsia" w:hAnsiTheme="minorHAnsi" w:cstheme="minorHAnsi"/>
          <w:sz w:val="22"/>
          <w:szCs w:val="22"/>
        </w:rPr>
      </w:pPr>
      <w:r w:rsidRPr="00C95105">
        <w:rPr>
          <w:rFonts w:asciiTheme="minorHAnsi" w:hAnsiTheme="minorHAnsi" w:cstheme="minorHAnsi"/>
          <w:color w:val="000000" w:themeColor="text1"/>
          <w:sz w:val="22"/>
          <w:szCs w:val="22"/>
        </w:rPr>
        <w:t xml:space="preserve">Williams, J.C., Blair-Loy, M., &amp; Berdahl, J.L. 2013). Cultural schemas, social class, and the flexibility </w:t>
      </w:r>
      <w:r w:rsidRPr="00C95105">
        <w:rPr>
          <w:rFonts w:asciiTheme="minorHAnsi" w:eastAsiaTheme="minorEastAsia" w:hAnsiTheme="minorHAnsi" w:cstheme="minorHAnsi"/>
          <w:color w:val="202020"/>
          <w:sz w:val="22"/>
          <w:szCs w:val="22"/>
        </w:rPr>
        <w:t>stigma</w:t>
      </w:r>
      <w:r w:rsidRPr="00C95105">
        <w:rPr>
          <w:rFonts w:asciiTheme="minorHAnsi" w:hAnsiTheme="minorHAnsi" w:cstheme="minorHAnsi"/>
          <w:color w:val="000000" w:themeColor="text1"/>
          <w:sz w:val="22"/>
          <w:szCs w:val="22"/>
        </w:rPr>
        <w:t xml:space="preserve">. </w:t>
      </w:r>
      <w:r w:rsidRPr="00C95105">
        <w:rPr>
          <w:rFonts w:asciiTheme="minorHAnsi" w:hAnsiTheme="minorHAnsi" w:cstheme="minorHAnsi"/>
          <w:i/>
          <w:iCs/>
          <w:color w:val="000000" w:themeColor="text1"/>
          <w:sz w:val="22"/>
          <w:szCs w:val="22"/>
        </w:rPr>
        <w:t xml:space="preserve">Journal of Social Issues, </w:t>
      </w:r>
      <w:r w:rsidRPr="00C95105">
        <w:rPr>
          <w:rFonts w:asciiTheme="minorHAnsi" w:hAnsiTheme="minorHAnsi" w:cstheme="minorHAnsi"/>
          <w:color w:val="000000" w:themeColor="text1"/>
          <w:sz w:val="22"/>
          <w:szCs w:val="22"/>
        </w:rPr>
        <w:t xml:space="preserve">69(2): 209-234. </w:t>
      </w:r>
      <w:hyperlink r:id="rId55" w:history="1">
        <w:r w:rsidRPr="00C95105">
          <w:rPr>
            <w:rStyle w:val="Hyperlink"/>
            <w:rFonts w:asciiTheme="minorHAnsi" w:eastAsiaTheme="minorEastAsia" w:hAnsiTheme="minorHAnsi" w:cstheme="minorHAnsi"/>
            <w:sz w:val="22"/>
            <w:szCs w:val="22"/>
          </w:rPr>
          <w:t>https://doi.org/10.1111/josi.12012</w:t>
        </w:r>
      </w:hyperlink>
    </w:p>
    <w:p w14:paraId="6C3EC114" w14:textId="77777777" w:rsidR="003B7F36" w:rsidRPr="00C95105" w:rsidRDefault="003B7F36" w:rsidP="005E7DD1">
      <w:pPr>
        <w:spacing w:after="120"/>
        <w:ind w:left="567" w:hanging="567"/>
        <w:rPr>
          <w:rFonts w:asciiTheme="minorHAnsi" w:hAnsiTheme="minorHAnsi" w:cstheme="minorHAnsi"/>
          <w:color w:val="000000" w:themeColor="text1"/>
          <w:sz w:val="22"/>
          <w:szCs w:val="22"/>
        </w:rPr>
      </w:pPr>
      <w:r w:rsidRPr="00C95105">
        <w:rPr>
          <w:rFonts w:asciiTheme="minorHAnsi" w:hAnsiTheme="minorHAnsi" w:cstheme="minorHAnsi"/>
          <w:color w:val="000000" w:themeColor="text1"/>
          <w:sz w:val="22"/>
          <w:szCs w:val="22"/>
        </w:rPr>
        <w:t xml:space="preserve">Wood, D., Griffiths, K., &amp; Emslie, O. (August, 2020). </w:t>
      </w:r>
      <w:r w:rsidRPr="00C95105">
        <w:rPr>
          <w:rFonts w:asciiTheme="minorHAnsi" w:hAnsiTheme="minorHAnsi" w:cstheme="minorHAnsi"/>
          <w:i/>
          <w:iCs/>
          <w:color w:val="000000" w:themeColor="text1"/>
          <w:sz w:val="22"/>
          <w:szCs w:val="22"/>
        </w:rPr>
        <w:t>Cheaper childcare: A practical plan to boost female workforce participation.</w:t>
      </w:r>
      <w:r w:rsidRPr="00C95105">
        <w:rPr>
          <w:rFonts w:asciiTheme="minorHAnsi" w:hAnsiTheme="minorHAnsi" w:cstheme="minorHAnsi"/>
          <w:color w:val="000000" w:themeColor="text1"/>
          <w:sz w:val="22"/>
          <w:szCs w:val="22"/>
        </w:rPr>
        <w:t xml:space="preserve"> Melbourne: Grattan Institute.</w:t>
      </w:r>
    </w:p>
    <w:p w14:paraId="3E81FBBA" w14:textId="77777777" w:rsidR="003B7F36" w:rsidRPr="00C95105" w:rsidRDefault="003B7F36" w:rsidP="005E7DD1">
      <w:pPr>
        <w:spacing w:after="120"/>
        <w:ind w:left="567" w:hanging="567"/>
        <w:rPr>
          <w:rFonts w:asciiTheme="minorHAnsi" w:hAnsiTheme="minorHAnsi" w:cstheme="minorHAnsi"/>
          <w:sz w:val="22"/>
          <w:szCs w:val="22"/>
        </w:rPr>
      </w:pPr>
      <w:r w:rsidRPr="00C95105">
        <w:rPr>
          <w:rFonts w:asciiTheme="minorHAnsi" w:hAnsiTheme="minorHAnsi" w:cstheme="minorHAnsi"/>
          <w:color w:val="000000" w:themeColor="text1"/>
          <w:sz w:val="22"/>
          <w:szCs w:val="22"/>
        </w:rPr>
        <w:t xml:space="preserve">Workplace Gender Equality Agency (WGEA). (11 February 2022). </w:t>
      </w:r>
      <w:r w:rsidRPr="00C95105">
        <w:rPr>
          <w:rFonts w:asciiTheme="minorHAnsi" w:hAnsiTheme="minorHAnsi" w:cstheme="minorHAnsi"/>
          <w:i/>
          <w:iCs/>
          <w:color w:val="000000" w:themeColor="text1"/>
          <w:sz w:val="22"/>
          <w:szCs w:val="22"/>
        </w:rPr>
        <w:t xml:space="preserve">Australia’s gender equality </w:t>
      </w:r>
      <w:r w:rsidRPr="00C95105">
        <w:rPr>
          <w:rFonts w:asciiTheme="minorHAnsi" w:eastAsiaTheme="minorEastAsia" w:hAnsiTheme="minorHAnsi" w:cstheme="minorHAnsi"/>
          <w:color w:val="202020"/>
          <w:sz w:val="22"/>
          <w:szCs w:val="22"/>
        </w:rPr>
        <w:t>scorecard. Retrieved from: https://www.wgea.gov.au/publications/australias-gender-equality-scorecard</w:t>
      </w:r>
    </w:p>
    <w:p w14:paraId="505C7C9D" w14:textId="6F018F57" w:rsidR="003B7F36" w:rsidRPr="00C95105" w:rsidRDefault="003B7F36" w:rsidP="00EB4F52">
      <w:pPr>
        <w:spacing w:after="120"/>
        <w:ind w:left="420" w:right="60" w:hanging="420"/>
        <w:textAlignment w:val="baseline"/>
        <w:rPr>
          <w:rFonts w:asciiTheme="minorHAnsi" w:hAnsiTheme="minorHAnsi" w:cstheme="minorHAnsi"/>
          <w:sz w:val="18"/>
          <w:szCs w:val="18"/>
        </w:rPr>
      </w:pPr>
      <w:r w:rsidRPr="00C95105">
        <w:rPr>
          <w:rFonts w:asciiTheme="minorHAnsi" w:hAnsiTheme="minorHAnsi" w:cstheme="minorHAnsi"/>
          <w:sz w:val="22"/>
          <w:szCs w:val="22"/>
        </w:rPr>
        <w:t>  </w:t>
      </w:r>
    </w:p>
    <w:p w14:paraId="0725751F" w14:textId="724955F1" w:rsidR="003B7F36" w:rsidRPr="00C95105" w:rsidRDefault="003B7F36" w:rsidP="0093280F">
      <w:pPr>
        <w:pStyle w:val="Heading2"/>
        <w:numPr>
          <w:ilvl w:val="1"/>
          <w:numId w:val="9"/>
        </w:numPr>
        <w:spacing w:before="0" w:after="120"/>
        <w:ind w:left="426" w:hanging="437"/>
        <w:rPr>
          <w:rFonts w:asciiTheme="minorHAnsi" w:hAnsiTheme="minorHAnsi" w:cstheme="minorHAnsi"/>
          <w:b/>
          <w:bCs/>
        </w:rPr>
      </w:pPr>
      <w:bookmarkStart w:id="174" w:name="_Toc96957700"/>
      <w:r w:rsidRPr="00C95105">
        <w:rPr>
          <w:rFonts w:asciiTheme="minorHAnsi" w:hAnsiTheme="minorHAnsi" w:cstheme="minorHAnsi"/>
          <w:b/>
          <w:bCs/>
        </w:rPr>
        <w:t>Reviewed References</w:t>
      </w:r>
      <w:bookmarkEnd w:id="174"/>
      <w:r w:rsidRPr="00C95105">
        <w:rPr>
          <w:rFonts w:asciiTheme="minorHAnsi" w:hAnsiTheme="minorHAnsi" w:cstheme="minorHAnsi"/>
          <w:b/>
          <w:bCs/>
        </w:rPr>
        <w:t> </w:t>
      </w:r>
    </w:p>
    <w:p w14:paraId="10F9E8BA" w14:textId="5B10681E"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 Barcus, M., Tigges, L., &amp; Kim, J. (2019). Time to care: socioeconomic, family, and workplace factors in men and women's parental leave use. </w:t>
      </w:r>
      <w:r w:rsidRPr="00C95105">
        <w:rPr>
          <w:rFonts w:asciiTheme="minorHAnsi" w:hAnsiTheme="minorHAnsi" w:cstheme="minorHAnsi"/>
          <w:i/>
          <w:iCs/>
          <w:color w:val="000000"/>
          <w:sz w:val="22"/>
          <w:szCs w:val="22"/>
        </w:rPr>
        <w:t>Community, Work &amp; Family, 22</w:t>
      </w:r>
      <w:r w:rsidRPr="00C95105">
        <w:rPr>
          <w:rFonts w:asciiTheme="minorHAnsi" w:hAnsiTheme="minorHAnsi" w:cstheme="minorHAnsi"/>
          <w:color w:val="000000"/>
          <w:sz w:val="22"/>
          <w:szCs w:val="22"/>
        </w:rPr>
        <w:t>(4), 443-464. doi:10.1080/13668803.2019.1629876 </w:t>
      </w:r>
    </w:p>
    <w:p w14:paraId="5E61D247" w14:textId="6BED201D"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Berrigan, M. N., Schoppe-Sullivan, S. J., &amp; Kamp Dush, C. M. (2020). Moving beyond access: Predictors of maternity and paternity leave duration in the </w:t>
      </w:r>
      <w:r w:rsidR="007B4AF2" w:rsidRPr="00C95105">
        <w:rPr>
          <w:rFonts w:asciiTheme="minorHAnsi" w:hAnsiTheme="minorHAnsi" w:cstheme="minorHAnsi"/>
          <w:color w:val="000000"/>
          <w:sz w:val="22"/>
          <w:szCs w:val="22"/>
        </w:rPr>
        <w:t>United States</w:t>
      </w:r>
      <w:r w:rsidRPr="00C95105">
        <w:rPr>
          <w:rFonts w:asciiTheme="minorHAnsi" w:hAnsiTheme="minorHAnsi" w:cstheme="minorHAnsi"/>
          <w:color w:val="000000"/>
          <w:sz w:val="22"/>
          <w:szCs w:val="22"/>
        </w:rPr>
        <w:t xml:space="preserve">. </w:t>
      </w:r>
      <w:r w:rsidRPr="00C95105">
        <w:rPr>
          <w:rFonts w:asciiTheme="minorHAnsi" w:hAnsiTheme="minorHAnsi" w:cstheme="minorHAnsi"/>
          <w:i/>
          <w:iCs/>
          <w:color w:val="000000"/>
          <w:sz w:val="22"/>
          <w:szCs w:val="22"/>
        </w:rPr>
        <w:t>Sex Roles: A Journal of Research</w:t>
      </w:r>
      <w:r w:rsidRPr="00C95105">
        <w:rPr>
          <w:rFonts w:asciiTheme="minorHAnsi" w:hAnsiTheme="minorHAnsi" w:cstheme="minorHAnsi"/>
          <w:color w:val="000000"/>
          <w:sz w:val="22"/>
          <w:szCs w:val="22"/>
        </w:rPr>
        <w:t>, No Pagination Specified. doi:</w:t>
      </w:r>
      <w:hyperlink r:id="rId56" w:tgtFrame="_blank" w:history="1">
        <w:r w:rsidR="001D0642" w:rsidRPr="00C95105">
          <w:rPr>
            <w:rFonts w:asciiTheme="minorHAnsi" w:hAnsiTheme="minorHAnsi" w:cstheme="minorHAnsi"/>
            <w:color w:val="0000FF"/>
            <w:sz w:val="22"/>
            <w:szCs w:val="22"/>
            <w:u w:val="single"/>
          </w:rPr>
          <w:t xml:space="preserve"> </w:t>
        </w:r>
        <w:r w:rsidRPr="00C95105">
          <w:rPr>
            <w:rFonts w:asciiTheme="minorHAnsi" w:hAnsiTheme="minorHAnsi" w:cstheme="minorHAnsi"/>
            <w:color w:val="0000FF"/>
            <w:sz w:val="22"/>
            <w:szCs w:val="22"/>
            <w:u w:val="single"/>
          </w:rPr>
          <w:t>10.1007/s11199-020-01165-7</w:t>
        </w:r>
      </w:hyperlink>
      <w:r w:rsidRPr="00C95105">
        <w:rPr>
          <w:rFonts w:asciiTheme="minorHAnsi" w:hAnsiTheme="minorHAnsi" w:cstheme="minorHAnsi"/>
          <w:color w:val="0563C1"/>
          <w:sz w:val="22"/>
          <w:szCs w:val="22"/>
        </w:rPr>
        <w:t> </w:t>
      </w:r>
    </w:p>
    <w:p w14:paraId="69CCDC29"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Blair-Loy, M., &amp; Wharton, A. S. (2002). Employees' use of work-family policies and the workplace social context. </w:t>
      </w:r>
      <w:r w:rsidRPr="00C95105">
        <w:rPr>
          <w:rFonts w:asciiTheme="minorHAnsi" w:hAnsiTheme="minorHAnsi" w:cstheme="minorHAnsi"/>
          <w:i/>
          <w:iCs/>
          <w:color w:val="000000"/>
          <w:sz w:val="22"/>
          <w:szCs w:val="22"/>
        </w:rPr>
        <w:t>Social Forces, 80</w:t>
      </w:r>
      <w:r w:rsidRPr="00C95105">
        <w:rPr>
          <w:rFonts w:asciiTheme="minorHAnsi" w:hAnsiTheme="minorHAnsi" w:cstheme="minorHAnsi"/>
          <w:color w:val="000000"/>
          <w:sz w:val="22"/>
          <w:szCs w:val="22"/>
        </w:rPr>
        <w:t xml:space="preserve">(3), 813. Retrieved from </w:t>
      </w:r>
      <w:hyperlink r:id="rId57" w:tgtFrame="_blank" w:history="1">
        <w:r w:rsidRPr="00C95105">
          <w:rPr>
            <w:rFonts w:asciiTheme="minorHAnsi" w:hAnsiTheme="minorHAnsi" w:cstheme="minorHAnsi"/>
            <w:color w:val="0000FF"/>
            <w:sz w:val="22"/>
            <w:szCs w:val="22"/>
            <w:u w:val="single"/>
          </w:rPr>
          <w:t>https://www.proquest.com/docview/229866211?accountid=12372&amp;bdid=10814&amp;_bd=i7NnNJ9S%2BXuMJQ5h6dlCiZQ4FwI%3D</w:t>
        </w:r>
      </w:hyperlink>
      <w:r w:rsidRPr="00C95105">
        <w:rPr>
          <w:rFonts w:asciiTheme="minorHAnsi" w:hAnsiTheme="minorHAnsi" w:cstheme="minorHAnsi"/>
          <w:color w:val="0563C1"/>
          <w:sz w:val="22"/>
          <w:szCs w:val="22"/>
        </w:rPr>
        <w:t> </w:t>
      </w:r>
    </w:p>
    <w:p w14:paraId="73270016" w14:textId="15769502"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themeColor="text1"/>
          <w:sz w:val="22"/>
          <w:szCs w:val="22"/>
        </w:rPr>
        <w:t xml:space="preserve">Borgkvist, A., Moore, V., Eliott, J., &amp; Crabb, S. (2018). 'I might be a bit of a front runner': An analysis of men's uptake of flexible work arrangements and masculine identity. </w:t>
      </w:r>
      <w:r w:rsidRPr="00C95105">
        <w:rPr>
          <w:rFonts w:asciiTheme="minorHAnsi" w:hAnsiTheme="minorHAnsi" w:cstheme="minorHAnsi"/>
          <w:i/>
          <w:iCs/>
          <w:color w:val="000000" w:themeColor="text1"/>
          <w:sz w:val="22"/>
          <w:szCs w:val="22"/>
        </w:rPr>
        <w:t>Gender, Work and Organization, 25</w:t>
      </w:r>
      <w:r w:rsidRPr="00C95105">
        <w:rPr>
          <w:rFonts w:asciiTheme="minorHAnsi" w:hAnsiTheme="minorHAnsi" w:cstheme="minorHAnsi"/>
          <w:color w:val="000000" w:themeColor="text1"/>
          <w:sz w:val="22"/>
          <w:szCs w:val="22"/>
        </w:rPr>
        <w:t>(6), 703-717. doi:</w:t>
      </w:r>
      <w:r w:rsidR="001D0642" w:rsidRPr="00C95105">
        <w:rPr>
          <w:rFonts w:asciiTheme="minorHAnsi" w:hAnsiTheme="minorHAnsi" w:cstheme="minorHAnsi"/>
          <w:color w:val="000000" w:themeColor="text1"/>
          <w:sz w:val="22"/>
          <w:szCs w:val="22"/>
        </w:rPr>
        <w:t xml:space="preserve"> </w:t>
      </w:r>
      <w:hyperlink r:id="rId58" w:history="1">
        <w:r w:rsidRPr="00C95105">
          <w:rPr>
            <w:rFonts w:asciiTheme="minorHAnsi" w:hAnsiTheme="minorHAnsi" w:cstheme="minorHAnsi"/>
            <w:color w:val="0000FF"/>
            <w:sz w:val="22"/>
            <w:szCs w:val="22"/>
            <w:u w:val="single"/>
          </w:rPr>
          <w:t>10.1111/gwao.1B2240</w:t>
        </w:r>
      </w:hyperlink>
      <w:r w:rsidRPr="00C95105">
        <w:rPr>
          <w:rFonts w:asciiTheme="minorHAnsi" w:hAnsiTheme="minorHAnsi" w:cstheme="minorHAnsi"/>
          <w:color w:val="0563C1"/>
          <w:sz w:val="22"/>
          <w:szCs w:val="22"/>
        </w:rPr>
        <w:t> </w:t>
      </w:r>
    </w:p>
    <w:p w14:paraId="3A3B3B1D" w14:textId="6EE96E0D"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Brandth, B., &amp; Kvande, E. (2001). Flexible work and flexible fathers. </w:t>
      </w:r>
      <w:r w:rsidRPr="00C95105">
        <w:rPr>
          <w:rFonts w:asciiTheme="minorHAnsi" w:hAnsiTheme="minorHAnsi" w:cstheme="minorHAnsi"/>
          <w:i/>
          <w:iCs/>
          <w:color w:val="000000"/>
          <w:sz w:val="22"/>
          <w:szCs w:val="22"/>
        </w:rPr>
        <w:t>Work, Employment and Society, 15</w:t>
      </w:r>
      <w:r w:rsidRPr="00C95105">
        <w:rPr>
          <w:rFonts w:asciiTheme="minorHAnsi" w:hAnsiTheme="minorHAnsi" w:cstheme="minorHAnsi"/>
          <w:color w:val="000000"/>
          <w:sz w:val="22"/>
          <w:szCs w:val="22"/>
        </w:rPr>
        <w:t>(2), 251-267. doi:</w:t>
      </w:r>
      <w:hyperlink r:id="rId59" w:tgtFrame="_blank" w:history="1">
        <w:r w:rsidR="001D0642" w:rsidRPr="00C95105">
          <w:rPr>
            <w:rFonts w:asciiTheme="minorHAnsi" w:hAnsiTheme="minorHAnsi" w:cstheme="minorHAnsi"/>
            <w:color w:val="0000FF"/>
            <w:sz w:val="22"/>
            <w:szCs w:val="22"/>
            <w:u w:val="single"/>
          </w:rPr>
          <w:t xml:space="preserve"> </w:t>
        </w:r>
        <w:r w:rsidRPr="00C95105">
          <w:rPr>
            <w:rFonts w:asciiTheme="minorHAnsi" w:hAnsiTheme="minorHAnsi" w:cstheme="minorHAnsi"/>
            <w:color w:val="0000FF"/>
            <w:sz w:val="22"/>
            <w:szCs w:val="22"/>
            <w:u w:val="single"/>
          </w:rPr>
          <w:t>10.1177/09500170122118940</w:t>
        </w:r>
      </w:hyperlink>
      <w:r w:rsidRPr="00C95105">
        <w:rPr>
          <w:rFonts w:asciiTheme="minorHAnsi" w:hAnsiTheme="minorHAnsi" w:cstheme="minorHAnsi"/>
          <w:color w:val="0563C1"/>
          <w:sz w:val="22"/>
          <w:szCs w:val="22"/>
        </w:rPr>
        <w:t> </w:t>
      </w:r>
    </w:p>
    <w:p w14:paraId="0D578967" w14:textId="21BD6F34"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Brandth, B., &amp; Kvande, E. (2019). Fathers' sense of entitlement to ear-marked and shared parental leave. </w:t>
      </w:r>
      <w:r w:rsidRPr="00C95105">
        <w:rPr>
          <w:rFonts w:asciiTheme="minorHAnsi" w:hAnsiTheme="minorHAnsi" w:cstheme="minorHAnsi"/>
          <w:i/>
          <w:iCs/>
          <w:color w:val="000000"/>
          <w:sz w:val="22"/>
          <w:szCs w:val="22"/>
        </w:rPr>
        <w:t>The Sociological Review, 67</w:t>
      </w:r>
      <w:r w:rsidRPr="00C95105">
        <w:rPr>
          <w:rFonts w:asciiTheme="minorHAnsi" w:hAnsiTheme="minorHAnsi" w:cstheme="minorHAnsi"/>
          <w:color w:val="000000"/>
          <w:sz w:val="22"/>
          <w:szCs w:val="22"/>
        </w:rPr>
        <w:t>(5), 1154-1169. doi:</w:t>
      </w:r>
      <w:hyperlink r:id="rId60" w:tgtFrame="_blank" w:history="1">
        <w:r w:rsidR="001D0642" w:rsidRPr="00C95105">
          <w:rPr>
            <w:rFonts w:asciiTheme="minorHAnsi" w:hAnsiTheme="minorHAnsi" w:cstheme="minorHAnsi"/>
            <w:color w:val="0000FF"/>
            <w:sz w:val="22"/>
            <w:szCs w:val="22"/>
            <w:u w:val="single"/>
          </w:rPr>
          <w:t xml:space="preserve"> </w:t>
        </w:r>
        <w:r w:rsidRPr="00C95105">
          <w:rPr>
            <w:rFonts w:asciiTheme="minorHAnsi" w:hAnsiTheme="minorHAnsi" w:cstheme="minorHAnsi"/>
            <w:color w:val="0000FF"/>
            <w:sz w:val="22"/>
            <w:szCs w:val="22"/>
            <w:u w:val="single"/>
          </w:rPr>
          <w:t>10.1177/0038026118809002</w:t>
        </w:r>
      </w:hyperlink>
      <w:r w:rsidRPr="00C95105">
        <w:rPr>
          <w:rFonts w:asciiTheme="minorHAnsi" w:hAnsiTheme="minorHAnsi" w:cstheme="minorHAnsi"/>
          <w:color w:val="0563C1"/>
          <w:sz w:val="22"/>
          <w:szCs w:val="22"/>
        </w:rPr>
        <w:t> </w:t>
      </w:r>
    </w:p>
    <w:p w14:paraId="723EDAEE"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Bueno, X., &amp; Grau-Grau, M. (2021). Why Is Part-time Unpaid Parental Leave (Still) Gendered? Narratives and Strategies of Couples in Spain. </w:t>
      </w:r>
      <w:r w:rsidRPr="00C95105">
        <w:rPr>
          <w:rFonts w:asciiTheme="minorHAnsi" w:hAnsiTheme="minorHAnsi" w:cstheme="minorHAnsi"/>
          <w:i/>
          <w:iCs/>
          <w:color w:val="000000"/>
          <w:sz w:val="22"/>
          <w:szCs w:val="22"/>
        </w:rPr>
        <w:t>Journal of Family Issues, 42</w:t>
      </w:r>
      <w:r w:rsidRPr="00C95105">
        <w:rPr>
          <w:rFonts w:asciiTheme="minorHAnsi" w:hAnsiTheme="minorHAnsi" w:cstheme="minorHAnsi"/>
          <w:color w:val="000000"/>
          <w:sz w:val="22"/>
          <w:szCs w:val="22"/>
        </w:rPr>
        <w:t xml:space="preserve">(3), 503-526. </w:t>
      </w:r>
      <w:r w:rsidRPr="00C95105">
        <w:rPr>
          <w:rFonts w:asciiTheme="minorHAnsi" w:hAnsiTheme="minorHAnsi" w:cstheme="minorHAnsi"/>
          <w:color w:val="000000"/>
          <w:sz w:val="22"/>
          <w:szCs w:val="22"/>
        </w:rPr>
        <w:lastRenderedPageBreak/>
        <w:t xml:space="preserve">Retrieved from </w:t>
      </w:r>
      <w:hyperlink r:id="rId61" w:tgtFrame="_blank" w:history="1">
        <w:r w:rsidRPr="00C95105">
          <w:rPr>
            <w:rFonts w:asciiTheme="minorHAnsi" w:hAnsiTheme="minorHAnsi" w:cstheme="minorHAnsi"/>
            <w:color w:val="0000FF"/>
            <w:sz w:val="22"/>
            <w:szCs w:val="22"/>
            <w:u w:val="single"/>
          </w:rPr>
          <w:t>https://www.proquest.com/docview/2503244189?accountid=12372&amp;bdid=10814&amp;_bd=pzYT80tmxJ3hXC1Y8s7RW%2BTYzLk%3D</w:t>
        </w:r>
      </w:hyperlink>
      <w:r w:rsidRPr="00C95105">
        <w:rPr>
          <w:rFonts w:asciiTheme="minorHAnsi" w:hAnsiTheme="minorHAnsi" w:cstheme="minorHAnsi"/>
          <w:color w:val="0563C1"/>
          <w:sz w:val="22"/>
          <w:szCs w:val="22"/>
        </w:rPr>
        <w:t> </w:t>
      </w:r>
    </w:p>
    <w:p w14:paraId="7061C43C"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Bygren, M., &amp; </w:t>
      </w:r>
      <w:r w:rsidRPr="00C95105">
        <w:rPr>
          <w:rFonts w:asciiTheme="minorHAnsi" w:hAnsiTheme="minorHAnsi" w:cstheme="minorHAnsi"/>
          <w:color w:val="0000FF"/>
          <w:sz w:val="22"/>
          <w:szCs w:val="22"/>
          <w:u w:val="single"/>
        </w:rPr>
        <w:t>Duvander, A. Z.</w:t>
      </w:r>
      <w:r w:rsidRPr="00C95105">
        <w:rPr>
          <w:rFonts w:asciiTheme="minorHAnsi" w:hAnsiTheme="minorHAnsi" w:cstheme="minorHAnsi"/>
          <w:color w:val="000000"/>
          <w:sz w:val="22"/>
          <w:szCs w:val="22"/>
        </w:rPr>
        <w:t xml:space="preserve"> (2006). Parents' Workplace Situation and Fathers' Parental Leave Use. </w:t>
      </w:r>
      <w:r w:rsidRPr="00C95105">
        <w:rPr>
          <w:rFonts w:asciiTheme="minorHAnsi" w:hAnsiTheme="minorHAnsi" w:cstheme="minorHAnsi"/>
          <w:i/>
          <w:iCs/>
          <w:color w:val="000000"/>
          <w:sz w:val="22"/>
          <w:szCs w:val="22"/>
        </w:rPr>
        <w:t>Journal of Marriage and Family, 68</w:t>
      </w:r>
      <w:r w:rsidRPr="00C95105">
        <w:rPr>
          <w:rFonts w:asciiTheme="minorHAnsi" w:hAnsiTheme="minorHAnsi" w:cstheme="minorHAnsi"/>
          <w:color w:val="000000"/>
          <w:sz w:val="22"/>
          <w:szCs w:val="22"/>
        </w:rPr>
        <w:t xml:space="preserve">(2), 363. Retrieved from </w:t>
      </w:r>
      <w:hyperlink r:id="rId62" w:tgtFrame="_blank" w:history="1">
        <w:r w:rsidRPr="00C95105">
          <w:rPr>
            <w:rFonts w:asciiTheme="minorHAnsi" w:hAnsiTheme="minorHAnsi" w:cstheme="minorHAnsi"/>
            <w:color w:val="0000FF"/>
            <w:sz w:val="22"/>
            <w:szCs w:val="22"/>
            <w:u w:val="single"/>
          </w:rPr>
          <w:t>https://www.proquest.com/docview/219764717?accountid=12372&amp;bdid=10814&amp;_bd=%2BnuLtvzHErAgXr3czW%2BwI7eHr98%3D</w:t>
        </w:r>
      </w:hyperlink>
      <w:r w:rsidRPr="00C95105">
        <w:rPr>
          <w:rFonts w:asciiTheme="minorHAnsi" w:hAnsiTheme="minorHAnsi" w:cstheme="minorHAnsi"/>
          <w:color w:val="0563C1"/>
          <w:sz w:val="22"/>
          <w:szCs w:val="22"/>
        </w:rPr>
        <w:t> </w:t>
      </w:r>
    </w:p>
    <w:p w14:paraId="71B221AA"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Cannito, M. (2020). The influence of partners on fathers’ decision-making about parental leave in Italy: Rethinking maternal gatekeeping. </w:t>
      </w:r>
      <w:r w:rsidRPr="00C95105">
        <w:rPr>
          <w:rFonts w:asciiTheme="minorHAnsi" w:hAnsiTheme="minorHAnsi" w:cstheme="minorHAnsi"/>
          <w:i/>
          <w:iCs/>
          <w:color w:val="000000"/>
          <w:sz w:val="22"/>
          <w:szCs w:val="22"/>
        </w:rPr>
        <w:t>Current Sociology, 68</w:t>
      </w:r>
      <w:r w:rsidRPr="00C95105">
        <w:rPr>
          <w:rFonts w:asciiTheme="minorHAnsi" w:hAnsiTheme="minorHAnsi" w:cstheme="minorHAnsi"/>
          <w:color w:val="000000"/>
          <w:sz w:val="22"/>
          <w:szCs w:val="22"/>
        </w:rPr>
        <w:t xml:space="preserve">(6), 832-849. Retrieved from </w:t>
      </w:r>
      <w:hyperlink r:id="rId63" w:tgtFrame="_blank" w:history="1">
        <w:r w:rsidRPr="00C95105">
          <w:rPr>
            <w:rFonts w:asciiTheme="minorHAnsi" w:hAnsiTheme="minorHAnsi" w:cstheme="minorHAnsi"/>
            <w:color w:val="0000FF"/>
            <w:sz w:val="22"/>
            <w:szCs w:val="22"/>
            <w:u w:val="single"/>
          </w:rPr>
          <w:t>https://www.proquest.com/docview/2451091754?accountid=12372&amp;bdid=10814&amp;_bd=HM2vQb5ZILDEcqrevFNEIgYxrbk%3D</w:t>
        </w:r>
      </w:hyperlink>
      <w:r w:rsidRPr="00C95105">
        <w:rPr>
          <w:rFonts w:asciiTheme="minorHAnsi" w:hAnsiTheme="minorHAnsi" w:cstheme="minorHAnsi"/>
          <w:color w:val="0563C1"/>
          <w:sz w:val="22"/>
          <w:szCs w:val="22"/>
        </w:rPr>
        <w:t> </w:t>
      </w:r>
    </w:p>
    <w:p w14:paraId="59C257F0"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Choroszewicz, M., &amp; Tremblay, D.-G. (2018). Parental-leave policy for male lawyers in Helsinki and Montreal: cultural and professional barriers to male lawyers’ use of paternity and parental leaves. </w:t>
      </w:r>
      <w:r w:rsidRPr="00C95105">
        <w:rPr>
          <w:rFonts w:asciiTheme="minorHAnsi" w:hAnsiTheme="minorHAnsi" w:cstheme="minorHAnsi"/>
          <w:i/>
          <w:iCs/>
          <w:color w:val="000000"/>
          <w:sz w:val="22"/>
          <w:szCs w:val="22"/>
        </w:rPr>
        <w:t>International Journal of the Legal Profession, 25</w:t>
      </w:r>
      <w:r w:rsidRPr="00C95105">
        <w:rPr>
          <w:rFonts w:asciiTheme="minorHAnsi" w:hAnsiTheme="minorHAnsi" w:cstheme="minorHAnsi"/>
          <w:color w:val="000000"/>
          <w:sz w:val="22"/>
          <w:szCs w:val="22"/>
        </w:rPr>
        <w:t>(3), 303-316. doi:10.1080/09695958.2018.1456435 </w:t>
      </w:r>
    </w:p>
    <w:p w14:paraId="0FB482A8"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Duvander, A. Z., &amp; Johansson, M. (2012). What are the effects of reforms promoting fathers' parental leave use? </w:t>
      </w:r>
      <w:r w:rsidRPr="00C95105">
        <w:rPr>
          <w:rFonts w:asciiTheme="minorHAnsi" w:hAnsiTheme="minorHAnsi" w:cstheme="minorHAnsi"/>
          <w:i/>
          <w:iCs/>
          <w:color w:val="000000"/>
          <w:sz w:val="22"/>
          <w:szCs w:val="22"/>
        </w:rPr>
        <w:t>Journal of European Social Policy, 22</w:t>
      </w:r>
      <w:r w:rsidRPr="00C95105">
        <w:rPr>
          <w:rFonts w:asciiTheme="minorHAnsi" w:hAnsiTheme="minorHAnsi" w:cstheme="minorHAnsi"/>
          <w:color w:val="000000"/>
          <w:sz w:val="22"/>
          <w:szCs w:val="22"/>
        </w:rPr>
        <w:t xml:space="preserve">(3), 319. Retrieved from </w:t>
      </w:r>
      <w:hyperlink r:id="rId64" w:tgtFrame="_blank" w:history="1">
        <w:r w:rsidRPr="00C95105">
          <w:rPr>
            <w:rFonts w:asciiTheme="minorHAnsi" w:hAnsiTheme="minorHAnsi" w:cstheme="minorHAnsi"/>
            <w:color w:val="0000FF"/>
            <w:sz w:val="22"/>
            <w:szCs w:val="22"/>
            <w:u w:val="single"/>
          </w:rPr>
          <w:t>https://www.proquest.com/docview/1022965792?accountid=12372&amp;bdid=10814&amp;_bd=%2FnqbOiwCDvDXwdWgLyTmpoB6CbY%3D</w:t>
        </w:r>
      </w:hyperlink>
      <w:r w:rsidRPr="00C95105">
        <w:rPr>
          <w:rFonts w:asciiTheme="minorHAnsi" w:hAnsiTheme="minorHAnsi" w:cstheme="minorHAnsi"/>
          <w:color w:val="0563C1"/>
          <w:sz w:val="22"/>
          <w:szCs w:val="22"/>
        </w:rPr>
        <w:t> </w:t>
      </w:r>
    </w:p>
    <w:p w14:paraId="1B053329"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Duvander, A. Z., Mussino, E., &amp; Tervola, J. (2021). Similar Negotiations over Childcare? A Comparative Study of Fathers’ Parental Leave Use in Finland and Sweden. </w:t>
      </w:r>
      <w:r w:rsidRPr="00C95105">
        <w:rPr>
          <w:rFonts w:asciiTheme="minorHAnsi" w:hAnsiTheme="minorHAnsi" w:cstheme="minorHAnsi"/>
          <w:i/>
          <w:iCs/>
          <w:color w:val="000000"/>
          <w:sz w:val="22"/>
          <w:szCs w:val="22"/>
        </w:rPr>
        <w:t>Societies, 11</w:t>
      </w:r>
      <w:r w:rsidRPr="00C95105">
        <w:rPr>
          <w:rFonts w:asciiTheme="minorHAnsi" w:hAnsiTheme="minorHAnsi" w:cstheme="minorHAnsi"/>
          <w:color w:val="000000"/>
          <w:sz w:val="22"/>
          <w:szCs w:val="22"/>
        </w:rPr>
        <w:t>(3). doi:10.3390/soc11030067 </w:t>
      </w:r>
    </w:p>
    <w:p w14:paraId="3188745A"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Eerola, P., Lammi-Taskula, J., O’Brien, M., Hietamäki, J., &amp; Räikkönen, E. (2019). Fathers’ Leave Take-Up in Finland: Motivations and Barriers in a Complex Nordic Leave Scheme. </w:t>
      </w:r>
      <w:r w:rsidRPr="00C95105">
        <w:rPr>
          <w:rFonts w:asciiTheme="minorHAnsi" w:hAnsiTheme="minorHAnsi" w:cstheme="minorHAnsi"/>
          <w:i/>
          <w:iCs/>
          <w:color w:val="000000"/>
          <w:sz w:val="22"/>
          <w:szCs w:val="22"/>
        </w:rPr>
        <w:t>Sage Open, 9</w:t>
      </w:r>
      <w:r w:rsidRPr="00C95105">
        <w:rPr>
          <w:rFonts w:asciiTheme="minorHAnsi" w:hAnsiTheme="minorHAnsi" w:cstheme="minorHAnsi"/>
          <w:color w:val="000000"/>
          <w:sz w:val="22"/>
          <w:szCs w:val="22"/>
        </w:rPr>
        <w:t xml:space="preserve">(4). Retrieved from </w:t>
      </w:r>
      <w:hyperlink r:id="rId65" w:tgtFrame="_blank" w:history="1">
        <w:r w:rsidRPr="00C95105">
          <w:rPr>
            <w:rFonts w:asciiTheme="minorHAnsi" w:hAnsiTheme="minorHAnsi" w:cstheme="minorHAnsi"/>
            <w:color w:val="0000FF"/>
            <w:sz w:val="22"/>
            <w:szCs w:val="22"/>
            <w:u w:val="single"/>
          </w:rPr>
          <w:t>https://www.proquest.com/docview/2331603492?accountid=12372&amp;bdid=10814&amp;_bd=xgWL7A5bnf8FW71DQBkX0S%2FxLa8%3D</w:t>
        </w:r>
      </w:hyperlink>
      <w:r w:rsidRPr="00C95105">
        <w:rPr>
          <w:rFonts w:asciiTheme="minorHAnsi" w:hAnsiTheme="minorHAnsi" w:cstheme="minorHAnsi"/>
          <w:color w:val="0563C1"/>
          <w:sz w:val="22"/>
          <w:szCs w:val="22"/>
        </w:rPr>
        <w:t> </w:t>
      </w:r>
    </w:p>
    <w:p w14:paraId="5AE46CF9"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Ekberg, J., Eriksson, R., &amp; Friebel, G. (2013). Parental leave — A policy evaluation of the Swedish “Daddy-Month” reform. </w:t>
      </w:r>
      <w:r w:rsidRPr="00C95105">
        <w:rPr>
          <w:rFonts w:asciiTheme="minorHAnsi" w:hAnsiTheme="minorHAnsi" w:cstheme="minorHAnsi"/>
          <w:i/>
          <w:iCs/>
          <w:color w:val="000000"/>
          <w:sz w:val="22"/>
          <w:szCs w:val="22"/>
        </w:rPr>
        <w:t>Journal of Public Economics, 97</w:t>
      </w:r>
      <w:r w:rsidRPr="00C95105">
        <w:rPr>
          <w:rFonts w:asciiTheme="minorHAnsi" w:hAnsiTheme="minorHAnsi" w:cstheme="minorHAnsi"/>
          <w:color w:val="000000"/>
          <w:sz w:val="22"/>
          <w:szCs w:val="22"/>
        </w:rPr>
        <w:t>, 131-143. doi:10.1016/j.jpubeco.2012.09.001 </w:t>
      </w:r>
    </w:p>
    <w:p w14:paraId="083562DA"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Ellingsæter, A. L., Kitterød, R. H., &amp; Østbakken, K. M. (2020). Immigrants and the 'caring father': Inequality in access to and utilisation of parental leave in Norway. </w:t>
      </w:r>
      <w:r w:rsidRPr="00C95105">
        <w:rPr>
          <w:rFonts w:asciiTheme="minorHAnsi" w:hAnsiTheme="minorHAnsi" w:cstheme="minorHAnsi"/>
          <w:i/>
          <w:iCs/>
          <w:color w:val="000000"/>
          <w:sz w:val="22"/>
          <w:szCs w:val="22"/>
        </w:rPr>
        <w:t>Ethnicities, 20</w:t>
      </w:r>
      <w:r w:rsidRPr="00C95105">
        <w:rPr>
          <w:rFonts w:asciiTheme="minorHAnsi" w:hAnsiTheme="minorHAnsi" w:cstheme="minorHAnsi"/>
          <w:color w:val="000000"/>
          <w:sz w:val="22"/>
          <w:szCs w:val="22"/>
        </w:rPr>
        <w:t>(5), 959-982. doi:10.1177/1468796819890109 </w:t>
      </w:r>
    </w:p>
    <w:p w14:paraId="031E093C"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Escot, L., Fernandez-Cornejo, J. A., Lafuente, C., &amp; Poza, C. (2012). Willingness of Spanish men to take maternity leave. Do firms' strategies for reconciliation impinge on this? </w:t>
      </w:r>
      <w:r w:rsidRPr="00C95105">
        <w:rPr>
          <w:rFonts w:asciiTheme="minorHAnsi" w:hAnsiTheme="minorHAnsi" w:cstheme="minorHAnsi"/>
          <w:i/>
          <w:iCs/>
          <w:color w:val="000000"/>
          <w:sz w:val="22"/>
          <w:szCs w:val="22"/>
        </w:rPr>
        <w:t>Sex Roles: A Journal of Research, 67</w:t>
      </w:r>
      <w:r w:rsidRPr="00C95105">
        <w:rPr>
          <w:rFonts w:asciiTheme="minorHAnsi" w:hAnsiTheme="minorHAnsi" w:cstheme="minorHAnsi"/>
          <w:color w:val="000000"/>
          <w:sz w:val="22"/>
          <w:szCs w:val="22"/>
        </w:rPr>
        <w:t>(1-2), 29-42. doi:</w:t>
      </w:r>
      <w:hyperlink r:id="rId66" w:tgtFrame="_blank" w:history="1">
        <w:r w:rsidRPr="00C95105">
          <w:rPr>
            <w:rFonts w:asciiTheme="minorHAnsi" w:hAnsiTheme="minorHAnsi" w:cstheme="minorHAnsi"/>
            <w:color w:val="0000FF"/>
            <w:sz w:val="22"/>
            <w:szCs w:val="22"/>
            <w:u w:val="single"/>
          </w:rPr>
          <w:t>http://dx.doi.org/10.1007/s11199-012-0142-6</w:t>
        </w:r>
      </w:hyperlink>
      <w:r w:rsidRPr="00C95105">
        <w:rPr>
          <w:rFonts w:asciiTheme="minorHAnsi" w:hAnsiTheme="minorHAnsi" w:cstheme="minorHAnsi"/>
          <w:color w:val="0563C1"/>
          <w:sz w:val="22"/>
          <w:szCs w:val="22"/>
        </w:rPr>
        <w:t> </w:t>
      </w:r>
    </w:p>
    <w:p w14:paraId="3254F394"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Escot, L., Fernández-Cornejo, J. A., &amp; Poza, C. (2014). Fathers' Use of Childbirth Leave in Spain. The Effects of the 13-Day Paternity Leave. </w:t>
      </w:r>
      <w:r w:rsidRPr="00C95105">
        <w:rPr>
          <w:rFonts w:asciiTheme="minorHAnsi" w:hAnsiTheme="minorHAnsi" w:cstheme="minorHAnsi"/>
          <w:i/>
          <w:iCs/>
          <w:color w:val="000000"/>
          <w:sz w:val="22"/>
          <w:szCs w:val="22"/>
        </w:rPr>
        <w:t>Population Research and Policy Review, 33</w:t>
      </w:r>
      <w:r w:rsidRPr="00C95105">
        <w:rPr>
          <w:rFonts w:asciiTheme="minorHAnsi" w:hAnsiTheme="minorHAnsi" w:cstheme="minorHAnsi"/>
          <w:color w:val="000000"/>
          <w:sz w:val="22"/>
          <w:szCs w:val="22"/>
        </w:rPr>
        <w:t xml:space="preserve">(3), 419. Retrieved from </w:t>
      </w:r>
      <w:hyperlink r:id="rId67" w:tgtFrame="_blank" w:history="1">
        <w:r w:rsidRPr="00C95105">
          <w:rPr>
            <w:rFonts w:asciiTheme="minorHAnsi" w:hAnsiTheme="minorHAnsi" w:cstheme="minorHAnsi"/>
            <w:color w:val="0000FF"/>
            <w:sz w:val="22"/>
            <w:szCs w:val="22"/>
            <w:u w:val="single"/>
          </w:rPr>
          <w:t>https://www.proquest.com/docview/1514766135?accountid=12372&amp;bdid=10814&amp;_bd=9H54ozsL6zGoYYV5z3o1TLa7k9g%3D</w:t>
        </w:r>
      </w:hyperlink>
      <w:r w:rsidRPr="00C95105">
        <w:rPr>
          <w:rFonts w:asciiTheme="minorHAnsi" w:hAnsiTheme="minorHAnsi" w:cstheme="minorHAnsi"/>
          <w:color w:val="0563C1"/>
          <w:sz w:val="22"/>
          <w:szCs w:val="22"/>
        </w:rPr>
        <w:t> </w:t>
      </w:r>
    </w:p>
    <w:p w14:paraId="001131C4"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Fernández-Cornejo, J. A., Del Pozo-García, E., Escot, L., &amp; Belope-Nguema, S. (2020). Why do Spanish fathers still make little use of the family-friendly measures? </w:t>
      </w:r>
      <w:r w:rsidRPr="00C95105">
        <w:rPr>
          <w:rFonts w:asciiTheme="minorHAnsi" w:hAnsiTheme="minorHAnsi" w:cstheme="minorHAnsi"/>
          <w:i/>
          <w:iCs/>
          <w:color w:val="000000"/>
          <w:sz w:val="22"/>
          <w:szCs w:val="22"/>
        </w:rPr>
        <w:t>Social Science Information, 59</w:t>
      </w:r>
      <w:r w:rsidRPr="00C95105">
        <w:rPr>
          <w:rFonts w:asciiTheme="minorHAnsi" w:hAnsiTheme="minorHAnsi" w:cstheme="minorHAnsi"/>
          <w:color w:val="000000"/>
          <w:sz w:val="22"/>
          <w:szCs w:val="22"/>
        </w:rPr>
        <w:t xml:space="preserve">(2), 355-379. Retrieved from </w:t>
      </w:r>
      <w:hyperlink r:id="rId68" w:tgtFrame="_blank" w:history="1">
        <w:r w:rsidRPr="00C95105">
          <w:rPr>
            <w:rFonts w:asciiTheme="minorHAnsi" w:hAnsiTheme="minorHAnsi" w:cstheme="minorHAnsi"/>
            <w:color w:val="0000FF"/>
            <w:sz w:val="22"/>
            <w:szCs w:val="22"/>
            <w:u w:val="single"/>
          </w:rPr>
          <w:t>https://www.proquest.com/docview/2413905292?accountid=12372&amp;bdid=10814&amp;_bd=8a20935iBtKzFmpQ7v1cIwJGGj0%3D</w:t>
        </w:r>
      </w:hyperlink>
      <w:r w:rsidRPr="00C95105">
        <w:rPr>
          <w:rFonts w:asciiTheme="minorHAnsi" w:hAnsiTheme="minorHAnsi" w:cstheme="minorHAnsi"/>
          <w:color w:val="0563C1"/>
          <w:sz w:val="22"/>
          <w:szCs w:val="22"/>
        </w:rPr>
        <w:t> </w:t>
      </w:r>
    </w:p>
    <w:p w14:paraId="2EAECAC6"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lastRenderedPageBreak/>
        <w:t xml:space="preserve">Geisler, E., &amp; Kreyenfeld, M. (2011). Against all odds: Fathers’ use of parental leave in Germany. </w:t>
      </w:r>
      <w:r w:rsidRPr="00C95105">
        <w:rPr>
          <w:rFonts w:asciiTheme="minorHAnsi" w:hAnsiTheme="minorHAnsi" w:cstheme="minorHAnsi"/>
          <w:i/>
          <w:iCs/>
          <w:color w:val="000000"/>
          <w:sz w:val="22"/>
          <w:szCs w:val="22"/>
        </w:rPr>
        <w:t>Journal of European Social Policy, 21</w:t>
      </w:r>
      <w:r w:rsidRPr="00C95105">
        <w:rPr>
          <w:rFonts w:asciiTheme="minorHAnsi" w:hAnsiTheme="minorHAnsi" w:cstheme="minorHAnsi"/>
          <w:color w:val="000000"/>
          <w:sz w:val="22"/>
          <w:szCs w:val="22"/>
        </w:rPr>
        <w:t>(1), 88-99. doi:10.1177/0958928710385732 </w:t>
      </w:r>
    </w:p>
    <w:p w14:paraId="02A5EBF8"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Geisler, E., &amp; Kreyenfeld, M. (2019). Policy reform and fathers’ use of parental leave in Germany: The role of education and workplace characteristics. </w:t>
      </w:r>
      <w:r w:rsidRPr="00C95105">
        <w:rPr>
          <w:rFonts w:asciiTheme="minorHAnsi" w:hAnsiTheme="minorHAnsi" w:cstheme="minorHAnsi"/>
          <w:i/>
          <w:iCs/>
          <w:color w:val="000000"/>
          <w:sz w:val="22"/>
          <w:szCs w:val="22"/>
        </w:rPr>
        <w:t>Journal of European Social Policy, 29</w:t>
      </w:r>
      <w:r w:rsidRPr="00C95105">
        <w:rPr>
          <w:rFonts w:asciiTheme="minorHAnsi" w:hAnsiTheme="minorHAnsi" w:cstheme="minorHAnsi"/>
          <w:color w:val="000000"/>
          <w:sz w:val="22"/>
          <w:szCs w:val="22"/>
        </w:rPr>
        <w:t xml:space="preserve">(2), 273-291. Retrieved from </w:t>
      </w:r>
      <w:hyperlink r:id="rId69" w:tgtFrame="_blank" w:history="1">
        <w:r w:rsidRPr="00C95105">
          <w:rPr>
            <w:rFonts w:asciiTheme="minorHAnsi" w:hAnsiTheme="minorHAnsi" w:cstheme="minorHAnsi"/>
            <w:color w:val="0000FF"/>
            <w:sz w:val="22"/>
            <w:szCs w:val="22"/>
            <w:u w:val="single"/>
          </w:rPr>
          <w:t>https://www.proquest.com/docview/2210376921?accountid=12372&amp;bdid=10814&amp;_bd=m%2FgllmdxEKLIhZxBsrKMtSmvbnc%3D</w:t>
        </w:r>
      </w:hyperlink>
      <w:r w:rsidRPr="00C95105">
        <w:rPr>
          <w:rFonts w:asciiTheme="minorHAnsi" w:hAnsiTheme="minorHAnsi" w:cstheme="minorHAnsi"/>
          <w:color w:val="0563C1"/>
          <w:sz w:val="22"/>
          <w:szCs w:val="22"/>
        </w:rPr>
        <w:t> </w:t>
      </w:r>
    </w:p>
    <w:p w14:paraId="325A48A2"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Haas, L., Allard, K., &amp; Hwang, P. (2002). The impact of organizational culture on men's use of parental leave in Sweden. </w:t>
      </w:r>
      <w:r w:rsidRPr="00C95105">
        <w:rPr>
          <w:rFonts w:asciiTheme="minorHAnsi" w:hAnsiTheme="minorHAnsi" w:cstheme="minorHAnsi"/>
          <w:i/>
          <w:iCs/>
          <w:color w:val="000000"/>
          <w:sz w:val="22"/>
          <w:szCs w:val="22"/>
        </w:rPr>
        <w:t>Community, Work &amp; Family, 5</w:t>
      </w:r>
      <w:r w:rsidRPr="00C95105">
        <w:rPr>
          <w:rFonts w:asciiTheme="minorHAnsi" w:hAnsiTheme="minorHAnsi" w:cstheme="minorHAnsi"/>
          <w:color w:val="000000"/>
          <w:sz w:val="22"/>
          <w:szCs w:val="22"/>
        </w:rPr>
        <w:t>(3), 319-342. doi:</w:t>
      </w:r>
      <w:hyperlink r:id="rId70" w:tgtFrame="_blank" w:history="1">
        <w:r w:rsidRPr="00C95105">
          <w:rPr>
            <w:rFonts w:asciiTheme="minorHAnsi" w:hAnsiTheme="minorHAnsi" w:cstheme="minorHAnsi"/>
            <w:color w:val="0000FF"/>
            <w:sz w:val="22"/>
            <w:szCs w:val="22"/>
            <w:u w:val="single"/>
          </w:rPr>
          <w:t>http://dx.doi.org/10.1080/1366880022000041801</w:t>
        </w:r>
      </w:hyperlink>
      <w:r w:rsidRPr="00C95105">
        <w:rPr>
          <w:rFonts w:asciiTheme="minorHAnsi" w:hAnsiTheme="minorHAnsi" w:cstheme="minorHAnsi"/>
          <w:color w:val="0563C1"/>
          <w:sz w:val="22"/>
          <w:szCs w:val="22"/>
        </w:rPr>
        <w:t> </w:t>
      </w:r>
    </w:p>
    <w:p w14:paraId="4CA149E4"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Haas, L., &amp; Hwang, C. (2019). Policy is not enough-The influence of the gendered workplace on fathers' use of parental leave in Sweden. </w:t>
      </w:r>
      <w:r w:rsidRPr="00C95105">
        <w:rPr>
          <w:rFonts w:asciiTheme="minorHAnsi" w:hAnsiTheme="minorHAnsi" w:cstheme="minorHAnsi"/>
          <w:i/>
          <w:iCs/>
          <w:color w:val="000000"/>
          <w:sz w:val="22"/>
          <w:szCs w:val="22"/>
        </w:rPr>
        <w:t>Community, Work &amp; Family, 22</w:t>
      </w:r>
      <w:r w:rsidRPr="00C95105">
        <w:rPr>
          <w:rFonts w:asciiTheme="minorHAnsi" w:hAnsiTheme="minorHAnsi" w:cstheme="minorHAnsi"/>
          <w:color w:val="000000"/>
          <w:sz w:val="22"/>
          <w:szCs w:val="22"/>
        </w:rPr>
        <w:t>(1), 58-76. doi:</w:t>
      </w:r>
      <w:hyperlink r:id="rId71" w:tgtFrame="_blank" w:history="1">
        <w:r w:rsidRPr="00C95105">
          <w:rPr>
            <w:rFonts w:asciiTheme="minorHAnsi" w:hAnsiTheme="minorHAnsi" w:cstheme="minorHAnsi"/>
            <w:color w:val="0000FF"/>
            <w:sz w:val="22"/>
            <w:szCs w:val="22"/>
            <w:u w:val="single"/>
          </w:rPr>
          <w:t>http://dx.doi.org/10.1080/13668803.2018.1495616</w:t>
        </w:r>
      </w:hyperlink>
      <w:r w:rsidRPr="00C95105">
        <w:rPr>
          <w:rFonts w:asciiTheme="minorHAnsi" w:hAnsiTheme="minorHAnsi" w:cstheme="minorHAnsi"/>
          <w:color w:val="0563C1"/>
          <w:sz w:val="22"/>
          <w:szCs w:val="22"/>
        </w:rPr>
        <w:t> </w:t>
      </w:r>
    </w:p>
    <w:p w14:paraId="629C94E8"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Haas, L., &amp; Rostgaard, T. (2011). Fathers' rights to paid parental leave in the Nordic countries: Consequences for the gendered division of leave. </w:t>
      </w:r>
      <w:r w:rsidRPr="00C95105">
        <w:rPr>
          <w:rFonts w:asciiTheme="minorHAnsi" w:hAnsiTheme="minorHAnsi" w:cstheme="minorHAnsi"/>
          <w:i/>
          <w:iCs/>
          <w:color w:val="000000"/>
          <w:sz w:val="22"/>
          <w:szCs w:val="22"/>
        </w:rPr>
        <w:t>Community, Work &amp; Family, 14</w:t>
      </w:r>
      <w:r w:rsidRPr="00C95105">
        <w:rPr>
          <w:rFonts w:asciiTheme="minorHAnsi" w:hAnsiTheme="minorHAnsi" w:cstheme="minorHAnsi"/>
          <w:color w:val="000000"/>
          <w:sz w:val="22"/>
          <w:szCs w:val="22"/>
        </w:rPr>
        <w:t>(2), 177-195. doi:</w:t>
      </w:r>
      <w:hyperlink r:id="rId72" w:tgtFrame="_blank" w:history="1">
        <w:r w:rsidRPr="00C95105">
          <w:rPr>
            <w:rFonts w:asciiTheme="minorHAnsi" w:hAnsiTheme="minorHAnsi" w:cstheme="minorHAnsi"/>
            <w:color w:val="0000FF"/>
            <w:sz w:val="22"/>
            <w:szCs w:val="22"/>
            <w:u w:val="single"/>
          </w:rPr>
          <w:t>http://dx.doi.org/10.1080/13668803.2011.571398</w:t>
        </w:r>
      </w:hyperlink>
      <w:r w:rsidRPr="00C95105">
        <w:rPr>
          <w:rFonts w:asciiTheme="minorHAnsi" w:hAnsiTheme="minorHAnsi" w:cstheme="minorHAnsi"/>
          <w:color w:val="0563C1"/>
          <w:sz w:val="22"/>
          <w:szCs w:val="22"/>
        </w:rPr>
        <w:t> </w:t>
      </w:r>
    </w:p>
    <w:p w14:paraId="2C096365"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Harvey, V., &amp; Tremblay, D. G. (2018). Paternity leave in quebec: Between social objectives and workplace challenges. </w:t>
      </w:r>
      <w:r w:rsidRPr="00C95105">
        <w:rPr>
          <w:rFonts w:asciiTheme="minorHAnsi" w:hAnsiTheme="minorHAnsi" w:cstheme="minorHAnsi"/>
          <w:i/>
          <w:iCs/>
          <w:color w:val="000000"/>
          <w:sz w:val="22"/>
          <w:szCs w:val="22"/>
        </w:rPr>
        <w:t>Community, Work &amp; Family</w:t>
      </w:r>
      <w:r w:rsidRPr="00C95105">
        <w:rPr>
          <w:rFonts w:asciiTheme="minorHAnsi" w:hAnsiTheme="minorHAnsi" w:cstheme="minorHAnsi"/>
          <w:color w:val="000000"/>
          <w:sz w:val="22"/>
          <w:szCs w:val="22"/>
        </w:rPr>
        <w:t>, No Pagination Specified. doi:</w:t>
      </w:r>
      <w:hyperlink r:id="rId73" w:tgtFrame="_blank" w:history="1">
        <w:r w:rsidRPr="00C95105">
          <w:rPr>
            <w:rFonts w:asciiTheme="minorHAnsi" w:hAnsiTheme="minorHAnsi" w:cstheme="minorHAnsi"/>
            <w:color w:val="0000FF"/>
            <w:sz w:val="22"/>
            <w:szCs w:val="22"/>
            <w:u w:val="single"/>
          </w:rPr>
          <w:t>http://dx.doi.org/10.1080/13668803.2018.1527756</w:t>
        </w:r>
      </w:hyperlink>
      <w:r w:rsidRPr="00C95105">
        <w:rPr>
          <w:rFonts w:asciiTheme="minorHAnsi" w:hAnsiTheme="minorHAnsi" w:cstheme="minorHAnsi"/>
          <w:color w:val="0563C1"/>
          <w:sz w:val="22"/>
          <w:szCs w:val="22"/>
        </w:rPr>
        <w:t> </w:t>
      </w:r>
    </w:p>
    <w:p w14:paraId="7F36EEBB"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Horvath, L. K., Grether, T., &amp; Wiese, B. S. (2018). Fathers’ Realizations of Parental Leave Plans: Leadership Responsibility as Help or Hindrance? </w:t>
      </w:r>
      <w:r w:rsidRPr="00C95105">
        <w:rPr>
          <w:rFonts w:asciiTheme="minorHAnsi" w:hAnsiTheme="minorHAnsi" w:cstheme="minorHAnsi"/>
          <w:i/>
          <w:iCs/>
          <w:color w:val="000000"/>
          <w:sz w:val="22"/>
          <w:szCs w:val="22"/>
        </w:rPr>
        <w:t>Sex Roles, 79</w:t>
      </w:r>
      <w:r w:rsidRPr="00C95105">
        <w:rPr>
          <w:rFonts w:asciiTheme="minorHAnsi" w:hAnsiTheme="minorHAnsi" w:cstheme="minorHAnsi"/>
          <w:color w:val="000000"/>
          <w:sz w:val="22"/>
          <w:szCs w:val="22"/>
        </w:rPr>
        <w:t xml:space="preserve">(3-4), 163-175. Retrieved from </w:t>
      </w:r>
      <w:hyperlink r:id="rId74" w:tgtFrame="_blank" w:history="1">
        <w:r w:rsidRPr="00C95105">
          <w:rPr>
            <w:rFonts w:asciiTheme="minorHAnsi" w:hAnsiTheme="minorHAnsi" w:cstheme="minorHAnsi"/>
            <w:color w:val="0000FF"/>
            <w:sz w:val="22"/>
            <w:szCs w:val="22"/>
            <w:u w:val="single"/>
          </w:rPr>
          <w:t>https://www.proquest.com/docview/1967711071?accountid=12372&amp;bdid=10814&amp;_bd=MRGSFRlG8ACWi9MGZsFVLFNKKuo%3D</w:t>
        </w:r>
      </w:hyperlink>
      <w:r w:rsidRPr="00C95105">
        <w:rPr>
          <w:rFonts w:asciiTheme="minorHAnsi" w:hAnsiTheme="minorHAnsi" w:cstheme="minorHAnsi"/>
          <w:color w:val="0563C1"/>
          <w:sz w:val="22"/>
          <w:szCs w:val="22"/>
        </w:rPr>
        <w:t> </w:t>
      </w:r>
    </w:p>
    <w:p w14:paraId="7971825A"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Hyde, J. S., Essex, M. J., &amp; Horton, F. (1993). Fathers and Parental Leave. </w:t>
      </w:r>
      <w:r w:rsidRPr="00C95105">
        <w:rPr>
          <w:rFonts w:asciiTheme="minorHAnsi" w:hAnsiTheme="minorHAnsi" w:cstheme="minorHAnsi"/>
          <w:i/>
          <w:iCs/>
          <w:color w:val="000000"/>
          <w:sz w:val="22"/>
          <w:szCs w:val="22"/>
        </w:rPr>
        <w:t>Journal of Family Issues, 14</w:t>
      </w:r>
      <w:r w:rsidRPr="00C95105">
        <w:rPr>
          <w:rFonts w:asciiTheme="minorHAnsi" w:hAnsiTheme="minorHAnsi" w:cstheme="minorHAnsi"/>
          <w:color w:val="000000"/>
          <w:sz w:val="22"/>
          <w:szCs w:val="22"/>
        </w:rPr>
        <w:t xml:space="preserve">(4), 616-638. Retrieved from </w:t>
      </w:r>
      <w:hyperlink r:id="rId75" w:tgtFrame="_blank" w:history="1">
        <w:r w:rsidRPr="00C95105">
          <w:rPr>
            <w:rFonts w:asciiTheme="minorHAnsi" w:hAnsiTheme="minorHAnsi" w:cstheme="minorHAnsi"/>
            <w:color w:val="0000FF"/>
            <w:sz w:val="22"/>
            <w:szCs w:val="22"/>
            <w:u w:val="single"/>
          </w:rPr>
          <w:t>https://www.proquest.com/docview/2343561068?accountid=12372&amp;bdid=10814&amp;_bd=sWcDtgIS3C%2FDHVTyydecNtHBVrs%3D</w:t>
        </w:r>
      </w:hyperlink>
      <w:r w:rsidRPr="00C95105">
        <w:rPr>
          <w:rFonts w:asciiTheme="minorHAnsi" w:hAnsiTheme="minorHAnsi" w:cstheme="minorHAnsi"/>
          <w:color w:val="0563C1"/>
          <w:sz w:val="22"/>
          <w:szCs w:val="22"/>
        </w:rPr>
        <w:t> </w:t>
      </w:r>
    </w:p>
    <w:p w14:paraId="12A2B1CE"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Jurado-Guerrero, T., &amp; Muñoz-Comet, J. (2021). Design Matters Most: Changing Social Gaps in the Use of Fathers’ Leave in Spain. </w:t>
      </w:r>
      <w:r w:rsidRPr="00C95105">
        <w:rPr>
          <w:rFonts w:asciiTheme="minorHAnsi" w:hAnsiTheme="minorHAnsi" w:cstheme="minorHAnsi"/>
          <w:i/>
          <w:iCs/>
          <w:color w:val="000000"/>
          <w:sz w:val="22"/>
          <w:szCs w:val="22"/>
        </w:rPr>
        <w:t>Population Research and Policy Review, 40</w:t>
      </w:r>
      <w:r w:rsidRPr="00C95105">
        <w:rPr>
          <w:rFonts w:asciiTheme="minorHAnsi" w:hAnsiTheme="minorHAnsi" w:cstheme="minorHAnsi"/>
          <w:color w:val="000000"/>
          <w:sz w:val="22"/>
          <w:szCs w:val="22"/>
        </w:rPr>
        <w:t xml:space="preserve">(3), 589-615. Retrieved from </w:t>
      </w:r>
      <w:hyperlink r:id="rId76" w:tgtFrame="_blank" w:history="1">
        <w:r w:rsidRPr="00C95105">
          <w:rPr>
            <w:rFonts w:asciiTheme="minorHAnsi" w:hAnsiTheme="minorHAnsi" w:cstheme="minorHAnsi"/>
            <w:color w:val="0000FF"/>
            <w:sz w:val="22"/>
            <w:szCs w:val="22"/>
            <w:u w:val="single"/>
          </w:rPr>
          <w:t>https://www.proquest.com/docview/2529608689?accountid=12372&amp;bdid=10814&amp;_bd=gYXmKd94BwSySB2WlXkzeUOe4cA%3D</w:t>
        </w:r>
      </w:hyperlink>
      <w:r w:rsidRPr="00C95105">
        <w:rPr>
          <w:rFonts w:asciiTheme="minorHAnsi" w:hAnsiTheme="minorHAnsi" w:cstheme="minorHAnsi"/>
          <w:color w:val="0563C1"/>
          <w:sz w:val="22"/>
          <w:szCs w:val="22"/>
        </w:rPr>
        <w:t> </w:t>
      </w:r>
    </w:p>
    <w:p w14:paraId="068BF019"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Karu, M., &amp; Tremblay, D. G. (2018). Fathers on parental leave: An analysis of rights and take-up in 29 countries. </w:t>
      </w:r>
      <w:r w:rsidRPr="00C95105">
        <w:rPr>
          <w:rFonts w:asciiTheme="minorHAnsi" w:hAnsiTheme="minorHAnsi" w:cstheme="minorHAnsi"/>
          <w:i/>
          <w:iCs/>
          <w:color w:val="000000"/>
          <w:sz w:val="22"/>
          <w:szCs w:val="22"/>
        </w:rPr>
        <w:t>Community, Work &amp; Family, 21</w:t>
      </w:r>
      <w:r w:rsidRPr="00C95105">
        <w:rPr>
          <w:rFonts w:asciiTheme="minorHAnsi" w:hAnsiTheme="minorHAnsi" w:cstheme="minorHAnsi"/>
          <w:color w:val="000000"/>
          <w:sz w:val="22"/>
          <w:szCs w:val="22"/>
        </w:rPr>
        <w:t>(3), 344-362. doi:</w:t>
      </w:r>
      <w:hyperlink r:id="rId77" w:tgtFrame="_blank" w:history="1">
        <w:r w:rsidRPr="00C95105">
          <w:rPr>
            <w:rFonts w:asciiTheme="minorHAnsi" w:hAnsiTheme="minorHAnsi" w:cstheme="minorHAnsi"/>
            <w:color w:val="0000FF"/>
            <w:sz w:val="22"/>
            <w:szCs w:val="22"/>
            <w:u w:val="single"/>
          </w:rPr>
          <w:t>http://dx.doi.org/10.1080/13668803.2017.1346586</w:t>
        </w:r>
      </w:hyperlink>
      <w:r w:rsidRPr="00C95105">
        <w:rPr>
          <w:rFonts w:asciiTheme="minorHAnsi" w:hAnsiTheme="minorHAnsi" w:cstheme="minorHAnsi"/>
          <w:color w:val="0563C1"/>
          <w:sz w:val="22"/>
          <w:szCs w:val="22"/>
        </w:rPr>
        <w:t> </w:t>
      </w:r>
    </w:p>
    <w:p w14:paraId="4186B4C4"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Koslowski, A., &amp; Kadar-Satat, G. (2019). Fathers at work: Explaining the gaps between entitlement to leave policies and uptake. </w:t>
      </w:r>
      <w:r w:rsidRPr="00C95105">
        <w:rPr>
          <w:rFonts w:asciiTheme="minorHAnsi" w:hAnsiTheme="minorHAnsi" w:cstheme="minorHAnsi"/>
          <w:i/>
          <w:iCs/>
          <w:color w:val="000000"/>
          <w:sz w:val="22"/>
          <w:szCs w:val="22"/>
        </w:rPr>
        <w:t>Community, Work &amp; Family, 22</w:t>
      </w:r>
      <w:r w:rsidRPr="00C95105">
        <w:rPr>
          <w:rFonts w:asciiTheme="minorHAnsi" w:hAnsiTheme="minorHAnsi" w:cstheme="minorHAnsi"/>
          <w:color w:val="000000"/>
          <w:sz w:val="22"/>
          <w:szCs w:val="22"/>
        </w:rPr>
        <w:t>(2), 129-145. doi:</w:t>
      </w:r>
      <w:hyperlink r:id="rId78" w:tgtFrame="_blank" w:history="1">
        <w:r w:rsidRPr="00C95105">
          <w:rPr>
            <w:rFonts w:asciiTheme="minorHAnsi" w:hAnsiTheme="minorHAnsi" w:cstheme="minorHAnsi"/>
            <w:color w:val="0000FF"/>
            <w:sz w:val="22"/>
            <w:szCs w:val="22"/>
            <w:u w:val="single"/>
          </w:rPr>
          <w:t>http://dx.doi.org/10.1080/13668803.2018.1428174</w:t>
        </w:r>
      </w:hyperlink>
      <w:r w:rsidRPr="00C95105">
        <w:rPr>
          <w:rFonts w:asciiTheme="minorHAnsi" w:hAnsiTheme="minorHAnsi" w:cstheme="minorHAnsi"/>
          <w:color w:val="0563C1"/>
          <w:sz w:val="22"/>
          <w:szCs w:val="22"/>
        </w:rPr>
        <w:t> </w:t>
      </w:r>
    </w:p>
    <w:p w14:paraId="67D19A31"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Kvande, E., &amp; Brandth, B. (2020). Designing parental leave for fathers – promoting gender equality in working life. </w:t>
      </w:r>
      <w:r w:rsidRPr="00C95105">
        <w:rPr>
          <w:rFonts w:asciiTheme="minorHAnsi" w:hAnsiTheme="minorHAnsi" w:cstheme="minorHAnsi"/>
          <w:i/>
          <w:iCs/>
          <w:color w:val="000000"/>
          <w:sz w:val="22"/>
          <w:szCs w:val="22"/>
        </w:rPr>
        <w:t>The International Journal of Sociology and Social Policy, 40</w:t>
      </w:r>
      <w:r w:rsidRPr="00C95105">
        <w:rPr>
          <w:rFonts w:asciiTheme="minorHAnsi" w:hAnsiTheme="minorHAnsi" w:cstheme="minorHAnsi"/>
          <w:color w:val="000000"/>
          <w:sz w:val="22"/>
          <w:szCs w:val="22"/>
        </w:rPr>
        <w:t xml:space="preserve">(5/6), 465-477. Retrieved from </w:t>
      </w:r>
      <w:hyperlink r:id="rId79" w:tgtFrame="_blank" w:history="1">
        <w:r w:rsidRPr="00C95105">
          <w:rPr>
            <w:rFonts w:asciiTheme="minorHAnsi" w:hAnsiTheme="minorHAnsi" w:cstheme="minorHAnsi"/>
            <w:color w:val="0000FF"/>
            <w:sz w:val="22"/>
            <w:szCs w:val="22"/>
            <w:u w:val="single"/>
          </w:rPr>
          <w:t>https://www.proquest.com/docview/2533981406?accountid=12372&amp;bdid=10814&amp;_bd=PghKRqJDuq%2F6RUW2uAVSycnEOro%3D</w:t>
        </w:r>
      </w:hyperlink>
      <w:r w:rsidRPr="00C95105">
        <w:rPr>
          <w:rFonts w:asciiTheme="minorHAnsi" w:hAnsiTheme="minorHAnsi" w:cstheme="minorHAnsi"/>
          <w:color w:val="0563C1"/>
          <w:sz w:val="22"/>
          <w:szCs w:val="22"/>
        </w:rPr>
        <w:t> </w:t>
      </w:r>
    </w:p>
    <w:p w14:paraId="6F154594"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Lammi-Taskula, J. (2008). Doing Fatherhood: Understanding the Gendered Use of Parental Leave in Finland. </w:t>
      </w:r>
      <w:r w:rsidRPr="00C95105">
        <w:rPr>
          <w:rFonts w:asciiTheme="minorHAnsi" w:hAnsiTheme="minorHAnsi" w:cstheme="minorHAnsi"/>
          <w:i/>
          <w:iCs/>
          <w:color w:val="000000"/>
          <w:sz w:val="22"/>
          <w:szCs w:val="22"/>
        </w:rPr>
        <w:t>Fathering, 6</w:t>
      </w:r>
      <w:r w:rsidRPr="00C95105">
        <w:rPr>
          <w:rFonts w:asciiTheme="minorHAnsi" w:hAnsiTheme="minorHAnsi" w:cstheme="minorHAnsi"/>
          <w:color w:val="000000"/>
          <w:sz w:val="22"/>
          <w:szCs w:val="22"/>
        </w:rPr>
        <w:t xml:space="preserve">(2), 133. Retrieved from </w:t>
      </w:r>
      <w:hyperlink r:id="rId80" w:tgtFrame="_blank" w:history="1">
        <w:r w:rsidRPr="00C95105">
          <w:rPr>
            <w:rFonts w:asciiTheme="minorHAnsi" w:hAnsiTheme="minorHAnsi" w:cstheme="minorHAnsi"/>
            <w:color w:val="0000FF"/>
            <w:sz w:val="22"/>
            <w:szCs w:val="22"/>
            <w:u w:val="single"/>
          </w:rPr>
          <w:t>https://www.proquest.com/docview/222714636?accountid=12372&amp;bdid=10814&amp;_bd=jySHbXMccDmcvYJJQV0D9fKW1qc%3D</w:t>
        </w:r>
      </w:hyperlink>
      <w:r w:rsidRPr="00C95105">
        <w:rPr>
          <w:rFonts w:asciiTheme="minorHAnsi" w:hAnsiTheme="minorHAnsi" w:cstheme="minorHAnsi"/>
          <w:color w:val="0563C1"/>
          <w:sz w:val="22"/>
          <w:szCs w:val="22"/>
        </w:rPr>
        <w:t> </w:t>
      </w:r>
    </w:p>
    <w:p w14:paraId="1E1B41AB"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Lapuerta, I. (2013). Do Regional Policies Influence the Use of Parental Leave? </w:t>
      </w:r>
      <w:r w:rsidRPr="00C95105">
        <w:rPr>
          <w:rFonts w:asciiTheme="minorHAnsi" w:hAnsiTheme="minorHAnsi" w:cstheme="minorHAnsi"/>
          <w:i/>
          <w:iCs/>
          <w:color w:val="000000"/>
          <w:sz w:val="22"/>
          <w:szCs w:val="22"/>
        </w:rPr>
        <w:t>¿Infuyen las políticas autonómicas en la utilización de la excedencia por cuidado de hijos?</w:t>
      </w:r>
      <w:r w:rsidRPr="00C95105">
        <w:rPr>
          <w:rFonts w:asciiTheme="minorHAnsi" w:hAnsiTheme="minorHAnsi" w:cstheme="minorHAnsi"/>
          <w:color w:val="000000"/>
          <w:sz w:val="22"/>
          <w:szCs w:val="22"/>
        </w:rPr>
        <w:t>(141), 29-59. doi:10.5477/cis/reis.141.29 </w:t>
      </w:r>
    </w:p>
    <w:p w14:paraId="16B2FD30"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Leitão, M. (2019). Time-sharing in parental leave: Why and how fathers assess their time to care home alone. </w:t>
      </w:r>
      <w:r w:rsidRPr="00C95105">
        <w:rPr>
          <w:rFonts w:asciiTheme="minorHAnsi" w:hAnsiTheme="minorHAnsi" w:cstheme="minorHAnsi"/>
          <w:i/>
          <w:iCs/>
          <w:color w:val="000000"/>
          <w:sz w:val="22"/>
          <w:szCs w:val="22"/>
        </w:rPr>
        <w:t>Portuguese Journal of Social Science, 18</w:t>
      </w:r>
      <w:r w:rsidRPr="00C95105">
        <w:rPr>
          <w:rFonts w:asciiTheme="minorHAnsi" w:hAnsiTheme="minorHAnsi" w:cstheme="minorHAnsi"/>
          <w:color w:val="000000"/>
          <w:sz w:val="22"/>
          <w:szCs w:val="22"/>
        </w:rPr>
        <w:t xml:space="preserve">(3), 265. Retrieved from </w:t>
      </w:r>
      <w:hyperlink r:id="rId81" w:tgtFrame="_blank" w:history="1">
        <w:r w:rsidRPr="00C95105">
          <w:rPr>
            <w:rFonts w:asciiTheme="minorHAnsi" w:hAnsiTheme="minorHAnsi" w:cstheme="minorHAnsi"/>
            <w:color w:val="0000FF"/>
            <w:sz w:val="22"/>
            <w:szCs w:val="22"/>
            <w:u w:val="single"/>
          </w:rPr>
          <w:t>https://www.proquest.com/docview/2422941759?accountid=12372&amp;bdid=10814&amp;_bd=3xrqK58Cjr2SkJaFKuyOAauAldc%3D</w:t>
        </w:r>
      </w:hyperlink>
      <w:r w:rsidRPr="00C95105">
        <w:rPr>
          <w:rFonts w:asciiTheme="minorHAnsi" w:hAnsiTheme="minorHAnsi" w:cstheme="minorHAnsi"/>
          <w:color w:val="0563C1"/>
          <w:sz w:val="22"/>
          <w:szCs w:val="22"/>
        </w:rPr>
        <w:t> </w:t>
      </w:r>
    </w:p>
    <w:p w14:paraId="6BA7D986"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Lundquist, J. H., Misra, J., &amp; O'Meara, K. (2012). Parental leave usage by fathers and mothers at an American university. </w:t>
      </w:r>
      <w:r w:rsidRPr="00C95105">
        <w:rPr>
          <w:rFonts w:asciiTheme="minorHAnsi" w:hAnsiTheme="minorHAnsi" w:cstheme="minorHAnsi"/>
          <w:i/>
          <w:iCs/>
          <w:color w:val="000000"/>
          <w:sz w:val="22"/>
          <w:szCs w:val="22"/>
        </w:rPr>
        <w:t>Fathering: A Journal of Theory, Research, and Practice about Men as Fathers, 10</w:t>
      </w:r>
      <w:r w:rsidRPr="00C95105">
        <w:rPr>
          <w:rFonts w:asciiTheme="minorHAnsi" w:hAnsiTheme="minorHAnsi" w:cstheme="minorHAnsi"/>
          <w:color w:val="000000"/>
          <w:sz w:val="22"/>
          <w:szCs w:val="22"/>
        </w:rPr>
        <w:t>(3), 337-363. doi:</w:t>
      </w:r>
      <w:hyperlink r:id="rId82" w:tgtFrame="_blank" w:history="1">
        <w:r w:rsidRPr="00C95105">
          <w:rPr>
            <w:rFonts w:asciiTheme="minorHAnsi" w:hAnsiTheme="minorHAnsi" w:cstheme="minorHAnsi"/>
            <w:color w:val="0000FF"/>
            <w:sz w:val="22"/>
            <w:szCs w:val="22"/>
            <w:u w:val="single"/>
          </w:rPr>
          <w:t>http://dx.doi.org/10.3149/fth.1003.337</w:t>
        </w:r>
      </w:hyperlink>
      <w:r w:rsidRPr="00C95105">
        <w:rPr>
          <w:rFonts w:asciiTheme="minorHAnsi" w:hAnsiTheme="minorHAnsi" w:cstheme="minorHAnsi"/>
          <w:color w:val="0563C1"/>
          <w:sz w:val="22"/>
          <w:szCs w:val="22"/>
        </w:rPr>
        <w:t> </w:t>
      </w:r>
    </w:p>
    <w:p w14:paraId="2150E7A3"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Ma, L. I., Andersson, G., Duvander, A. Z., &amp; Evertsson, M. (2020). Fathers' Uptake of Parental Leave: Forerunners and Laggards in Sweden, 1993–2010. </w:t>
      </w:r>
      <w:r w:rsidRPr="00C95105">
        <w:rPr>
          <w:rFonts w:asciiTheme="minorHAnsi" w:hAnsiTheme="minorHAnsi" w:cstheme="minorHAnsi"/>
          <w:i/>
          <w:iCs/>
          <w:color w:val="000000"/>
          <w:sz w:val="22"/>
          <w:szCs w:val="22"/>
        </w:rPr>
        <w:t>Journal of Social Policy, 49</w:t>
      </w:r>
      <w:r w:rsidRPr="00C95105">
        <w:rPr>
          <w:rFonts w:asciiTheme="minorHAnsi" w:hAnsiTheme="minorHAnsi" w:cstheme="minorHAnsi"/>
          <w:color w:val="000000"/>
          <w:sz w:val="22"/>
          <w:szCs w:val="22"/>
        </w:rPr>
        <w:t>(2), 361-381. doi:10.1017/S0047279419000230 </w:t>
      </w:r>
    </w:p>
    <w:p w14:paraId="37D318BB"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Mansdotter, A., Fredlund, P., Hallqvist, J., &amp; Magnusson, C. (2010). Who takes paternity leave? A cohort study on prior social and health characteristics among fathers in Stockholm. </w:t>
      </w:r>
      <w:r w:rsidRPr="00C95105">
        <w:rPr>
          <w:rFonts w:asciiTheme="minorHAnsi" w:hAnsiTheme="minorHAnsi" w:cstheme="minorHAnsi"/>
          <w:i/>
          <w:iCs/>
          <w:color w:val="000000"/>
          <w:sz w:val="22"/>
          <w:szCs w:val="22"/>
        </w:rPr>
        <w:t>Journal of Public Health Policy, 31</w:t>
      </w:r>
      <w:r w:rsidRPr="00C95105">
        <w:rPr>
          <w:rFonts w:asciiTheme="minorHAnsi" w:hAnsiTheme="minorHAnsi" w:cstheme="minorHAnsi"/>
          <w:color w:val="000000"/>
          <w:sz w:val="22"/>
          <w:szCs w:val="22"/>
        </w:rPr>
        <w:t>(3), 324-341. doi:</w:t>
      </w:r>
      <w:hyperlink r:id="rId83" w:tgtFrame="_blank" w:history="1">
        <w:r w:rsidRPr="00C95105">
          <w:rPr>
            <w:rFonts w:asciiTheme="minorHAnsi" w:hAnsiTheme="minorHAnsi" w:cstheme="minorHAnsi"/>
            <w:color w:val="0000FF"/>
            <w:sz w:val="22"/>
            <w:szCs w:val="22"/>
            <w:u w:val="single"/>
          </w:rPr>
          <w:t>http://dx.doi.org/10.1057/jphp.2010.24</w:t>
        </w:r>
      </w:hyperlink>
      <w:r w:rsidRPr="00C95105">
        <w:rPr>
          <w:rFonts w:asciiTheme="minorHAnsi" w:hAnsiTheme="minorHAnsi" w:cstheme="minorHAnsi"/>
          <w:color w:val="0563C1"/>
          <w:sz w:val="22"/>
          <w:szCs w:val="22"/>
        </w:rPr>
        <w:t> </w:t>
      </w:r>
    </w:p>
    <w:p w14:paraId="38688079"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Marynissen, L., Mussino, E., Wood, J., &amp; </w:t>
      </w:r>
      <w:r w:rsidRPr="00C95105">
        <w:rPr>
          <w:rFonts w:asciiTheme="minorHAnsi" w:hAnsiTheme="minorHAnsi" w:cstheme="minorHAnsi"/>
          <w:color w:val="0000FF"/>
          <w:sz w:val="22"/>
          <w:szCs w:val="22"/>
          <w:u w:val="single"/>
        </w:rPr>
        <w:t>Duvander, A. Z.</w:t>
      </w:r>
      <w:r w:rsidRPr="00C95105">
        <w:rPr>
          <w:rFonts w:asciiTheme="minorHAnsi" w:hAnsiTheme="minorHAnsi" w:cstheme="minorHAnsi"/>
          <w:color w:val="000000"/>
          <w:sz w:val="22"/>
          <w:szCs w:val="22"/>
        </w:rPr>
        <w:t xml:space="preserve"> (2019). Fathers’ Parental Leave Uptake in Belgium and Sweden: Self-Evident or Subject to Employment Characteristics? </w:t>
      </w:r>
      <w:r w:rsidRPr="00C95105">
        <w:rPr>
          <w:rFonts w:asciiTheme="minorHAnsi" w:hAnsiTheme="minorHAnsi" w:cstheme="minorHAnsi"/>
          <w:i/>
          <w:iCs/>
          <w:color w:val="000000"/>
          <w:sz w:val="22"/>
          <w:szCs w:val="22"/>
        </w:rPr>
        <w:t>Social Sciences, 8</w:t>
      </w:r>
      <w:r w:rsidRPr="00C95105">
        <w:rPr>
          <w:rFonts w:asciiTheme="minorHAnsi" w:hAnsiTheme="minorHAnsi" w:cstheme="minorHAnsi"/>
          <w:color w:val="000000"/>
          <w:sz w:val="22"/>
          <w:szCs w:val="22"/>
        </w:rPr>
        <w:t xml:space="preserve">(11), 312. Retrieved from </w:t>
      </w:r>
      <w:hyperlink r:id="rId84" w:tgtFrame="_blank" w:history="1">
        <w:r w:rsidRPr="00C95105">
          <w:rPr>
            <w:rFonts w:asciiTheme="minorHAnsi" w:hAnsiTheme="minorHAnsi" w:cstheme="minorHAnsi"/>
            <w:color w:val="0000FF"/>
            <w:sz w:val="22"/>
            <w:szCs w:val="22"/>
            <w:u w:val="single"/>
          </w:rPr>
          <w:t>https://www.proquest.com/docview/2550243213?accountid=12372&amp;bdid=10814&amp;_bd=31uoL%2F9moHX%2BfrT6T11UDPONxGo%3D</w:t>
        </w:r>
      </w:hyperlink>
      <w:r w:rsidRPr="00C95105">
        <w:rPr>
          <w:rFonts w:asciiTheme="minorHAnsi" w:hAnsiTheme="minorHAnsi" w:cstheme="minorHAnsi"/>
          <w:color w:val="0563C1"/>
          <w:sz w:val="22"/>
          <w:szCs w:val="22"/>
        </w:rPr>
        <w:t> </w:t>
      </w:r>
    </w:p>
    <w:p w14:paraId="1C1560D3"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Mayer, M., &amp; Céline Le, B. (2019). Sharing Parental Leave Among Dual-Earner Couples in Canada: Does Reserved Paternity Leave Make a Difference? </w:t>
      </w:r>
      <w:r w:rsidRPr="00C95105">
        <w:rPr>
          <w:rFonts w:asciiTheme="minorHAnsi" w:hAnsiTheme="minorHAnsi" w:cstheme="minorHAnsi"/>
          <w:i/>
          <w:iCs/>
          <w:color w:val="000000"/>
          <w:sz w:val="22"/>
          <w:szCs w:val="22"/>
        </w:rPr>
        <w:t>Population Research and Policy Review, 38</w:t>
      </w:r>
      <w:r w:rsidRPr="00C95105">
        <w:rPr>
          <w:rFonts w:asciiTheme="minorHAnsi" w:hAnsiTheme="minorHAnsi" w:cstheme="minorHAnsi"/>
          <w:color w:val="000000"/>
          <w:sz w:val="22"/>
          <w:szCs w:val="22"/>
        </w:rPr>
        <w:t xml:space="preserve">(2), 215-239. Retrieved from </w:t>
      </w:r>
      <w:hyperlink r:id="rId85" w:tgtFrame="_blank" w:history="1">
        <w:r w:rsidRPr="00C95105">
          <w:rPr>
            <w:rFonts w:asciiTheme="minorHAnsi" w:hAnsiTheme="minorHAnsi" w:cstheme="minorHAnsi"/>
            <w:color w:val="0000FF"/>
            <w:sz w:val="22"/>
            <w:szCs w:val="22"/>
            <w:u w:val="single"/>
          </w:rPr>
          <w:t>https://www.proquest.com/docview/2118139795?accountid=12372&amp;bdid=10814&amp;_bd=ITU2lwLJsDNW8qFHroE8gd3530o%3D</w:t>
        </w:r>
      </w:hyperlink>
      <w:r w:rsidRPr="00C95105">
        <w:rPr>
          <w:rFonts w:asciiTheme="minorHAnsi" w:hAnsiTheme="minorHAnsi" w:cstheme="minorHAnsi"/>
          <w:color w:val="0563C1"/>
          <w:sz w:val="22"/>
          <w:szCs w:val="22"/>
        </w:rPr>
        <w:t> </w:t>
      </w:r>
    </w:p>
    <w:p w14:paraId="7B304156"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McKay, L., &amp; Doucet, A. (2010). "Without taking away her leave": A Canadian case study of couples' decisions on fathers' use of paid parental leave. </w:t>
      </w:r>
      <w:r w:rsidRPr="00C95105">
        <w:rPr>
          <w:rFonts w:asciiTheme="minorHAnsi" w:hAnsiTheme="minorHAnsi" w:cstheme="minorHAnsi"/>
          <w:i/>
          <w:iCs/>
          <w:color w:val="000000"/>
          <w:sz w:val="22"/>
          <w:szCs w:val="22"/>
        </w:rPr>
        <w:t>Fathering: A Journal of Theory, Research, and Practice about Men as Fathers, 8</w:t>
      </w:r>
      <w:r w:rsidRPr="00C95105">
        <w:rPr>
          <w:rFonts w:asciiTheme="minorHAnsi" w:hAnsiTheme="minorHAnsi" w:cstheme="minorHAnsi"/>
          <w:color w:val="000000"/>
          <w:sz w:val="22"/>
          <w:szCs w:val="22"/>
        </w:rPr>
        <w:t>(3), 300-320. doi:</w:t>
      </w:r>
      <w:hyperlink r:id="rId86" w:tgtFrame="_blank" w:history="1">
        <w:r w:rsidRPr="00C95105">
          <w:rPr>
            <w:rFonts w:asciiTheme="minorHAnsi" w:hAnsiTheme="minorHAnsi" w:cstheme="minorHAnsi"/>
            <w:color w:val="0000FF"/>
            <w:sz w:val="22"/>
            <w:szCs w:val="22"/>
            <w:u w:val="single"/>
          </w:rPr>
          <w:t>http://dx.doi.org/10.3149/fth.0803.300</w:t>
        </w:r>
      </w:hyperlink>
      <w:r w:rsidRPr="00C95105">
        <w:rPr>
          <w:rFonts w:asciiTheme="minorHAnsi" w:hAnsiTheme="minorHAnsi" w:cstheme="minorHAnsi"/>
          <w:color w:val="0563C1"/>
          <w:sz w:val="22"/>
          <w:szCs w:val="22"/>
        </w:rPr>
        <w:t> </w:t>
      </w:r>
    </w:p>
    <w:p w14:paraId="05477369"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Meil, G., Romero-Balsas, P., &amp; Rogero-García, J. (2018). Parental Leave in Spain: Use, Motivations and Implications. </w:t>
      </w:r>
      <w:r w:rsidRPr="00C95105">
        <w:rPr>
          <w:rFonts w:asciiTheme="minorHAnsi" w:hAnsiTheme="minorHAnsi" w:cstheme="minorHAnsi"/>
          <w:i/>
          <w:iCs/>
          <w:color w:val="000000"/>
          <w:sz w:val="22"/>
          <w:szCs w:val="22"/>
        </w:rPr>
        <w:t>Revista Española de Sociología, 27</w:t>
      </w:r>
      <w:r w:rsidRPr="00C95105">
        <w:rPr>
          <w:rFonts w:asciiTheme="minorHAnsi" w:hAnsiTheme="minorHAnsi" w:cstheme="minorHAnsi"/>
          <w:color w:val="000000"/>
          <w:sz w:val="22"/>
          <w:szCs w:val="22"/>
        </w:rPr>
        <w:t>(3 Suplemento), 27-43. doi:10.22325/fes/res.2018.32 </w:t>
      </w:r>
    </w:p>
    <w:p w14:paraId="21233DAA"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Miyajima, T., &amp; Yamaguchi, H. (2017). I want to but I won't: Pluralistic ignorance inhibits intentions to take paternity leave in Japan. </w:t>
      </w:r>
      <w:r w:rsidRPr="00C95105">
        <w:rPr>
          <w:rFonts w:asciiTheme="minorHAnsi" w:hAnsiTheme="minorHAnsi" w:cstheme="minorHAnsi"/>
          <w:i/>
          <w:iCs/>
          <w:color w:val="000000"/>
          <w:sz w:val="22"/>
          <w:szCs w:val="22"/>
        </w:rPr>
        <w:t>Frontiers in Psychology Vol 8 2017, ArtID 1508, 8</w:t>
      </w:r>
      <w:r w:rsidRPr="00C95105">
        <w:rPr>
          <w:rFonts w:asciiTheme="minorHAnsi" w:hAnsiTheme="minorHAnsi" w:cstheme="minorHAnsi"/>
          <w:color w:val="000000"/>
          <w:sz w:val="22"/>
          <w:szCs w:val="22"/>
        </w:rPr>
        <w:t>. doi:</w:t>
      </w:r>
      <w:hyperlink r:id="rId87" w:tgtFrame="_blank" w:history="1">
        <w:r w:rsidRPr="00C95105">
          <w:rPr>
            <w:rFonts w:asciiTheme="minorHAnsi" w:hAnsiTheme="minorHAnsi" w:cstheme="minorHAnsi"/>
            <w:color w:val="0000FF"/>
            <w:sz w:val="22"/>
            <w:szCs w:val="22"/>
            <w:u w:val="single"/>
          </w:rPr>
          <w:t>http://dx.doi.org/10.3389/fpsyg.2017.01508</w:t>
        </w:r>
      </w:hyperlink>
      <w:r w:rsidRPr="00C95105">
        <w:rPr>
          <w:rFonts w:asciiTheme="minorHAnsi" w:hAnsiTheme="minorHAnsi" w:cstheme="minorHAnsi"/>
          <w:color w:val="0563C1"/>
          <w:sz w:val="22"/>
          <w:szCs w:val="22"/>
        </w:rPr>
        <w:t> </w:t>
      </w:r>
    </w:p>
    <w:p w14:paraId="60017746"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FF"/>
          <w:sz w:val="22"/>
          <w:szCs w:val="22"/>
          <w:u w:val="single"/>
        </w:rPr>
        <w:t xml:space="preserve">Mussino, E., Duvander, A. Z., &amp; Li, M. (2018). Does Time Count? Immigrant Fathers' Use of Parental Leave for a First Child in Sweden. Population, 73(2), 363. Retrieved from </w:t>
      </w:r>
      <w:hyperlink r:id="rId88" w:tgtFrame="_blank" w:history="1">
        <w:r w:rsidRPr="00C95105">
          <w:rPr>
            <w:rFonts w:asciiTheme="minorHAnsi" w:hAnsiTheme="minorHAnsi" w:cstheme="minorHAnsi"/>
            <w:color w:val="0000FF"/>
            <w:sz w:val="22"/>
            <w:szCs w:val="22"/>
            <w:u w:val="single"/>
          </w:rPr>
          <w:t>https://www.proquest.com/docview/2164144596?accountid=12372&amp;bdid=10814&amp;_bd=KBB3Odq6JVeb%2FTaawiPdgIXJ1E8%3D</w:t>
        </w:r>
      </w:hyperlink>
      <w:r w:rsidRPr="00C95105">
        <w:rPr>
          <w:rFonts w:asciiTheme="minorHAnsi" w:hAnsiTheme="minorHAnsi" w:cstheme="minorHAnsi"/>
          <w:color w:val="0563C1"/>
          <w:sz w:val="22"/>
          <w:szCs w:val="22"/>
        </w:rPr>
        <w:t> </w:t>
      </w:r>
    </w:p>
    <w:p w14:paraId="3349B470"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Mussino, E., Tervola, J., &amp; Duvander, A. Z. (2019). Decomposing the determinants of fathers' parental leave use: Evidence from migration between Finland and Sweden. </w:t>
      </w:r>
      <w:r w:rsidRPr="00C95105">
        <w:rPr>
          <w:rFonts w:asciiTheme="minorHAnsi" w:hAnsiTheme="minorHAnsi" w:cstheme="minorHAnsi"/>
          <w:i/>
          <w:iCs/>
          <w:color w:val="000000"/>
          <w:sz w:val="22"/>
          <w:szCs w:val="22"/>
        </w:rPr>
        <w:t>Journal of European Social Policy, 29</w:t>
      </w:r>
      <w:r w:rsidRPr="00C95105">
        <w:rPr>
          <w:rFonts w:asciiTheme="minorHAnsi" w:hAnsiTheme="minorHAnsi" w:cstheme="minorHAnsi"/>
          <w:color w:val="000000"/>
          <w:sz w:val="22"/>
          <w:szCs w:val="22"/>
        </w:rPr>
        <w:t>(2), 197-212. doi:10.1177/0958928718792129 </w:t>
      </w:r>
    </w:p>
    <w:p w14:paraId="2D9BF7C4"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lastRenderedPageBreak/>
        <w:t xml:space="preserve">Narvi, J., &amp; Salmi, M. (2019). Quite an encumbrance? Work-related obstacles to Finnish fathers' take-up of parental leave. </w:t>
      </w:r>
      <w:r w:rsidRPr="00C95105">
        <w:rPr>
          <w:rFonts w:asciiTheme="minorHAnsi" w:hAnsiTheme="minorHAnsi" w:cstheme="minorHAnsi"/>
          <w:i/>
          <w:iCs/>
          <w:color w:val="000000"/>
          <w:sz w:val="22"/>
          <w:szCs w:val="22"/>
        </w:rPr>
        <w:t>Community, Work &amp; Family, 22</w:t>
      </w:r>
      <w:r w:rsidRPr="00C95105">
        <w:rPr>
          <w:rFonts w:asciiTheme="minorHAnsi" w:hAnsiTheme="minorHAnsi" w:cstheme="minorHAnsi"/>
          <w:color w:val="000000"/>
          <w:sz w:val="22"/>
          <w:szCs w:val="22"/>
        </w:rPr>
        <w:t>(1), 23-42. doi:</w:t>
      </w:r>
      <w:hyperlink r:id="rId89" w:tgtFrame="_blank" w:history="1">
        <w:r w:rsidRPr="00C95105">
          <w:rPr>
            <w:rFonts w:asciiTheme="minorHAnsi" w:hAnsiTheme="minorHAnsi" w:cstheme="minorHAnsi"/>
            <w:color w:val="0000FF"/>
            <w:sz w:val="22"/>
            <w:szCs w:val="22"/>
            <w:u w:val="single"/>
          </w:rPr>
          <w:t>http://dx.doi.org/10.1080/13668803.2018.1487828</w:t>
        </w:r>
      </w:hyperlink>
      <w:r w:rsidRPr="00C95105">
        <w:rPr>
          <w:rFonts w:asciiTheme="minorHAnsi" w:hAnsiTheme="minorHAnsi" w:cstheme="minorHAnsi"/>
          <w:color w:val="0563C1"/>
          <w:sz w:val="22"/>
          <w:szCs w:val="22"/>
        </w:rPr>
        <w:t> </w:t>
      </w:r>
    </w:p>
    <w:p w14:paraId="537CF431"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themeColor="text1"/>
          <w:sz w:val="22"/>
          <w:szCs w:val="22"/>
        </w:rPr>
        <w:t xml:space="preserve">Naz, G. (2010). Usage of parental leave by fathers in Norway. </w:t>
      </w:r>
      <w:r w:rsidRPr="00C95105">
        <w:rPr>
          <w:rFonts w:asciiTheme="minorHAnsi" w:hAnsiTheme="minorHAnsi" w:cstheme="minorHAnsi"/>
          <w:i/>
          <w:iCs/>
          <w:color w:val="000000" w:themeColor="text1"/>
          <w:sz w:val="22"/>
          <w:szCs w:val="22"/>
        </w:rPr>
        <w:t>The International Journal of Sociology and Social Policy, 30</w:t>
      </w:r>
      <w:r w:rsidRPr="00C95105">
        <w:rPr>
          <w:rFonts w:asciiTheme="minorHAnsi" w:hAnsiTheme="minorHAnsi" w:cstheme="minorHAnsi"/>
          <w:color w:val="000000" w:themeColor="text1"/>
          <w:sz w:val="22"/>
          <w:szCs w:val="22"/>
        </w:rPr>
        <w:t xml:space="preserve">(5/6), 313. Retrieved from </w:t>
      </w:r>
      <w:hyperlink r:id="rId90">
        <w:r w:rsidRPr="00C95105">
          <w:rPr>
            <w:rStyle w:val="Hyperlink"/>
            <w:rFonts w:asciiTheme="minorHAnsi" w:hAnsiTheme="minorHAnsi" w:cstheme="minorHAnsi"/>
            <w:sz w:val="22"/>
            <w:szCs w:val="22"/>
          </w:rPr>
          <w:t>https://www.proquest.com/docview/578106480?accountid=12372&amp;bdid=10814&amp;_bd=E7RGoGs4w4RZ8KNlCHGszDle%2FYI%3D </w:t>
        </w:r>
      </w:hyperlink>
    </w:p>
    <w:p w14:paraId="7BB0DB68"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FF"/>
          <w:sz w:val="22"/>
          <w:szCs w:val="22"/>
          <w:u w:val="single"/>
        </w:rPr>
        <w:t xml:space="preserve">Payne, L. K (2004). Waiting for the revolution: The changing expectations of fatherhood and men's (non)participation in parental leave/benefits in Canada. </w:t>
      </w:r>
      <w:r w:rsidRPr="00C95105">
        <w:rPr>
          <w:rFonts w:asciiTheme="minorHAnsi" w:hAnsiTheme="minorHAnsi" w:cstheme="minorHAnsi"/>
          <w:i/>
          <w:iCs/>
          <w:color w:val="000000"/>
          <w:sz w:val="22"/>
          <w:szCs w:val="22"/>
        </w:rPr>
        <w:t>Masters Abstracts International,</w:t>
      </w:r>
      <w:r w:rsidRPr="00C95105">
        <w:rPr>
          <w:rFonts w:asciiTheme="minorHAnsi" w:hAnsiTheme="minorHAnsi" w:cstheme="minorHAnsi"/>
          <w:color w:val="000000"/>
          <w:sz w:val="22"/>
          <w:szCs w:val="22"/>
        </w:rPr>
        <w:t xml:space="preserve"> </w:t>
      </w:r>
      <w:r w:rsidRPr="00C95105">
        <w:rPr>
          <w:rFonts w:asciiTheme="minorHAnsi" w:hAnsiTheme="minorHAnsi" w:cstheme="minorHAnsi"/>
          <w:i/>
          <w:iCs/>
          <w:color w:val="0000FF"/>
          <w:sz w:val="22"/>
          <w:szCs w:val="22"/>
          <w:u w:val="single"/>
        </w:rPr>
        <w:t>43</w:t>
      </w:r>
      <w:r w:rsidRPr="00C95105">
        <w:rPr>
          <w:rFonts w:asciiTheme="minorHAnsi" w:hAnsiTheme="minorHAnsi" w:cstheme="minorHAnsi"/>
          <w:color w:val="0000FF"/>
          <w:sz w:val="22"/>
          <w:szCs w:val="22"/>
          <w:u w:val="single"/>
        </w:rPr>
        <w:t>(1)</w:t>
      </w:r>
      <w:r w:rsidRPr="00C95105">
        <w:rPr>
          <w:rFonts w:asciiTheme="minorHAnsi" w:hAnsiTheme="minorHAnsi" w:cstheme="minorHAnsi"/>
          <w:i/>
          <w:iCs/>
          <w:color w:val="0000FF"/>
          <w:sz w:val="22"/>
          <w:szCs w:val="22"/>
          <w:u w:val="single"/>
        </w:rPr>
        <w:t xml:space="preserve">, 214. </w:t>
      </w:r>
      <w:r w:rsidRPr="00C95105">
        <w:rPr>
          <w:rFonts w:asciiTheme="minorHAnsi" w:hAnsiTheme="minorHAnsi" w:cstheme="minorHAnsi"/>
          <w:color w:val="0000FF"/>
          <w:sz w:val="22"/>
          <w:szCs w:val="22"/>
          <w:u w:val="single"/>
        </w:rPr>
        <w:t xml:space="preserve">Retrieved from </w:t>
      </w:r>
      <w:hyperlink r:id="rId91" w:tgtFrame="_blank" w:history="1">
        <w:r w:rsidRPr="00C95105">
          <w:rPr>
            <w:rFonts w:asciiTheme="minorHAnsi" w:hAnsiTheme="minorHAnsi" w:cstheme="minorHAnsi"/>
            <w:color w:val="0000FF"/>
            <w:sz w:val="22"/>
            <w:szCs w:val="22"/>
            <w:u w:val="single"/>
          </w:rPr>
          <w:t>https://atrium.lib.uoguelph.ca/xmlui/handle/10214/23073</w:t>
        </w:r>
      </w:hyperlink>
      <w:r w:rsidRPr="00C95105">
        <w:rPr>
          <w:rFonts w:asciiTheme="minorHAnsi" w:hAnsiTheme="minorHAnsi" w:cstheme="minorHAnsi"/>
          <w:color w:val="0563C1"/>
          <w:sz w:val="22"/>
          <w:szCs w:val="22"/>
        </w:rPr>
        <w:t> </w:t>
      </w:r>
    </w:p>
    <w:p w14:paraId="4ADE1C4B"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Pettigrew, R. N., &amp; Duncan, K. A. (2021). Fathers’ Use of Parental Leave in a Canadian Law Enforcement Organization. </w:t>
      </w:r>
      <w:r w:rsidRPr="00C95105">
        <w:rPr>
          <w:rFonts w:asciiTheme="minorHAnsi" w:hAnsiTheme="minorHAnsi" w:cstheme="minorHAnsi"/>
          <w:i/>
          <w:iCs/>
          <w:color w:val="000000"/>
          <w:sz w:val="22"/>
          <w:szCs w:val="22"/>
        </w:rPr>
        <w:t>Journal of Family Issues, 42</w:t>
      </w:r>
      <w:r w:rsidRPr="00C95105">
        <w:rPr>
          <w:rFonts w:asciiTheme="minorHAnsi" w:hAnsiTheme="minorHAnsi" w:cstheme="minorHAnsi"/>
          <w:color w:val="000000"/>
          <w:sz w:val="22"/>
          <w:szCs w:val="22"/>
        </w:rPr>
        <w:t xml:space="preserve">(10), 2211-2241. Retrieved from </w:t>
      </w:r>
      <w:hyperlink r:id="rId92" w:tgtFrame="_blank" w:history="1">
        <w:r w:rsidRPr="00C95105">
          <w:rPr>
            <w:rFonts w:asciiTheme="minorHAnsi" w:hAnsiTheme="minorHAnsi" w:cstheme="minorHAnsi"/>
            <w:color w:val="0000FF"/>
            <w:sz w:val="22"/>
            <w:szCs w:val="22"/>
            <w:u w:val="single"/>
          </w:rPr>
          <w:t>https://www.proquest.com/docview/2565791754?accountid=12372&amp;bdid=10814&amp;_bd=gTRB7kYRreN3F%2Boq%2FN4oFFGgdaw%3D</w:t>
        </w:r>
      </w:hyperlink>
      <w:r w:rsidRPr="00C95105">
        <w:rPr>
          <w:rFonts w:asciiTheme="minorHAnsi" w:hAnsiTheme="minorHAnsi" w:cstheme="minorHAnsi"/>
          <w:color w:val="0563C1"/>
          <w:sz w:val="22"/>
          <w:szCs w:val="22"/>
        </w:rPr>
        <w:t> </w:t>
      </w:r>
    </w:p>
    <w:p w14:paraId="45F0384C"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Pragg, B., &amp; Knoester, C. (2017). Parental Leave Use Among Disadvantaged Fathers. </w:t>
      </w:r>
      <w:r w:rsidRPr="00C95105">
        <w:rPr>
          <w:rFonts w:asciiTheme="minorHAnsi" w:hAnsiTheme="minorHAnsi" w:cstheme="minorHAnsi"/>
          <w:i/>
          <w:iCs/>
          <w:color w:val="000000"/>
          <w:sz w:val="22"/>
          <w:szCs w:val="22"/>
        </w:rPr>
        <w:t>Journal of Family Issues, 38</w:t>
      </w:r>
      <w:r w:rsidRPr="00C95105">
        <w:rPr>
          <w:rFonts w:asciiTheme="minorHAnsi" w:hAnsiTheme="minorHAnsi" w:cstheme="minorHAnsi"/>
          <w:color w:val="000000"/>
          <w:sz w:val="22"/>
          <w:szCs w:val="22"/>
        </w:rPr>
        <w:t xml:space="preserve">(8), 1157. Retrieved from </w:t>
      </w:r>
      <w:hyperlink r:id="rId93" w:tgtFrame="_blank" w:history="1">
        <w:r w:rsidRPr="00C95105">
          <w:rPr>
            <w:rFonts w:asciiTheme="minorHAnsi" w:hAnsiTheme="minorHAnsi" w:cstheme="minorHAnsi"/>
            <w:color w:val="0000FF"/>
            <w:sz w:val="22"/>
            <w:szCs w:val="22"/>
            <w:u w:val="single"/>
          </w:rPr>
          <w:t>https://www.proquest.com/docview/1910837511?accountid=12372&amp;bdid=10814&amp;_bd=O1Z1XvL4wmzdYVD9T7%2FQwdFLpRo%3D</w:t>
        </w:r>
      </w:hyperlink>
      <w:r w:rsidRPr="00C95105">
        <w:rPr>
          <w:rFonts w:asciiTheme="minorHAnsi" w:hAnsiTheme="minorHAnsi" w:cstheme="minorHAnsi"/>
          <w:color w:val="0563C1"/>
          <w:sz w:val="22"/>
          <w:szCs w:val="22"/>
        </w:rPr>
        <w:t> </w:t>
      </w:r>
    </w:p>
    <w:p w14:paraId="2BAC874A"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Reimer, T. (2019). Why fathers don't take more parental leave in germany: Comparing mechanisms in different work organizations. </w:t>
      </w:r>
      <w:r w:rsidRPr="00C95105">
        <w:rPr>
          <w:rFonts w:asciiTheme="minorHAnsi" w:hAnsiTheme="minorHAnsi" w:cstheme="minorHAnsi"/>
          <w:i/>
          <w:iCs/>
          <w:color w:val="000000"/>
          <w:sz w:val="22"/>
          <w:szCs w:val="22"/>
        </w:rPr>
        <w:t>Community, Work &amp; Family</w:t>
      </w:r>
      <w:r w:rsidRPr="00C95105">
        <w:rPr>
          <w:rFonts w:asciiTheme="minorHAnsi" w:hAnsiTheme="minorHAnsi" w:cstheme="minorHAnsi"/>
          <w:color w:val="000000"/>
          <w:sz w:val="22"/>
          <w:szCs w:val="22"/>
        </w:rPr>
        <w:t>, No Pagination Specified. doi:</w:t>
      </w:r>
      <w:hyperlink r:id="rId94" w:tgtFrame="_blank" w:history="1">
        <w:r w:rsidRPr="00C95105">
          <w:rPr>
            <w:rFonts w:asciiTheme="minorHAnsi" w:hAnsiTheme="minorHAnsi" w:cstheme="minorHAnsi"/>
            <w:color w:val="0000FF"/>
            <w:sz w:val="22"/>
            <w:szCs w:val="22"/>
            <w:u w:val="single"/>
          </w:rPr>
          <w:t>http://dx.doi.org/10.1080/13668803.2019.1608157</w:t>
        </w:r>
      </w:hyperlink>
      <w:r w:rsidRPr="00C95105">
        <w:rPr>
          <w:rFonts w:asciiTheme="minorHAnsi" w:hAnsiTheme="minorHAnsi" w:cstheme="minorHAnsi"/>
          <w:color w:val="0563C1"/>
          <w:sz w:val="22"/>
          <w:szCs w:val="22"/>
        </w:rPr>
        <w:t> </w:t>
      </w:r>
    </w:p>
    <w:p w14:paraId="14CEE6E5"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Romero ‐ Balsas, P., Muntanyola‐Saura, D., &amp; Rogero ‐ García, J. (2013). Decision-Making Factors within Paternity and Parental Leaves: Why Spanish Fathers Take Time Off from Work. </w:t>
      </w:r>
      <w:r w:rsidRPr="00C95105">
        <w:rPr>
          <w:rFonts w:asciiTheme="minorHAnsi" w:hAnsiTheme="minorHAnsi" w:cstheme="minorHAnsi"/>
          <w:i/>
          <w:iCs/>
          <w:color w:val="000000"/>
          <w:sz w:val="22"/>
          <w:szCs w:val="22"/>
        </w:rPr>
        <w:t>Gender, Work &amp; Organization, 20</w:t>
      </w:r>
      <w:r w:rsidRPr="00C95105">
        <w:rPr>
          <w:rFonts w:asciiTheme="minorHAnsi" w:hAnsiTheme="minorHAnsi" w:cstheme="minorHAnsi"/>
          <w:color w:val="000000"/>
          <w:sz w:val="22"/>
          <w:szCs w:val="22"/>
        </w:rPr>
        <w:t>(6), 678-691. doi:10.1111/gwao.12004 </w:t>
      </w:r>
    </w:p>
    <w:p w14:paraId="607C9DD4" w14:textId="02F5DAFF"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Romero-Balsas, P. (2013). Fathers taking paternity leave in spain: which characteristics foster and which hampers the use of paternity leave? </w:t>
      </w:r>
      <w:r w:rsidRPr="00C95105">
        <w:rPr>
          <w:rFonts w:asciiTheme="minorHAnsi" w:hAnsiTheme="minorHAnsi" w:cstheme="minorHAnsi"/>
          <w:i/>
          <w:iCs/>
          <w:color w:val="000000"/>
          <w:sz w:val="22"/>
          <w:szCs w:val="22"/>
        </w:rPr>
        <w:t>Sociologia E Politiche Sociali</w:t>
      </w:r>
      <w:r w:rsidR="007B4AF2">
        <w:rPr>
          <w:rFonts w:asciiTheme="minorHAnsi" w:hAnsiTheme="minorHAnsi" w:cstheme="minorHAnsi"/>
          <w:i/>
          <w:iCs/>
          <w:color w:val="000000"/>
          <w:sz w:val="22"/>
          <w:szCs w:val="22"/>
        </w:rPr>
        <w:t xml:space="preserve"> </w:t>
      </w:r>
      <w:r w:rsidRPr="00C95105">
        <w:rPr>
          <w:rFonts w:asciiTheme="minorHAnsi" w:hAnsiTheme="minorHAnsi" w:cstheme="minorHAnsi"/>
          <w:color w:val="000000"/>
          <w:sz w:val="22"/>
          <w:szCs w:val="22"/>
        </w:rPr>
        <w:t>(3), 106-131. doi:10.3280/sp2012-su3006 </w:t>
      </w:r>
    </w:p>
    <w:p w14:paraId="27BFC886"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Rostgaard, T., &amp; Ejrnæs, A. (2021). How Different Parental Leave Schemes Create Different Take-Up Patterns: Denmark in Nordic Comparison. </w:t>
      </w:r>
      <w:r w:rsidRPr="00C95105">
        <w:rPr>
          <w:rFonts w:asciiTheme="minorHAnsi" w:hAnsiTheme="minorHAnsi" w:cstheme="minorHAnsi"/>
          <w:i/>
          <w:iCs/>
          <w:color w:val="000000"/>
          <w:sz w:val="22"/>
          <w:szCs w:val="22"/>
        </w:rPr>
        <w:t>Social Inclusion, 9</w:t>
      </w:r>
      <w:r w:rsidRPr="00C95105">
        <w:rPr>
          <w:rFonts w:asciiTheme="minorHAnsi" w:hAnsiTheme="minorHAnsi" w:cstheme="minorHAnsi"/>
          <w:color w:val="000000"/>
          <w:sz w:val="22"/>
          <w:szCs w:val="22"/>
        </w:rPr>
        <w:t xml:space="preserve">(2), 313. Retrieved from </w:t>
      </w:r>
      <w:hyperlink r:id="rId95" w:tgtFrame="_blank" w:history="1">
        <w:r w:rsidRPr="00C95105">
          <w:rPr>
            <w:rFonts w:asciiTheme="minorHAnsi" w:hAnsiTheme="minorHAnsi" w:cstheme="minorHAnsi"/>
            <w:color w:val="0000FF"/>
            <w:sz w:val="22"/>
            <w:szCs w:val="22"/>
            <w:u w:val="single"/>
          </w:rPr>
          <w:t>https://www.proquest.com/docview/2540518821?accountid=12372&amp;bdid=10814&amp;_bd=lnYIPmYjyngauzUSx1qcHXwx%2BU0%3D</w:t>
        </w:r>
      </w:hyperlink>
      <w:r w:rsidRPr="00C95105">
        <w:rPr>
          <w:rFonts w:asciiTheme="minorHAnsi" w:hAnsiTheme="minorHAnsi" w:cstheme="minorHAnsi"/>
          <w:color w:val="0563C1"/>
          <w:sz w:val="22"/>
          <w:szCs w:val="22"/>
        </w:rPr>
        <w:t> </w:t>
      </w:r>
    </w:p>
    <w:p w14:paraId="037C95D9"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Saarikallio-Torp, M., &amp; Miettinen, A. (2021). Family leaves for fathers: Non-users as a test for parental leave reforms. </w:t>
      </w:r>
      <w:r w:rsidRPr="00C95105">
        <w:rPr>
          <w:rFonts w:asciiTheme="minorHAnsi" w:hAnsiTheme="minorHAnsi" w:cstheme="minorHAnsi"/>
          <w:i/>
          <w:iCs/>
          <w:color w:val="000000"/>
          <w:sz w:val="22"/>
          <w:szCs w:val="22"/>
        </w:rPr>
        <w:t>Journal of European Social Policy, 31</w:t>
      </w:r>
      <w:r w:rsidRPr="00C95105">
        <w:rPr>
          <w:rFonts w:asciiTheme="minorHAnsi" w:hAnsiTheme="minorHAnsi" w:cstheme="minorHAnsi"/>
          <w:color w:val="000000"/>
          <w:sz w:val="22"/>
          <w:szCs w:val="22"/>
        </w:rPr>
        <w:t xml:space="preserve">(2), 161-174. Retrieved from </w:t>
      </w:r>
      <w:hyperlink r:id="rId96" w:tgtFrame="_blank" w:history="1">
        <w:r w:rsidRPr="00C95105">
          <w:rPr>
            <w:rFonts w:asciiTheme="minorHAnsi" w:hAnsiTheme="minorHAnsi" w:cstheme="minorHAnsi"/>
            <w:color w:val="0000FF"/>
            <w:sz w:val="22"/>
            <w:szCs w:val="22"/>
            <w:u w:val="single"/>
          </w:rPr>
          <w:t>https://www.proquest.com/docview/2523961389?accountid=12372&amp;bdid=10814&amp;_bd=b82okCKNFI9%2Fd5%2BuS2OsqSS7Zqg%3D</w:t>
        </w:r>
      </w:hyperlink>
      <w:r w:rsidRPr="00C95105">
        <w:rPr>
          <w:rFonts w:asciiTheme="minorHAnsi" w:hAnsiTheme="minorHAnsi" w:cstheme="minorHAnsi"/>
          <w:color w:val="0563C1"/>
          <w:sz w:val="22"/>
          <w:szCs w:val="22"/>
        </w:rPr>
        <w:t> </w:t>
      </w:r>
    </w:p>
    <w:p w14:paraId="5D8D5F27"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Samtleben, C., Bringmann, J., Bünning, M., &amp; Hipp, L. (2019). What Helps and What Hinders? Exploring the Role of Workplace Characteristics for Parental Leave Use and Its Career Consequences. </w:t>
      </w:r>
      <w:r w:rsidRPr="00C95105">
        <w:rPr>
          <w:rFonts w:asciiTheme="minorHAnsi" w:hAnsiTheme="minorHAnsi" w:cstheme="minorHAnsi"/>
          <w:i/>
          <w:iCs/>
          <w:color w:val="000000"/>
          <w:sz w:val="22"/>
          <w:szCs w:val="22"/>
        </w:rPr>
        <w:t>Social Sciences, 8</w:t>
      </w:r>
      <w:r w:rsidRPr="00C95105">
        <w:rPr>
          <w:rFonts w:asciiTheme="minorHAnsi" w:hAnsiTheme="minorHAnsi" w:cstheme="minorHAnsi"/>
          <w:color w:val="000000"/>
          <w:sz w:val="22"/>
          <w:szCs w:val="22"/>
        </w:rPr>
        <w:t xml:space="preserve">(10), 270. Retrieved from </w:t>
      </w:r>
      <w:hyperlink r:id="rId97" w:tgtFrame="_blank" w:history="1">
        <w:r w:rsidRPr="00C95105">
          <w:rPr>
            <w:rFonts w:asciiTheme="minorHAnsi" w:hAnsiTheme="minorHAnsi" w:cstheme="minorHAnsi"/>
            <w:color w:val="0000FF"/>
            <w:sz w:val="22"/>
            <w:szCs w:val="22"/>
            <w:u w:val="single"/>
          </w:rPr>
          <w:t>https://www.proquest.com/docview/2550245776?accountid=12372&amp;bdid=10814&amp;_bd=LNloKTHa0FXCIhVAv4k9D%2Fu1VTI%3D</w:t>
        </w:r>
      </w:hyperlink>
      <w:r w:rsidRPr="00C95105">
        <w:rPr>
          <w:rFonts w:asciiTheme="minorHAnsi" w:hAnsiTheme="minorHAnsi" w:cstheme="minorHAnsi"/>
          <w:color w:val="0563C1"/>
          <w:sz w:val="22"/>
          <w:szCs w:val="22"/>
        </w:rPr>
        <w:t> </w:t>
      </w:r>
    </w:p>
    <w:p w14:paraId="13883349"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Sigurdardottir, H. M., &amp; Ólöf, G. (2018). Backlash in gender equality? Fathers’ parental leave during a time of economic crisis. </w:t>
      </w:r>
      <w:r w:rsidRPr="00C95105">
        <w:rPr>
          <w:rFonts w:asciiTheme="minorHAnsi" w:hAnsiTheme="minorHAnsi" w:cstheme="minorHAnsi"/>
          <w:i/>
          <w:iCs/>
          <w:color w:val="000000"/>
          <w:sz w:val="22"/>
          <w:szCs w:val="22"/>
        </w:rPr>
        <w:t>Journal of European Social Policy, 28</w:t>
      </w:r>
      <w:r w:rsidRPr="00C95105">
        <w:rPr>
          <w:rFonts w:asciiTheme="minorHAnsi" w:hAnsiTheme="minorHAnsi" w:cstheme="minorHAnsi"/>
          <w:color w:val="000000"/>
          <w:sz w:val="22"/>
          <w:szCs w:val="22"/>
        </w:rPr>
        <w:t xml:space="preserve">(4), 342-356. Retrieved from </w:t>
      </w:r>
      <w:hyperlink r:id="rId98" w:tgtFrame="_blank" w:history="1">
        <w:r w:rsidRPr="00C95105">
          <w:rPr>
            <w:rFonts w:asciiTheme="minorHAnsi" w:hAnsiTheme="minorHAnsi" w:cstheme="minorHAnsi"/>
            <w:color w:val="0000FF"/>
            <w:sz w:val="22"/>
            <w:szCs w:val="22"/>
            <w:u w:val="single"/>
          </w:rPr>
          <w:t>https://www.proquest.com/docview/2112444716?accountid=12372&amp;bdid=10814&amp;_bd=cx7lH0FadRNmlGMMiwcX9BDT8p8%3D</w:t>
        </w:r>
      </w:hyperlink>
      <w:r w:rsidRPr="00C95105">
        <w:rPr>
          <w:rFonts w:asciiTheme="minorHAnsi" w:hAnsiTheme="minorHAnsi" w:cstheme="minorHAnsi"/>
          <w:color w:val="0563C1"/>
          <w:sz w:val="22"/>
          <w:szCs w:val="22"/>
        </w:rPr>
        <w:t> </w:t>
      </w:r>
    </w:p>
    <w:p w14:paraId="6B24425F"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Wen-Jui, H., &amp; Waldfogel, J. (2003). Parental leave: The impact of recent legislation on parents' leave taking. </w:t>
      </w:r>
      <w:r w:rsidRPr="00C95105">
        <w:rPr>
          <w:rFonts w:asciiTheme="minorHAnsi" w:hAnsiTheme="minorHAnsi" w:cstheme="minorHAnsi"/>
          <w:i/>
          <w:iCs/>
          <w:color w:val="000000"/>
          <w:sz w:val="22"/>
          <w:szCs w:val="22"/>
        </w:rPr>
        <w:t>Demography (pre-2011), 40</w:t>
      </w:r>
      <w:r w:rsidRPr="00C95105">
        <w:rPr>
          <w:rFonts w:asciiTheme="minorHAnsi" w:hAnsiTheme="minorHAnsi" w:cstheme="minorHAnsi"/>
          <w:color w:val="000000"/>
          <w:sz w:val="22"/>
          <w:szCs w:val="22"/>
        </w:rPr>
        <w:t xml:space="preserve">(1), 191. Retrieved from </w:t>
      </w:r>
      <w:hyperlink r:id="rId99" w:tgtFrame="_blank" w:history="1">
        <w:r w:rsidRPr="00C95105">
          <w:rPr>
            <w:rFonts w:asciiTheme="minorHAnsi" w:hAnsiTheme="minorHAnsi" w:cstheme="minorHAnsi"/>
            <w:color w:val="0000FF"/>
            <w:sz w:val="22"/>
            <w:szCs w:val="22"/>
            <w:u w:val="single"/>
          </w:rPr>
          <w:t>https://www.proquest.com/docview/220175734?accountid=12372&amp;bdid=10814&amp;_bd=DavAfBPozyDKnUlRYsBrdyKDL%2BM%3D</w:t>
        </w:r>
      </w:hyperlink>
      <w:r w:rsidRPr="00C95105">
        <w:rPr>
          <w:rFonts w:asciiTheme="minorHAnsi" w:hAnsiTheme="minorHAnsi" w:cstheme="minorHAnsi"/>
          <w:color w:val="0563C1"/>
          <w:sz w:val="22"/>
          <w:szCs w:val="22"/>
        </w:rPr>
        <w:t> </w:t>
      </w:r>
    </w:p>
    <w:p w14:paraId="691321F5"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Whitehouse, G., Diamond, C., &amp; Baird, M. (2007). Fathers' use of leave in Australia. </w:t>
      </w:r>
      <w:r w:rsidRPr="00C95105">
        <w:rPr>
          <w:rFonts w:asciiTheme="minorHAnsi" w:hAnsiTheme="minorHAnsi" w:cstheme="minorHAnsi"/>
          <w:i/>
          <w:iCs/>
          <w:color w:val="000000"/>
          <w:sz w:val="22"/>
          <w:szCs w:val="22"/>
        </w:rPr>
        <w:t>Community, Work &amp; Family, 10</w:t>
      </w:r>
      <w:r w:rsidRPr="00C95105">
        <w:rPr>
          <w:rFonts w:asciiTheme="minorHAnsi" w:hAnsiTheme="minorHAnsi" w:cstheme="minorHAnsi"/>
          <w:color w:val="000000"/>
          <w:sz w:val="22"/>
          <w:szCs w:val="22"/>
        </w:rPr>
        <w:t>(4), 387-407. doi:</w:t>
      </w:r>
      <w:hyperlink r:id="rId100" w:tgtFrame="_blank" w:history="1">
        <w:r w:rsidRPr="00C95105">
          <w:rPr>
            <w:rFonts w:asciiTheme="minorHAnsi" w:hAnsiTheme="minorHAnsi" w:cstheme="minorHAnsi"/>
            <w:color w:val="0000FF"/>
            <w:sz w:val="22"/>
            <w:szCs w:val="22"/>
            <w:u w:val="single"/>
          </w:rPr>
          <w:t>http://dx.doi.org/10.1080/13668800701575002</w:t>
        </w:r>
      </w:hyperlink>
      <w:r w:rsidRPr="00C95105">
        <w:rPr>
          <w:rFonts w:asciiTheme="minorHAnsi" w:hAnsiTheme="minorHAnsi" w:cstheme="minorHAnsi"/>
          <w:color w:val="0563C1"/>
          <w:sz w:val="22"/>
          <w:szCs w:val="22"/>
        </w:rPr>
        <w:t> </w:t>
      </w:r>
    </w:p>
    <w:p w14:paraId="1E0AA021" w14:textId="77777777" w:rsidR="003B7F36" w:rsidRPr="00C95105" w:rsidRDefault="003B7F36" w:rsidP="00EB4F52">
      <w:pPr>
        <w:spacing w:after="120"/>
        <w:ind w:left="567" w:hanging="567"/>
        <w:textAlignment w:val="baseline"/>
        <w:rPr>
          <w:rFonts w:asciiTheme="minorHAnsi" w:hAnsiTheme="minorHAnsi" w:cstheme="minorHAnsi"/>
          <w:sz w:val="18"/>
          <w:szCs w:val="18"/>
        </w:rPr>
      </w:pPr>
      <w:r w:rsidRPr="00C95105">
        <w:rPr>
          <w:rFonts w:asciiTheme="minorHAnsi" w:hAnsiTheme="minorHAnsi" w:cstheme="minorHAnsi"/>
          <w:color w:val="000000"/>
          <w:sz w:val="22"/>
          <w:szCs w:val="22"/>
        </w:rPr>
        <w:t xml:space="preserve">Zhelyazkova, N., &amp; Ritschard, G. (2018). Parental Leave Take-Up of Fathers in Luxembourg. </w:t>
      </w:r>
      <w:r w:rsidRPr="00C95105">
        <w:rPr>
          <w:rFonts w:asciiTheme="minorHAnsi" w:hAnsiTheme="minorHAnsi" w:cstheme="minorHAnsi"/>
          <w:i/>
          <w:iCs/>
          <w:color w:val="000000"/>
          <w:sz w:val="22"/>
          <w:szCs w:val="22"/>
        </w:rPr>
        <w:t>Population Research &amp; Policy Review, 37</w:t>
      </w:r>
      <w:r w:rsidRPr="00C95105">
        <w:rPr>
          <w:rFonts w:asciiTheme="minorHAnsi" w:hAnsiTheme="minorHAnsi" w:cstheme="minorHAnsi"/>
          <w:color w:val="000000"/>
          <w:sz w:val="22"/>
          <w:szCs w:val="22"/>
        </w:rPr>
        <w:t>(5), 769-793. doi:10.1007/s11113-018-9470-8 </w:t>
      </w:r>
    </w:p>
    <w:p w14:paraId="18ADC996" w14:textId="77777777" w:rsidR="003B7F36" w:rsidRPr="00C95105" w:rsidRDefault="003B7F36" w:rsidP="003B7F36">
      <w:pPr>
        <w:textAlignment w:val="baseline"/>
        <w:rPr>
          <w:rFonts w:asciiTheme="minorHAnsi" w:hAnsiTheme="minorHAnsi" w:cstheme="minorHAnsi"/>
          <w:sz w:val="18"/>
          <w:szCs w:val="18"/>
        </w:rPr>
      </w:pPr>
      <w:r w:rsidRPr="00C95105">
        <w:rPr>
          <w:rFonts w:asciiTheme="minorHAnsi" w:hAnsiTheme="minorHAnsi" w:cstheme="minorHAnsi"/>
          <w:color w:val="000000"/>
        </w:rPr>
        <w:t> </w:t>
      </w:r>
    </w:p>
    <w:p w14:paraId="5E1B50CA" w14:textId="77777777" w:rsidR="003B7F36" w:rsidRPr="00C95105" w:rsidRDefault="003B7F36" w:rsidP="003B7F36">
      <w:pPr>
        <w:textAlignment w:val="baseline"/>
        <w:rPr>
          <w:rFonts w:asciiTheme="minorHAnsi" w:hAnsiTheme="minorHAnsi" w:cstheme="minorHAnsi"/>
          <w:sz w:val="18"/>
          <w:szCs w:val="18"/>
        </w:rPr>
      </w:pPr>
      <w:r w:rsidRPr="00C95105">
        <w:rPr>
          <w:rFonts w:asciiTheme="minorHAnsi" w:hAnsiTheme="minorHAnsi" w:cstheme="minorHAnsi"/>
          <w:color w:val="202020"/>
          <w:sz w:val="19"/>
          <w:szCs w:val="19"/>
        </w:rPr>
        <w:t> </w:t>
      </w:r>
    </w:p>
    <w:p w14:paraId="5B8C1B00" w14:textId="2F66445A" w:rsidR="00CD290C" w:rsidRPr="00C95105" w:rsidRDefault="003B7F36" w:rsidP="003B7F36">
      <w:pPr>
        <w:textAlignment w:val="baseline"/>
        <w:rPr>
          <w:rFonts w:asciiTheme="minorHAnsi" w:hAnsiTheme="minorHAnsi" w:cstheme="minorHAnsi"/>
          <w:color w:val="202020"/>
          <w:sz w:val="19"/>
          <w:szCs w:val="19"/>
        </w:rPr>
        <w:sectPr w:rsidR="00CD290C" w:rsidRPr="00C95105" w:rsidSect="00FF16B6">
          <w:headerReference w:type="even" r:id="rId101"/>
          <w:headerReference w:type="default" r:id="rId102"/>
          <w:footerReference w:type="default" r:id="rId103"/>
          <w:headerReference w:type="first" r:id="rId104"/>
          <w:pgSz w:w="11900" w:h="16840"/>
          <w:pgMar w:top="1440" w:right="1440" w:bottom="1440" w:left="1440" w:header="708" w:footer="708" w:gutter="0"/>
          <w:cols w:space="708"/>
          <w:docGrid w:linePitch="360"/>
        </w:sectPr>
      </w:pPr>
      <w:r w:rsidRPr="00C95105">
        <w:rPr>
          <w:rFonts w:asciiTheme="minorHAnsi" w:hAnsiTheme="minorHAnsi" w:cstheme="minorHAnsi"/>
          <w:color w:val="202020"/>
          <w:sz w:val="19"/>
          <w:szCs w:val="19"/>
        </w:rPr>
        <w:t> </w:t>
      </w:r>
    </w:p>
    <w:p w14:paraId="280A23AE" w14:textId="77777777" w:rsidR="00624105" w:rsidRPr="00A54CE0" w:rsidRDefault="00624105" w:rsidP="005232B4">
      <w:pPr>
        <w:pStyle w:val="Heading1"/>
        <w:spacing w:before="0" w:after="120"/>
        <w:jc w:val="center"/>
        <w:rPr>
          <w:rFonts w:asciiTheme="minorHAnsi" w:hAnsiTheme="minorHAnsi" w:cstheme="minorHAnsi"/>
          <w:b/>
          <w:bCs/>
          <w:color w:val="FFFFFF" w:themeColor="background1"/>
        </w:rPr>
      </w:pPr>
      <w:bookmarkStart w:id="175" w:name="_Toc96957701"/>
      <w:r w:rsidRPr="00A54CE0">
        <w:rPr>
          <w:rFonts w:asciiTheme="minorHAnsi" w:hAnsiTheme="minorHAnsi" w:cstheme="minorHAnsi"/>
          <w:b/>
          <w:bCs/>
          <w:color w:val="FFFFFF" w:themeColor="background1"/>
        </w:rPr>
        <w:lastRenderedPageBreak/>
        <w:t xml:space="preserve">Chapter 4 - </w:t>
      </w:r>
      <w:r w:rsidRPr="00A54CE0">
        <w:rPr>
          <w:rFonts w:asciiTheme="minorHAnsi" w:hAnsiTheme="minorHAnsi" w:cstheme="minorHAnsi"/>
          <w:color w:val="FFFFFF" w:themeColor="background1"/>
        </w:rPr>
        <w:t>Addressing Public Sector Drivers of Sexual Harassment</w:t>
      </w:r>
      <w:bookmarkEnd w:id="175"/>
    </w:p>
    <w:p w14:paraId="2807882E" w14:textId="77777777" w:rsidR="00624105" w:rsidRPr="00A54CE0" w:rsidRDefault="00624105" w:rsidP="00624105">
      <w:pPr>
        <w:spacing w:after="120"/>
        <w:ind w:hanging="360"/>
        <w:jc w:val="center"/>
        <w:rPr>
          <w:rFonts w:asciiTheme="minorHAnsi" w:hAnsiTheme="minorHAnsi" w:cstheme="minorHAnsi"/>
          <w:b/>
          <w:bCs/>
          <w:color w:val="FFFFFF" w:themeColor="background1"/>
          <w:sz w:val="22"/>
          <w:szCs w:val="22"/>
        </w:rPr>
      </w:pPr>
    </w:p>
    <w:p w14:paraId="5083E12A" w14:textId="77777777" w:rsidR="00A54CE0" w:rsidRDefault="00A54CE0" w:rsidP="00624105">
      <w:pPr>
        <w:spacing w:after="120"/>
        <w:rPr>
          <w:rFonts w:asciiTheme="minorHAnsi" w:hAnsiTheme="minorHAnsi" w:cstheme="minorHAnsi"/>
          <w:i/>
          <w:iCs/>
          <w:sz w:val="22"/>
          <w:szCs w:val="22"/>
        </w:rPr>
      </w:pPr>
    </w:p>
    <w:p w14:paraId="4AD82737" w14:textId="77777777" w:rsidR="005232B4" w:rsidRDefault="005232B4" w:rsidP="00624105">
      <w:pPr>
        <w:spacing w:after="120"/>
        <w:rPr>
          <w:rFonts w:asciiTheme="minorHAnsi" w:hAnsiTheme="minorHAnsi" w:cstheme="minorHAnsi"/>
          <w:i/>
          <w:iCs/>
          <w:sz w:val="22"/>
          <w:szCs w:val="22"/>
        </w:rPr>
      </w:pPr>
    </w:p>
    <w:p w14:paraId="44000881" w14:textId="68C78F7A" w:rsidR="00624105" w:rsidRPr="00C95105" w:rsidRDefault="00624105" w:rsidP="00624105">
      <w:pPr>
        <w:spacing w:after="120"/>
        <w:rPr>
          <w:rFonts w:asciiTheme="minorHAnsi" w:hAnsiTheme="minorHAnsi" w:cstheme="minorHAnsi"/>
          <w:sz w:val="22"/>
          <w:szCs w:val="22"/>
        </w:rPr>
      </w:pPr>
      <w:r w:rsidRPr="00C95105">
        <w:rPr>
          <w:rFonts w:asciiTheme="minorHAnsi" w:hAnsiTheme="minorHAnsi" w:cstheme="minorHAnsi"/>
          <w:i/>
          <w:iCs/>
          <w:sz w:val="22"/>
          <w:szCs w:val="22"/>
        </w:rPr>
        <w:t>PhD Candidate Lindsie Catherine Arthur</w:t>
      </w:r>
      <w:r w:rsidRPr="00C95105">
        <w:rPr>
          <w:rFonts w:asciiTheme="minorHAnsi" w:hAnsiTheme="minorHAnsi" w:cstheme="minorHAnsi"/>
          <w:sz w:val="22"/>
          <w:szCs w:val="22"/>
        </w:rPr>
        <w:t>, The University of Melbourne</w:t>
      </w:r>
    </w:p>
    <w:p w14:paraId="505314C1" w14:textId="77777777" w:rsidR="00624105" w:rsidRPr="00C95105" w:rsidRDefault="00624105" w:rsidP="00624105">
      <w:pPr>
        <w:spacing w:after="120"/>
        <w:rPr>
          <w:rFonts w:asciiTheme="minorHAnsi" w:hAnsiTheme="minorHAnsi" w:cstheme="minorHAnsi"/>
          <w:sz w:val="22"/>
          <w:szCs w:val="22"/>
        </w:rPr>
      </w:pPr>
      <w:r w:rsidRPr="00C95105">
        <w:rPr>
          <w:rFonts w:asciiTheme="minorHAnsi" w:hAnsiTheme="minorHAnsi" w:cstheme="minorHAnsi"/>
          <w:i/>
          <w:iCs/>
          <w:sz w:val="22"/>
          <w:szCs w:val="22"/>
        </w:rPr>
        <w:t>Dr Victor Sojo</w:t>
      </w:r>
      <w:r w:rsidRPr="00C95105">
        <w:rPr>
          <w:rFonts w:asciiTheme="minorHAnsi" w:hAnsiTheme="minorHAnsi" w:cstheme="minorHAnsi"/>
          <w:sz w:val="22"/>
          <w:szCs w:val="22"/>
        </w:rPr>
        <w:t>, The University of Melbourne</w:t>
      </w:r>
    </w:p>
    <w:p w14:paraId="1E500C6D" w14:textId="77777777" w:rsidR="00624105" w:rsidRPr="00C95105" w:rsidRDefault="00624105" w:rsidP="00624105">
      <w:pPr>
        <w:spacing w:after="120"/>
        <w:rPr>
          <w:rFonts w:asciiTheme="minorHAnsi" w:hAnsiTheme="minorHAnsi" w:cstheme="minorHAnsi"/>
          <w:sz w:val="22"/>
          <w:szCs w:val="22"/>
        </w:rPr>
      </w:pPr>
      <w:r w:rsidRPr="00C95105">
        <w:rPr>
          <w:rFonts w:asciiTheme="minorHAnsi" w:hAnsiTheme="minorHAnsi" w:cstheme="minorHAnsi"/>
          <w:i/>
          <w:iCs/>
          <w:sz w:val="22"/>
          <w:szCs w:val="22"/>
        </w:rPr>
        <w:t>Dr Victoria Roberts</w:t>
      </w:r>
      <w:r w:rsidRPr="00C95105">
        <w:rPr>
          <w:rFonts w:asciiTheme="minorHAnsi" w:hAnsiTheme="minorHAnsi" w:cstheme="minorHAnsi"/>
          <w:sz w:val="22"/>
          <w:szCs w:val="22"/>
        </w:rPr>
        <w:t>, The University of Melbourne</w:t>
      </w:r>
    </w:p>
    <w:p w14:paraId="7FF9830B" w14:textId="77777777" w:rsidR="00624105" w:rsidRPr="00C95105" w:rsidRDefault="00624105" w:rsidP="00624105">
      <w:pPr>
        <w:spacing w:after="120"/>
        <w:rPr>
          <w:rFonts w:asciiTheme="minorHAnsi" w:hAnsiTheme="minorHAnsi" w:cstheme="minorHAnsi"/>
          <w:sz w:val="22"/>
          <w:szCs w:val="22"/>
        </w:rPr>
      </w:pPr>
      <w:r w:rsidRPr="00C95105">
        <w:rPr>
          <w:rFonts w:asciiTheme="minorHAnsi" w:hAnsiTheme="minorHAnsi" w:cstheme="minorHAnsi"/>
          <w:i/>
          <w:iCs/>
          <w:sz w:val="22"/>
          <w:szCs w:val="22"/>
        </w:rPr>
        <w:t>PhD Candidate Kate Western</w:t>
      </w:r>
      <w:r w:rsidRPr="00C95105">
        <w:rPr>
          <w:rFonts w:asciiTheme="minorHAnsi" w:hAnsiTheme="minorHAnsi" w:cstheme="minorHAnsi"/>
          <w:sz w:val="22"/>
          <w:szCs w:val="22"/>
        </w:rPr>
        <w:t>, The Australian National University</w:t>
      </w:r>
    </w:p>
    <w:p w14:paraId="222527D9" w14:textId="0158F961" w:rsidR="00624105" w:rsidRPr="00C95105" w:rsidRDefault="00A54CE0" w:rsidP="00624105">
      <w:pPr>
        <w:spacing w:after="120"/>
        <w:ind w:hanging="360"/>
        <w:jc w:val="center"/>
        <w:rPr>
          <w:rFonts w:asciiTheme="minorHAnsi" w:hAnsiTheme="minorHAnsi" w:cstheme="minorHAnsi"/>
          <w:b/>
          <w:bCs/>
          <w:sz w:val="22"/>
          <w:szCs w:val="22"/>
        </w:rPr>
      </w:pPr>
      <w:r w:rsidRPr="00C95105">
        <w:rPr>
          <w:rFonts w:asciiTheme="minorHAnsi" w:hAnsiTheme="minorHAnsi" w:cstheme="minorHAnsi"/>
          <w:noProof/>
          <w:color w:val="000000" w:themeColor="text1"/>
          <w:sz w:val="28"/>
          <w:szCs w:val="28"/>
        </w:rPr>
        <mc:AlternateContent>
          <mc:Choice Requires="wps">
            <w:drawing>
              <wp:anchor distT="0" distB="0" distL="114300" distR="114300" simplePos="0" relativeHeight="251658266" behindDoc="1" locked="1" layoutInCell="1" allowOverlap="1" wp14:anchorId="4D63B90E" wp14:editId="73907DDA">
                <wp:simplePos x="0" y="0"/>
                <wp:positionH relativeFrom="page">
                  <wp:posOffset>-400685</wp:posOffset>
                </wp:positionH>
                <wp:positionV relativeFrom="page">
                  <wp:posOffset>-99695</wp:posOffset>
                </wp:positionV>
                <wp:extent cx="8447405" cy="1685290"/>
                <wp:effectExtent l="0" t="0" r="0" b="3810"/>
                <wp:wrapNone/>
                <wp:docPr id="146"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447405" cy="1685290"/>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360A9" id="Divider A BG" o:spid="_x0000_s1026" alt="&quot;&quot;" style="position:absolute;margin-left:-31.55pt;margin-top:-7.85pt;width:665.15pt;height:132.7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" fillcolor="#1c407f" stroked="f" strokeweight="1pt">
                <o:lock v:ext="edit" aspectratio="t"/>
                <w10:wrap anchorx="page" anchory="page"/>
                <w10:anchorlock/>
              </v:rect>
            </w:pict>
          </mc:Fallback>
        </mc:AlternateContent>
      </w:r>
    </w:p>
    <w:p w14:paraId="06766436" w14:textId="04EDAAC9" w:rsidR="00624105" w:rsidRPr="00C95105" w:rsidRDefault="00624105" w:rsidP="0093280F">
      <w:pPr>
        <w:pStyle w:val="Heading2"/>
        <w:numPr>
          <w:ilvl w:val="1"/>
          <w:numId w:val="20"/>
        </w:numPr>
        <w:spacing w:before="0" w:after="120"/>
        <w:ind w:left="426" w:hanging="426"/>
        <w:rPr>
          <w:rFonts w:asciiTheme="minorHAnsi" w:hAnsiTheme="minorHAnsi" w:cstheme="minorHAnsi"/>
          <w:b/>
          <w:bCs/>
        </w:rPr>
      </w:pPr>
      <w:bookmarkStart w:id="176" w:name="_Toc96957702"/>
      <w:r w:rsidRPr="00C95105">
        <w:rPr>
          <w:rFonts w:asciiTheme="minorHAnsi" w:hAnsiTheme="minorHAnsi" w:cstheme="minorHAnsi"/>
          <w:b/>
          <w:bCs/>
        </w:rPr>
        <w:t>Executive Summary</w:t>
      </w:r>
      <w:bookmarkEnd w:id="176"/>
    </w:p>
    <w:p w14:paraId="06EF1DD3" w14:textId="7F62038E" w:rsidR="00624105" w:rsidRPr="00C95105" w:rsidRDefault="00624105" w:rsidP="00471B0F">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We conducted a rapid review of the available evidence regarding drivers of sexual harassment in the public sector. After systematically searching the academic literature, we analysed 29 publications reporting organisational predictors of sexual harassment in the public sector. The following factors were identified:</w:t>
      </w:r>
    </w:p>
    <w:p w14:paraId="1E57CF97" w14:textId="77777777" w:rsidR="00624105" w:rsidRPr="00C95105" w:rsidRDefault="00624105" w:rsidP="00624105">
      <w:pPr>
        <w:spacing w:after="120"/>
        <w:rPr>
          <w:rFonts w:asciiTheme="minorHAnsi" w:hAnsiTheme="minorHAnsi" w:cstheme="minorHAnsi"/>
          <w:b/>
          <w:bCs/>
          <w:sz w:val="22"/>
          <w:szCs w:val="22"/>
        </w:rPr>
      </w:pPr>
      <w:r w:rsidRPr="00C95105">
        <w:rPr>
          <w:rFonts w:asciiTheme="minorHAnsi" w:hAnsiTheme="minorHAnsi" w:cstheme="minorHAnsi"/>
          <w:b/>
          <w:bCs/>
          <w:sz w:val="22"/>
          <w:szCs w:val="22"/>
        </w:rPr>
        <w:t>Structural Factors</w:t>
      </w:r>
    </w:p>
    <w:p w14:paraId="29C3A694" w14:textId="77777777" w:rsidR="00624105" w:rsidRPr="00C95105" w:rsidRDefault="00624105" w:rsidP="0093280F">
      <w:pPr>
        <w:pStyle w:val="ListParagraph"/>
        <w:numPr>
          <w:ilvl w:val="0"/>
          <w:numId w:val="21"/>
        </w:numPr>
        <w:spacing w:after="120"/>
        <w:ind w:left="567" w:hanging="283"/>
        <w:contextualSpacing w:val="0"/>
        <w:rPr>
          <w:rFonts w:asciiTheme="minorHAnsi" w:hAnsiTheme="minorHAnsi" w:cstheme="minorHAnsi"/>
          <w:sz w:val="22"/>
          <w:szCs w:val="22"/>
        </w:rPr>
      </w:pPr>
      <w:bookmarkStart w:id="177" w:name="_Toc96866417"/>
      <w:bookmarkStart w:id="178" w:name="_Toc96866619"/>
      <w:bookmarkStart w:id="179" w:name="_Toc96878286"/>
      <w:r w:rsidRPr="00C95105">
        <w:rPr>
          <w:rFonts w:asciiTheme="minorHAnsi" w:hAnsiTheme="minorHAnsi" w:cstheme="minorHAnsi"/>
          <w:i/>
          <w:iCs/>
          <w:sz w:val="22"/>
          <w:szCs w:val="22"/>
        </w:rPr>
        <w:t xml:space="preserve">Distribution of Power. </w:t>
      </w:r>
      <w:r w:rsidRPr="00C95105">
        <w:rPr>
          <w:rFonts w:asciiTheme="minorHAnsi" w:hAnsiTheme="minorHAnsi" w:cstheme="minorHAnsi"/>
          <w:sz w:val="22"/>
          <w:szCs w:val="22"/>
        </w:rPr>
        <w:t>Unequal distribution of formal and informal power.</w:t>
      </w:r>
      <w:bookmarkEnd w:id="177"/>
      <w:bookmarkEnd w:id="178"/>
      <w:bookmarkEnd w:id="179"/>
      <w:r w:rsidRPr="00C95105">
        <w:rPr>
          <w:rFonts w:asciiTheme="minorHAnsi" w:hAnsiTheme="minorHAnsi" w:cstheme="minorHAnsi"/>
          <w:sz w:val="22"/>
          <w:szCs w:val="22"/>
        </w:rPr>
        <w:t xml:space="preserve"> </w:t>
      </w:r>
    </w:p>
    <w:p w14:paraId="51DA439F" w14:textId="77777777" w:rsidR="00624105" w:rsidRPr="00C95105" w:rsidRDefault="00624105" w:rsidP="0093280F">
      <w:pPr>
        <w:pStyle w:val="ListParagraph"/>
        <w:numPr>
          <w:ilvl w:val="0"/>
          <w:numId w:val="21"/>
        </w:numPr>
        <w:spacing w:after="120"/>
        <w:ind w:left="567" w:hanging="283"/>
        <w:contextualSpacing w:val="0"/>
        <w:rPr>
          <w:rFonts w:asciiTheme="minorHAnsi" w:hAnsiTheme="minorHAnsi" w:cstheme="minorHAnsi"/>
          <w:sz w:val="22"/>
          <w:szCs w:val="22"/>
        </w:rPr>
      </w:pPr>
      <w:bookmarkStart w:id="180" w:name="_Toc96866418"/>
      <w:bookmarkStart w:id="181" w:name="_Toc96866620"/>
      <w:bookmarkStart w:id="182" w:name="_Toc96878287"/>
      <w:r w:rsidRPr="00C95105">
        <w:rPr>
          <w:rFonts w:asciiTheme="minorHAnsi" w:hAnsiTheme="minorHAnsi" w:cstheme="minorHAnsi"/>
          <w:i/>
          <w:iCs/>
          <w:sz w:val="22"/>
          <w:szCs w:val="22"/>
        </w:rPr>
        <w:t>Gendered Organisation of Work.</w:t>
      </w:r>
      <w:r w:rsidRPr="00C95105">
        <w:rPr>
          <w:rFonts w:asciiTheme="minorHAnsi" w:hAnsiTheme="minorHAnsi" w:cstheme="minorHAnsi"/>
          <w:sz w:val="22"/>
          <w:szCs w:val="22"/>
        </w:rPr>
        <w:t xml:space="preserve"> Roles with high sex-ratios or poor accommodation of sex-specific needs.</w:t>
      </w:r>
      <w:bookmarkEnd w:id="180"/>
      <w:bookmarkEnd w:id="181"/>
      <w:bookmarkEnd w:id="182"/>
    </w:p>
    <w:p w14:paraId="3D610C05" w14:textId="77777777" w:rsidR="00624105" w:rsidRPr="00C95105" w:rsidRDefault="00624105" w:rsidP="00624105">
      <w:pPr>
        <w:spacing w:after="120"/>
        <w:rPr>
          <w:rFonts w:asciiTheme="minorHAnsi" w:hAnsiTheme="minorHAnsi" w:cstheme="minorHAnsi"/>
          <w:b/>
          <w:bCs/>
          <w:sz w:val="22"/>
          <w:szCs w:val="22"/>
        </w:rPr>
      </w:pPr>
      <w:r w:rsidRPr="00C95105">
        <w:rPr>
          <w:rFonts w:asciiTheme="minorHAnsi" w:hAnsiTheme="minorHAnsi" w:cstheme="minorHAnsi"/>
          <w:b/>
          <w:bCs/>
          <w:sz w:val="22"/>
          <w:szCs w:val="22"/>
        </w:rPr>
        <w:t>Social Factors</w:t>
      </w:r>
    </w:p>
    <w:p w14:paraId="4F16ECD0" w14:textId="77777777" w:rsidR="00624105" w:rsidRPr="00C95105" w:rsidRDefault="00624105" w:rsidP="0093280F">
      <w:pPr>
        <w:pStyle w:val="ListParagraph"/>
        <w:numPr>
          <w:ilvl w:val="0"/>
          <w:numId w:val="22"/>
        </w:numPr>
        <w:spacing w:after="120"/>
        <w:ind w:left="567" w:hanging="283"/>
        <w:contextualSpacing w:val="0"/>
        <w:rPr>
          <w:rFonts w:asciiTheme="minorHAnsi" w:hAnsiTheme="minorHAnsi" w:cstheme="minorHAnsi"/>
          <w:sz w:val="22"/>
          <w:szCs w:val="22"/>
        </w:rPr>
      </w:pPr>
      <w:bookmarkStart w:id="183" w:name="_Toc96866419"/>
      <w:bookmarkStart w:id="184" w:name="_Toc96866621"/>
      <w:bookmarkStart w:id="185" w:name="_Toc96878288"/>
      <w:r w:rsidRPr="00C95105">
        <w:rPr>
          <w:rFonts w:asciiTheme="minorHAnsi" w:hAnsiTheme="minorHAnsi" w:cstheme="minorHAnsi"/>
          <w:i/>
          <w:iCs/>
          <w:sz w:val="22"/>
          <w:szCs w:val="22"/>
        </w:rPr>
        <w:t>Conformity to Dominant Values.</w:t>
      </w:r>
      <w:r w:rsidRPr="00C95105">
        <w:rPr>
          <w:rFonts w:asciiTheme="minorHAnsi" w:hAnsiTheme="minorHAnsi" w:cstheme="minorHAnsi"/>
          <w:sz w:val="22"/>
          <w:szCs w:val="22"/>
        </w:rPr>
        <w:t xml:space="preserve"> Masculinity as the dominant value system and sexist expectations regarding dress.</w:t>
      </w:r>
      <w:bookmarkEnd w:id="183"/>
      <w:bookmarkEnd w:id="184"/>
      <w:bookmarkEnd w:id="185"/>
    </w:p>
    <w:p w14:paraId="3D87CEF7" w14:textId="77777777" w:rsidR="00624105" w:rsidRPr="00C95105" w:rsidRDefault="00624105" w:rsidP="0093280F">
      <w:pPr>
        <w:pStyle w:val="ListParagraph"/>
        <w:numPr>
          <w:ilvl w:val="0"/>
          <w:numId w:val="22"/>
        </w:numPr>
        <w:spacing w:after="120"/>
        <w:ind w:left="567" w:hanging="283"/>
        <w:contextualSpacing w:val="0"/>
        <w:rPr>
          <w:rFonts w:asciiTheme="minorHAnsi" w:hAnsiTheme="minorHAnsi" w:cstheme="minorHAnsi"/>
          <w:sz w:val="22"/>
          <w:szCs w:val="22"/>
        </w:rPr>
      </w:pPr>
      <w:bookmarkStart w:id="186" w:name="_Toc96866420"/>
      <w:bookmarkStart w:id="187" w:name="_Toc96866622"/>
      <w:bookmarkStart w:id="188" w:name="_Toc96878289"/>
      <w:r w:rsidRPr="00C95105">
        <w:rPr>
          <w:rFonts w:asciiTheme="minorHAnsi" w:hAnsiTheme="minorHAnsi" w:cstheme="minorHAnsi"/>
          <w:i/>
          <w:iCs/>
          <w:sz w:val="22"/>
          <w:szCs w:val="22"/>
        </w:rPr>
        <w:t>Organisational Tolerance.</w:t>
      </w:r>
      <w:r w:rsidRPr="00C95105">
        <w:rPr>
          <w:rFonts w:asciiTheme="minorHAnsi" w:hAnsiTheme="minorHAnsi" w:cstheme="minorHAnsi"/>
          <w:sz w:val="22"/>
          <w:szCs w:val="22"/>
        </w:rPr>
        <w:t xml:space="preserve"> Uncertainty regarding expected standards of behaviour or consequences for engaging in sexual harassment. Poor communication regarding policies and processes.</w:t>
      </w:r>
      <w:bookmarkEnd w:id="186"/>
      <w:bookmarkEnd w:id="187"/>
      <w:bookmarkEnd w:id="188"/>
      <w:r w:rsidRPr="00C95105">
        <w:rPr>
          <w:rFonts w:asciiTheme="minorHAnsi" w:hAnsiTheme="minorHAnsi" w:cstheme="minorHAnsi"/>
          <w:sz w:val="22"/>
          <w:szCs w:val="22"/>
        </w:rPr>
        <w:t xml:space="preserve">  </w:t>
      </w:r>
    </w:p>
    <w:p w14:paraId="1E1BA6AF" w14:textId="77777777" w:rsidR="00624105" w:rsidRPr="00C95105" w:rsidRDefault="00624105" w:rsidP="0093280F">
      <w:pPr>
        <w:pStyle w:val="ListParagraph"/>
        <w:numPr>
          <w:ilvl w:val="0"/>
          <w:numId w:val="22"/>
        </w:numPr>
        <w:spacing w:after="120"/>
        <w:ind w:left="567" w:hanging="283"/>
        <w:contextualSpacing w:val="0"/>
        <w:rPr>
          <w:rFonts w:asciiTheme="minorHAnsi" w:hAnsiTheme="minorHAnsi" w:cstheme="minorHAnsi"/>
          <w:sz w:val="22"/>
          <w:szCs w:val="22"/>
        </w:rPr>
      </w:pPr>
      <w:bookmarkStart w:id="189" w:name="_Toc96866421"/>
      <w:bookmarkStart w:id="190" w:name="_Toc96866623"/>
      <w:bookmarkStart w:id="191" w:name="_Toc96878290"/>
      <w:r w:rsidRPr="00C95105">
        <w:rPr>
          <w:rFonts w:asciiTheme="minorHAnsi" w:hAnsiTheme="minorHAnsi" w:cstheme="minorHAnsi"/>
          <w:i/>
          <w:iCs/>
          <w:sz w:val="22"/>
          <w:szCs w:val="22"/>
        </w:rPr>
        <w:t>Social Tolerance.</w:t>
      </w:r>
      <w:r w:rsidRPr="00C95105">
        <w:rPr>
          <w:rFonts w:asciiTheme="minorHAnsi" w:hAnsiTheme="minorHAnsi" w:cstheme="minorHAnsi"/>
          <w:sz w:val="22"/>
          <w:szCs w:val="22"/>
        </w:rPr>
        <w:t xml:space="preserve"> Perceptions of tolerance towards sexual harassment and a history of victim blaming or backlash.</w:t>
      </w:r>
      <w:bookmarkEnd w:id="189"/>
      <w:bookmarkEnd w:id="190"/>
      <w:bookmarkEnd w:id="191"/>
    </w:p>
    <w:p w14:paraId="25D64FF5" w14:textId="3A75A054" w:rsidR="00624105" w:rsidRPr="00C95105" w:rsidRDefault="00624105" w:rsidP="00CA627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the following report, we provide details about the methods of the review and expand on our key findings and present policy implications arising from this evidence. We propose a broad set of evidence-based recommendations that are designed to reduce the impact of these drivers, prevent, and manage workplace sexual harassment. We then zoom in on </w:t>
      </w:r>
      <w:r w:rsidR="006A67A8" w:rsidRPr="00C95105">
        <w:rPr>
          <w:rFonts w:asciiTheme="minorHAnsi" w:hAnsiTheme="minorHAnsi" w:cstheme="minorHAnsi"/>
          <w:sz w:val="22"/>
          <w:szCs w:val="22"/>
        </w:rPr>
        <w:t xml:space="preserve">key areas of action </w:t>
      </w:r>
      <w:r w:rsidRPr="00C95105">
        <w:rPr>
          <w:rFonts w:asciiTheme="minorHAnsi" w:hAnsiTheme="minorHAnsi" w:cstheme="minorHAnsi"/>
          <w:sz w:val="22"/>
          <w:szCs w:val="22"/>
        </w:rPr>
        <w:t xml:space="preserve">the Victorian Public Sector (VPS) </w:t>
      </w:r>
      <w:r w:rsidR="006A67A8" w:rsidRPr="00C95105">
        <w:rPr>
          <w:rFonts w:asciiTheme="minorHAnsi" w:hAnsiTheme="minorHAnsi" w:cstheme="minorHAnsi"/>
          <w:sz w:val="22"/>
          <w:szCs w:val="22"/>
        </w:rPr>
        <w:t>may consider</w:t>
      </w:r>
      <w:r w:rsidRPr="00C95105">
        <w:rPr>
          <w:rFonts w:asciiTheme="minorHAnsi" w:hAnsiTheme="minorHAnsi" w:cstheme="minorHAnsi"/>
          <w:sz w:val="22"/>
          <w:szCs w:val="22"/>
        </w:rPr>
        <w:t xml:space="preserve">, focusing on interventions at the organisational (e.g., changes in espoused values, increased gender diversity in teams and leadership), team (e.g., manager training on policy/practices to manage sexual harassment, staff training on respectful relations) and individual levels (e.g., bystander intervention training, socio-emotional training for instigators). </w:t>
      </w:r>
    </w:p>
    <w:p w14:paraId="3311EA94" w14:textId="77777777" w:rsidR="00624105" w:rsidRPr="00C95105" w:rsidRDefault="00624105" w:rsidP="00CA6274">
      <w:pPr>
        <w:spacing w:after="120"/>
        <w:rPr>
          <w:rFonts w:asciiTheme="minorHAnsi" w:hAnsiTheme="minorHAnsi" w:cstheme="minorHAnsi"/>
          <w:sz w:val="22"/>
          <w:szCs w:val="22"/>
        </w:rPr>
      </w:pPr>
    </w:p>
    <w:p w14:paraId="0F677744" w14:textId="1D28A4B1" w:rsidR="00624105" w:rsidRPr="00C95105" w:rsidRDefault="00624105" w:rsidP="0093280F">
      <w:pPr>
        <w:pStyle w:val="Heading2"/>
        <w:numPr>
          <w:ilvl w:val="1"/>
          <w:numId w:val="20"/>
        </w:numPr>
        <w:spacing w:before="0" w:after="120"/>
        <w:ind w:left="426" w:hanging="426"/>
        <w:rPr>
          <w:rFonts w:asciiTheme="minorHAnsi" w:hAnsiTheme="minorHAnsi" w:cstheme="minorHAnsi"/>
          <w:b/>
          <w:bCs/>
        </w:rPr>
      </w:pPr>
      <w:bookmarkStart w:id="192" w:name="_Toc96957703"/>
      <w:r w:rsidRPr="00C95105">
        <w:rPr>
          <w:rFonts w:asciiTheme="minorHAnsi" w:hAnsiTheme="minorHAnsi" w:cstheme="minorHAnsi"/>
          <w:b/>
          <w:bCs/>
        </w:rPr>
        <w:t>Introduction</w:t>
      </w:r>
      <w:bookmarkEnd w:id="192"/>
    </w:p>
    <w:p w14:paraId="15A7A873" w14:textId="5B844F51" w:rsidR="00945DA3" w:rsidRPr="00C95105" w:rsidRDefault="00624105" w:rsidP="00945DA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Despite their similarities, the public sector is distinct from private sector organisations in a myriad of ways and thus warrants specific investigation. For example, the public sector is encompassed within political communities, is funded by taxes, and is controlled by political rather than market forces (Boyne, 2002). For these reasons, the public sector is expected to reflect the </w:t>
      </w:r>
      <w:r w:rsidRPr="00C95105">
        <w:rPr>
          <w:rFonts w:asciiTheme="minorHAnsi" w:hAnsiTheme="minorHAnsi" w:cstheme="minorHAnsi"/>
          <w:sz w:val="22"/>
          <w:szCs w:val="22"/>
        </w:rPr>
        <w:lastRenderedPageBreak/>
        <w:t>social values and legislative framework of their electorate, unlike private organisations that reflect the values of the key stakeholders (e.g., shareholders, investors). Recently, there has been a shift towards t</w:t>
      </w:r>
      <w:r w:rsidR="00F44A4E" w:rsidRPr="00C95105">
        <w:rPr>
          <w:rFonts w:asciiTheme="minorHAnsi" w:hAnsiTheme="minorHAnsi" w:cstheme="minorHAnsi"/>
          <w:sz w:val="22"/>
          <w:szCs w:val="22"/>
        </w:rPr>
        <w:t xml:space="preserve">he </w:t>
      </w:r>
      <w:r w:rsidRPr="00C95105">
        <w:rPr>
          <w:rFonts w:asciiTheme="minorHAnsi" w:hAnsiTheme="minorHAnsi" w:cstheme="minorHAnsi"/>
          <w:sz w:val="22"/>
          <w:szCs w:val="22"/>
        </w:rPr>
        <w:t xml:space="preserve">creation of public value, leading to increased collaboration between public and private agencies, and the communities that they serve (Crimp, 2017), and </w:t>
      </w:r>
      <w:r w:rsidR="5294ADB3" w:rsidRPr="00C95105">
        <w:rPr>
          <w:rFonts w:asciiTheme="minorHAnsi" w:hAnsiTheme="minorHAnsi" w:cstheme="minorHAnsi"/>
          <w:sz w:val="22"/>
          <w:szCs w:val="22"/>
        </w:rPr>
        <w:t>increased</w:t>
      </w:r>
      <w:r w:rsidRPr="00C95105">
        <w:rPr>
          <w:rFonts w:asciiTheme="minorHAnsi" w:hAnsiTheme="minorHAnsi" w:cstheme="minorHAnsi"/>
          <w:sz w:val="22"/>
          <w:szCs w:val="22"/>
        </w:rPr>
        <w:t xml:space="preserve"> interest in public sector organisations as model institutions. </w:t>
      </w:r>
    </w:p>
    <w:p w14:paraId="4EA0B7F5" w14:textId="6A201923" w:rsidR="00945DA3" w:rsidRPr="00C95105" w:rsidRDefault="00532C8D" w:rsidP="00945DA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Sexual harassment is a serious health and safety hazard with the potential to cause serious harm. </w:t>
      </w:r>
      <w:r w:rsidR="00815A8C" w:rsidRPr="00C95105">
        <w:rPr>
          <w:rFonts w:asciiTheme="minorHAnsi" w:hAnsiTheme="minorHAnsi" w:cstheme="minorHAnsi"/>
          <w:sz w:val="22"/>
          <w:szCs w:val="22"/>
        </w:rPr>
        <w:t>Unfortunately, s</w:t>
      </w:r>
      <w:r w:rsidR="00624105" w:rsidRPr="00C95105">
        <w:rPr>
          <w:rFonts w:asciiTheme="minorHAnsi" w:hAnsiTheme="minorHAnsi" w:cstheme="minorHAnsi"/>
          <w:sz w:val="22"/>
          <w:szCs w:val="22"/>
        </w:rPr>
        <w:t>exual harassment is a widespread problem in public sector organisations, with serious long-term consequences for targets of abuse and organisations (Australian Human Rights Commission, 2018; 2021; Jackson &amp; Newman, 2004; Krook, 2018). Workplace sexual harassment is broadly defined as unwanted sex-related behaviours (e.g., sexist jokes, quid pro quo, verbal sexual advances, sexual assault) that the targets find (and, in some jurisdictions, a reasonable person would have found) offensive, humiliating, intimidating or threatening to their individual or occupational wellbeing (Sojo, Wood, &amp; Genat, 2016).</w:t>
      </w:r>
    </w:p>
    <w:p w14:paraId="5FA6751A" w14:textId="77777777" w:rsidR="00945DA3" w:rsidRPr="00C95105" w:rsidRDefault="00624105" w:rsidP="00945DA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Three dimensions of sexual harassment are typically described in the psychology and management literatures: (1) </w:t>
      </w:r>
      <w:r w:rsidRPr="00C95105">
        <w:rPr>
          <w:rFonts w:asciiTheme="minorHAnsi" w:hAnsiTheme="minorHAnsi" w:cstheme="minorHAnsi"/>
          <w:i/>
          <w:iCs/>
          <w:sz w:val="22"/>
          <w:szCs w:val="22"/>
        </w:rPr>
        <w:t>gender harassment</w:t>
      </w:r>
      <w:r w:rsidRPr="00C95105">
        <w:rPr>
          <w:rFonts w:asciiTheme="minorHAnsi" w:hAnsiTheme="minorHAnsi" w:cstheme="minorHAnsi"/>
          <w:sz w:val="22"/>
          <w:szCs w:val="22"/>
        </w:rPr>
        <w:t xml:space="preserve"> includes verbal, physical, or symbolic acts expressing sexist or sexualised hostility towards members of one gender or sexual orientation group; (2) </w:t>
      </w:r>
      <w:r w:rsidRPr="00C95105">
        <w:rPr>
          <w:rFonts w:asciiTheme="minorHAnsi" w:hAnsiTheme="minorHAnsi" w:cstheme="minorHAnsi"/>
          <w:i/>
          <w:iCs/>
          <w:sz w:val="22"/>
          <w:szCs w:val="22"/>
        </w:rPr>
        <w:t>sexual coercion</w:t>
      </w:r>
      <w:r w:rsidRPr="00C95105">
        <w:rPr>
          <w:rFonts w:asciiTheme="minorHAnsi" w:hAnsiTheme="minorHAnsi" w:cstheme="minorHAnsi"/>
          <w:sz w:val="22"/>
          <w:szCs w:val="22"/>
        </w:rPr>
        <w:t xml:space="preserve"> encompasses workplace rewards or punishments that are made contingent upon sexual favours; and (3) </w:t>
      </w:r>
      <w:r w:rsidRPr="00C95105">
        <w:rPr>
          <w:rFonts w:asciiTheme="minorHAnsi" w:hAnsiTheme="minorHAnsi" w:cstheme="minorHAnsi"/>
          <w:i/>
          <w:iCs/>
          <w:sz w:val="22"/>
          <w:szCs w:val="22"/>
        </w:rPr>
        <w:t>unwanted sexual attention</w:t>
      </w:r>
      <w:r w:rsidRPr="00C95105">
        <w:rPr>
          <w:rFonts w:asciiTheme="minorHAnsi" w:hAnsiTheme="minorHAnsi" w:cstheme="minorHAnsi"/>
          <w:sz w:val="22"/>
          <w:szCs w:val="22"/>
        </w:rPr>
        <w:t xml:space="preserve"> comprises physical or verbal sexual approaches that are not wanted, welcomed, or reciprocated, including actual or attempted sexual assault (Fitzgerald et al., 1995; </w:t>
      </w:r>
      <w:r w:rsidRPr="00C95105">
        <w:rPr>
          <w:rFonts w:asciiTheme="minorHAnsi" w:eastAsia="Calibri" w:hAnsiTheme="minorHAnsi" w:cstheme="minorHAnsi"/>
          <w:sz w:val="22"/>
          <w:szCs w:val="22"/>
        </w:rPr>
        <w:t>Willness et al., 2007</w:t>
      </w:r>
      <w:r w:rsidRPr="00C95105">
        <w:rPr>
          <w:rFonts w:asciiTheme="minorHAnsi" w:hAnsiTheme="minorHAnsi" w:cstheme="minorHAnsi"/>
          <w:sz w:val="22"/>
          <w:szCs w:val="22"/>
        </w:rPr>
        <w:t xml:space="preserve">). </w:t>
      </w:r>
    </w:p>
    <w:p w14:paraId="083A8348" w14:textId="0F8694DF" w:rsidR="00945DA3" w:rsidRPr="00C95105" w:rsidRDefault="00624105" w:rsidP="00945DA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the Victorian Equal Opportunity Act 2010 (Vic) section 92(1), the legal definition of sexual harassment focuses on sexual coercion, unwanted sexual attention and sexually crude behaviours. This overlooks gender harassment, which is not necessarily sexualised but encompasses hostility towards a person because of their gender or sexuality. Also, situations of workplace sexual assault are covered by the Crimes Act 1958 (Vic) Part I (40), defined as a person intentionally touching another person who does not consent to the touching; and the touching is sexual; and the person touching does not reasonably believe that the other person consents to the touching.</w:t>
      </w:r>
    </w:p>
    <w:p w14:paraId="5A051328" w14:textId="501D9B99" w:rsidR="00945DA3" w:rsidRPr="00C95105" w:rsidRDefault="00624105" w:rsidP="00945DA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The discrepancies between the way psychology and management academics investigate sexual harassment, and how the topic is dealt with legally, is not entirely surprising. While some of the early research in this area was the product of courts asking for organisational reviews to inform sexual harassment class actions against organisations, research has also been done independently of the legal system</w:t>
      </w:r>
      <w:r w:rsidR="00F90599" w:rsidRPr="00C95105">
        <w:rPr>
          <w:rFonts w:asciiTheme="minorHAnsi" w:hAnsiTheme="minorHAnsi" w:cstheme="minorHAnsi"/>
        </w:rPr>
        <w:t xml:space="preserve">. </w:t>
      </w:r>
      <w:r w:rsidR="00F90599" w:rsidRPr="00C95105">
        <w:rPr>
          <w:rFonts w:asciiTheme="minorHAnsi" w:hAnsiTheme="minorHAnsi" w:cstheme="minorHAnsi"/>
          <w:sz w:val="22"/>
          <w:szCs w:val="22"/>
        </w:rPr>
        <w:t xml:space="preserve">Importantly, research should not be limited to investigating phenomena that fall within existing legal definitions of sexual harassment. Nor do organisations need to be constrained by legal definitions in order to </w:t>
      </w:r>
      <w:r w:rsidR="00B67D5B" w:rsidRPr="00C95105">
        <w:rPr>
          <w:rFonts w:asciiTheme="minorHAnsi" w:hAnsiTheme="minorHAnsi" w:cstheme="minorHAnsi"/>
          <w:sz w:val="22"/>
          <w:szCs w:val="22"/>
        </w:rPr>
        <w:t>specify</w:t>
      </w:r>
      <w:r w:rsidR="00F90599" w:rsidRPr="00C95105">
        <w:rPr>
          <w:rFonts w:asciiTheme="minorHAnsi" w:hAnsiTheme="minorHAnsi" w:cstheme="minorHAnsi"/>
          <w:sz w:val="22"/>
          <w:szCs w:val="22"/>
        </w:rPr>
        <w:t xml:space="preserve"> what behaviours are to be considered acceptable and unacceptable at work</w:t>
      </w:r>
      <w:r w:rsidRPr="00C95105">
        <w:rPr>
          <w:rFonts w:asciiTheme="minorHAnsi" w:hAnsiTheme="minorHAnsi" w:cstheme="minorHAnsi"/>
          <w:sz w:val="22"/>
          <w:szCs w:val="22"/>
        </w:rPr>
        <w:t xml:space="preserve">. </w:t>
      </w:r>
    </w:p>
    <w:p w14:paraId="41E6B011" w14:textId="2A191374" w:rsidR="00945DA3" w:rsidRPr="00C95105" w:rsidRDefault="00624105" w:rsidP="00945DA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Research investigating the experience of sexual harassment in the public and private sectors consistently shows that sexual harassment </w:t>
      </w:r>
      <w:r w:rsidR="4DE0EFB7" w:rsidRPr="00C95105">
        <w:rPr>
          <w:rFonts w:asciiTheme="minorHAnsi" w:hAnsiTheme="minorHAnsi" w:cstheme="minorHAnsi"/>
          <w:sz w:val="22"/>
          <w:szCs w:val="22"/>
        </w:rPr>
        <w:t>impacts</w:t>
      </w:r>
      <w:r w:rsidRPr="00C95105">
        <w:rPr>
          <w:rFonts w:asciiTheme="minorHAnsi" w:hAnsiTheme="minorHAnsi" w:cstheme="minorHAnsi"/>
          <w:sz w:val="22"/>
          <w:szCs w:val="22"/>
        </w:rPr>
        <w:t xml:space="preserve"> the target’s mental and physical health</w:t>
      </w:r>
      <w:r w:rsidR="4DF851AC" w:rsidRPr="00C95105">
        <w:rPr>
          <w:rFonts w:asciiTheme="minorHAnsi" w:hAnsiTheme="minorHAnsi" w:cstheme="minorHAnsi"/>
          <w:sz w:val="22"/>
          <w:szCs w:val="22"/>
        </w:rPr>
        <w:t>,</w:t>
      </w:r>
      <w:r w:rsidRPr="00C95105">
        <w:rPr>
          <w:rFonts w:asciiTheme="minorHAnsi" w:hAnsiTheme="minorHAnsi" w:cstheme="minorHAnsi"/>
          <w:sz w:val="22"/>
          <w:szCs w:val="22"/>
        </w:rPr>
        <w:t xml:space="preserve"> their confidence and ability to do their job</w:t>
      </w:r>
      <w:r w:rsidR="4DF851AC" w:rsidRPr="00C95105">
        <w:rPr>
          <w:rFonts w:asciiTheme="minorHAnsi" w:hAnsiTheme="minorHAnsi" w:cstheme="minorHAnsi"/>
          <w:sz w:val="22"/>
          <w:szCs w:val="22"/>
        </w:rPr>
        <w:t>,</w:t>
      </w:r>
      <w:r w:rsidRPr="00C95105">
        <w:rPr>
          <w:rFonts w:asciiTheme="minorHAnsi" w:hAnsiTheme="minorHAnsi" w:cstheme="minorHAnsi"/>
          <w:sz w:val="22"/>
          <w:szCs w:val="22"/>
        </w:rPr>
        <w:t xml:space="preserve"> their future career prospects, including their ability to get a reference</w:t>
      </w:r>
      <w:r w:rsidR="4DF851AC" w:rsidRPr="00C95105">
        <w:rPr>
          <w:rFonts w:asciiTheme="minorHAnsi" w:hAnsiTheme="minorHAnsi" w:cstheme="minorHAnsi"/>
          <w:sz w:val="22"/>
          <w:szCs w:val="22"/>
        </w:rPr>
        <w:t>,</w:t>
      </w:r>
      <w:r w:rsidRPr="00C95105">
        <w:rPr>
          <w:rFonts w:asciiTheme="minorHAnsi" w:hAnsiTheme="minorHAnsi" w:cstheme="minorHAnsi"/>
          <w:sz w:val="22"/>
          <w:szCs w:val="22"/>
        </w:rPr>
        <w:t xml:space="preserve"> and causes significant distress and shame (O’Neil et al., 2018; Sojo et al., 2016). Meta-analytic investigation into the relationship between organisational tolerance for sexual harassment and wellbeing revealed that</w:t>
      </w:r>
      <w:r w:rsidR="4DF851AC" w:rsidRPr="00C95105">
        <w:rPr>
          <w:rFonts w:asciiTheme="minorHAnsi" w:hAnsiTheme="minorHAnsi" w:cstheme="minorHAnsi"/>
          <w:sz w:val="22"/>
          <w:szCs w:val="22"/>
        </w:rPr>
        <w:t>,</w:t>
      </w:r>
      <w:r w:rsidRPr="00C95105">
        <w:rPr>
          <w:rFonts w:asciiTheme="minorHAnsi" w:hAnsiTheme="minorHAnsi" w:cstheme="minorHAnsi"/>
          <w:sz w:val="22"/>
          <w:szCs w:val="22"/>
        </w:rPr>
        <w:t xml:space="preserve"> even after controlling for individual experiences, high organisational tolerance was associated with poorer occupational and personal well-being (Sojo et al., 2016). </w:t>
      </w:r>
      <w:r w:rsidR="4DF851AC" w:rsidRPr="00C95105">
        <w:rPr>
          <w:rFonts w:asciiTheme="minorHAnsi" w:hAnsiTheme="minorHAnsi" w:cstheme="minorHAnsi"/>
          <w:sz w:val="22"/>
          <w:szCs w:val="22"/>
        </w:rPr>
        <w:t>This indicates</w:t>
      </w:r>
      <w:r w:rsidRPr="00C95105">
        <w:rPr>
          <w:rFonts w:asciiTheme="minorHAnsi" w:hAnsiTheme="minorHAnsi" w:cstheme="minorHAnsi"/>
          <w:sz w:val="22"/>
          <w:szCs w:val="22"/>
        </w:rPr>
        <w:t xml:space="preserve"> that</w:t>
      </w:r>
      <w:r w:rsidR="4DF851AC" w:rsidRPr="00C95105">
        <w:rPr>
          <w:rFonts w:asciiTheme="minorHAnsi" w:hAnsiTheme="minorHAnsi" w:cstheme="minorHAnsi"/>
          <w:sz w:val="22"/>
          <w:szCs w:val="22"/>
        </w:rPr>
        <w:t>, in order to prevent poor workplace experiences,</w:t>
      </w:r>
      <w:r w:rsidRPr="00C95105">
        <w:rPr>
          <w:rFonts w:asciiTheme="minorHAnsi" w:hAnsiTheme="minorHAnsi" w:cstheme="minorHAnsi"/>
          <w:sz w:val="22"/>
          <w:szCs w:val="22"/>
        </w:rPr>
        <w:t xml:space="preserve"> organisations must identify and address systemic or structural drivers of sexual harassment. </w:t>
      </w:r>
    </w:p>
    <w:p w14:paraId="51B6BD46" w14:textId="15495032" w:rsidR="00945DA3" w:rsidRPr="00C95105" w:rsidRDefault="00624105" w:rsidP="00945DA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The impact of sexual harassment on public sector organisations is also considerable, reducing organisational-level performance and productivity, the ability to attract and retain the best people, and the capacity to manage significant reputational and legal risks (Australian Human Rights Commission, 2018; Safe Work Australia, 2019; Willness et al., 2007). In addition to</w:t>
      </w:r>
      <w:r w:rsidR="4DF851AC" w:rsidRPr="00C95105">
        <w:rPr>
          <w:rFonts w:asciiTheme="minorHAnsi" w:hAnsiTheme="minorHAnsi" w:cstheme="minorHAnsi"/>
          <w:sz w:val="22"/>
          <w:szCs w:val="22"/>
        </w:rPr>
        <w:t xml:space="preserve"> these</w:t>
      </w:r>
      <w:r w:rsidRPr="00C95105">
        <w:rPr>
          <w:rFonts w:asciiTheme="minorHAnsi" w:hAnsiTheme="minorHAnsi" w:cstheme="minorHAnsi"/>
          <w:sz w:val="22"/>
          <w:szCs w:val="22"/>
        </w:rPr>
        <w:t xml:space="preserve"> negative performance outcomes, public sector organisations </w:t>
      </w:r>
      <w:r w:rsidR="7C8F15D3" w:rsidRPr="00C95105">
        <w:rPr>
          <w:rFonts w:asciiTheme="minorHAnsi" w:hAnsiTheme="minorHAnsi" w:cstheme="minorHAnsi"/>
          <w:sz w:val="22"/>
          <w:szCs w:val="22"/>
        </w:rPr>
        <w:t>fall short</w:t>
      </w:r>
      <w:r w:rsidRPr="00C95105">
        <w:rPr>
          <w:rFonts w:asciiTheme="minorHAnsi" w:hAnsiTheme="minorHAnsi" w:cstheme="minorHAnsi"/>
          <w:sz w:val="22"/>
          <w:szCs w:val="22"/>
        </w:rPr>
        <w:t xml:space="preserve"> as model institutions. Further, by </w:t>
      </w:r>
      <w:r w:rsidR="009D17BF" w:rsidRPr="00C95105">
        <w:rPr>
          <w:rFonts w:asciiTheme="minorHAnsi" w:hAnsiTheme="minorHAnsi" w:cstheme="minorHAnsi"/>
          <w:sz w:val="22"/>
          <w:szCs w:val="22"/>
        </w:rPr>
        <w:lastRenderedPageBreak/>
        <w:t xml:space="preserve">making an effort to implement </w:t>
      </w:r>
      <w:r w:rsidRPr="00C95105">
        <w:rPr>
          <w:rFonts w:asciiTheme="minorHAnsi" w:hAnsiTheme="minorHAnsi" w:cstheme="minorHAnsi"/>
          <w:sz w:val="22"/>
          <w:szCs w:val="22"/>
        </w:rPr>
        <w:t xml:space="preserve">respectful and inclusive workplace practices, the VPS </w:t>
      </w:r>
      <w:r w:rsidR="009D17BF" w:rsidRPr="00C95105">
        <w:rPr>
          <w:rFonts w:asciiTheme="minorHAnsi" w:hAnsiTheme="minorHAnsi" w:cstheme="minorHAnsi"/>
          <w:sz w:val="22"/>
          <w:szCs w:val="22"/>
        </w:rPr>
        <w:t>can be i</w:t>
      </w:r>
      <w:r w:rsidRPr="00C95105">
        <w:rPr>
          <w:rFonts w:asciiTheme="minorHAnsi" w:hAnsiTheme="minorHAnsi" w:cstheme="minorHAnsi"/>
          <w:sz w:val="22"/>
          <w:szCs w:val="22"/>
        </w:rPr>
        <w:t xml:space="preserve">n a better position to </w:t>
      </w:r>
      <w:r w:rsidR="002B5AAF" w:rsidRPr="00C95105">
        <w:rPr>
          <w:rFonts w:asciiTheme="minorHAnsi" w:hAnsiTheme="minorHAnsi" w:cstheme="minorHAnsi"/>
          <w:sz w:val="22"/>
          <w:szCs w:val="22"/>
        </w:rPr>
        <w:t xml:space="preserve">be </w:t>
      </w:r>
      <w:r w:rsidR="00D36C9D" w:rsidRPr="00C95105">
        <w:rPr>
          <w:rFonts w:asciiTheme="minorHAnsi" w:hAnsiTheme="minorHAnsi" w:cstheme="minorHAnsi"/>
          <w:sz w:val="22"/>
          <w:szCs w:val="22"/>
        </w:rPr>
        <w:t>set the standard</w:t>
      </w:r>
      <w:r w:rsidR="002B5AAF" w:rsidRPr="00C95105">
        <w:rPr>
          <w:rFonts w:asciiTheme="minorHAnsi" w:hAnsiTheme="minorHAnsi" w:cstheme="minorHAnsi"/>
          <w:sz w:val="22"/>
          <w:szCs w:val="22"/>
        </w:rPr>
        <w:t xml:space="preserve"> </w:t>
      </w:r>
      <w:r w:rsidR="00ED286F" w:rsidRPr="00C95105">
        <w:rPr>
          <w:rFonts w:asciiTheme="minorHAnsi" w:hAnsiTheme="minorHAnsi" w:cstheme="minorHAnsi"/>
          <w:sz w:val="22"/>
          <w:szCs w:val="22"/>
        </w:rPr>
        <w:t>for other organisations</w:t>
      </w:r>
      <w:r w:rsidRPr="00C95105">
        <w:rPr>
          <w:rFonts w:asciiTheme="minorHAnsi" w:hAnsiTheme="minorHAnsi" w:cstheme="minorHAnsi"/>
          <w:sz w:val="22"/>
          <w:szCs w:val="22"/>
        </w:rPr>
        <w:t xml:space="preserve">. </w:t>
      </w:r>
    </w:p>
    <w:p w14:paraId="3991410B" w14:textId="58C54719" w:rsidR="00624105" w:rsidRPr="00C95105" w:rsidRDefault="00624105" w:rsidP="00945DA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To date, academic research has primarily focused on the individual, interpersonal and legislative factors that drive sexual harassment in the public sector. Comparatively less academic research has focused on an organisational level of analysis to identify the structural factors, social factors, and organisational stressors that drive sexual harassment </w:t>
      </w:r>
      <w:r w:rsidR="007D4E62" w:rsidRPr="00C95105">
        <w:rPr>
          <w:rFonts w:asciiTheme="minorHAnsi" w:hAnsiTheme="minorHAnsi" w:cstheme="minorHAnsi"/>
          <w:sz w:val="22"/>
          <w:szCs w:val="22"/>
        </w:rPr>
        <w:t xml:space="preserve">and other forms of abuse within organisations </w:t>
      </w:r>
      <w:r w:rsidRPr="00C95105">
        <w:rPr>
          <w:rFonts w:asciiTheme="minorHAnsi" w:hAnsiTheme="minorHAnsi" w:cstheme="minorHAnsi"/>
          <w:sz w:val="22"/>
          <w:szCs w:val="22"/>
        </w:rPr>
        <w:t>(</w:t>
      </w:r>
      <w:r w:rsidR="00901904" w:rsidRPr="00C95105">
        <w:rPr>
          <w:rFonts w:asciiTheme="minorHAnsi" w:hAnsiTheme="minorHAnsi" w:cstheme="minorHAnsi"/>
          <w:sz w:val="22"/>
          <w:szCs w:val="22"/>
        </w:rPr>
        <w:t xml:space="preserve">Roberts &amp; Sojo, 2019; </w:t>
      </w:r>
      <w:r w:rsidR="00BF46FB" w:rsidRPr="00C95105">
        <w:rPr>
          <w:rFonts w:asciiTheme="minorHAnsi" w:hAnsiTheme="minorHAnsi" w:cstheme="minorHAnsi"/>
          <w:sz w:val="22"/>
          <w:szCs w:val="22"/>
        </w:rPr>
        <w:t>Roberts, Sojo</w:t>
      </w:r>
      <w:r w:rsidR="007D4E62" w:rsidRPr="00C95105">
        <w:rPr>
          <w:rFonts w:asciiTheme="minorHAnsi" w:hAnsiTheme="minorHAnsi" w:cstheme="minorHAnsi"/>
          <w:sz w:val="22"/>
          <w:szCs w:val="22"/>
        </w:rPr>
        <w:t xml:space="preserve"> &amp;</w:t>
      </w:r>
      <w:r w:rsidR="00BF46FB" w:rsidRPr="00C95105">
        <w:rPr>
          <w:rFonts w:asciiTheme="minorHAnsi" w:hAnsiTheme="minorHAnsi" w:cstheme="minorHAnsi"/>
          <w:sz w:val="22"/>
          <w:szCs w:val="22"/>
        </w:rPr>
        <w:t xml:space="preserve"> Grant</w:t>
      </w:r>
      <w:r w:rsidR="007D4E62" w:rsidRPr="00C95105">
        <w:rPr>
          <w:rFonts w:asciiTheme="minorHAnsi" w:hAnsiTheme="minorHAnsi" w:cstheme="minorHAnsi"/>
          <w:sz w:val="22"/>
          <w:szCs w:val="22"/>
        </w:rPr>
        <w:t>,</w:t>
      </w:r>
      <w:r w:rsidR="00BF46FB" w:rsidRPr="00C95105">
        <w:rPr>
          <w:rFonts w:asciiTheme="minorHAnsi" w:hAnsiTheme="minorHAnsi" w:cstheme="minorHAnsi"/>
          <w:sz w:val="22"/>
          <w:szCs w:val="22"/>
        </w:rPr>
        <w:t xml:space="preserve"> 2020; </w:t>
      </w:r>
      <w:r w:rsidRPr="00C95105">
        <w:rPr>
          <w:rFonts w:asciiTheme="minorHAnsi" w:hAnsiTheme="minorHAnsi" w:cstheme="minorHAnsi"/>
          <w:sz w:val="22"/>
          <w:szCs w:val="22"/>
        </w:rPr>
        <w:t xml:space="preserve">Sojo &amp; Roberts, 2019). A lack of understanding of the </w:t>
      </w:r>
      <w:r w:rsidR="789A2D9E" w:rsidRPr="00C95105">
        <w:rPr>
          <w:rFonts w:asciiTheme="minorHAnsi" w:hAnsiTheme="minorHAnsi" w:cstheme="minorHAnsi"/>
          <w:sz w:val="22"/>
          <w:szCs w:val="22"/>
        </w:rPr>
        <w:t>underlying causes</w:t>
      </w:r>
      <w:r w:rsidRPr="00C95105">
        <w:rPr>
          <w:rFonts w:asciiTheme="minorHAnsi" w:hAnsiTheme="minorHAnsi" w:cstheme="minorHAnsi"/>
          <w:sz w:val="22"/>
          <w:szCs w:val="22"/>
        </w:rPr>
        <w:t xml:space="preserve"> of sexual harassment specific to public sector organisations undermines our capacity to develop whole-of-system evidence-based policies and management practices that aim to prevent and reduce the impact sexual harassment. In this review, we aim to address this knowledge gap by answering the following research questions:</w:t>
      </w:r>
    </w:p>
    <w:p w14:paraId="14792155" w14:textId="77777777" w:rsidR="00624105" w:rsidRPr="00C95105" w:rsidRDefault="00624105" w:rsidP="0093280F">
      <w:pPr>
        <w:pStyle w:val="ListParagraph"/>
        <w:numPr>
          <w:ilvl w:val="0"/>
          <w:numId w:val="23"/>
        </w:numPr>
        <w:spacing w:after="120"/>
        <w:ind w:left="426" w:hanging="66"/>
        <w:contextualSpacing w:val="0"/>
        <w:rPr>
          <w:rFonts w:asciiTheme="minorHAnsi" w:hAnsiTheme="minorHAnsi" w:cstheme="minorHAnsi"/>
          <w:sz w:val="22"/>
          <w:szCs w:val="22"/>
        </w:rPr>
      </w:pPr>
      <w:bookmarkStart w:id="193" w:name="_Toc96866422"/>
      <w:bookmarkStart w:id="194" w:name="_Toc96866624"/>
      <w:bookmarkStart w:id="195" w:name="_Toc96878291"/>
      <w:r w:rsidRPr="00C95105">
        <w:rPr>
          <w:rFonts w:asciiTheme="minorHAnsi" w:hAnsiTheme="minorHAnsi" w:cstheme="minorHAnsi"/>
          <w:sz w:val="22"/>
          <w:szCs w:val="22"/>
        </w:rPr>
        <w:t>What are the organisational factors associated with sexual harassment in the public sector?</w:t>
      </w:r>
      <w:bookmarkEnd w:id="193"/>
      <w:bookmarkEnd w:id="194"/>
      <w:bookmarkEnd w:id="195"/>
    </w:p>
    <w:p w14:paraId="060087A9" w14:textId="77777777" w:rsidR="00624105" w:rsidRPr="00C95105" w:rsidRDefault="00624105" w:rsidP="0093280F">
      <w:pPr>
        <w:pStyle w:val="ListParagraph"/>
        <w:numPr>
          <w:ilvl w:val="0"/>
          <w:numId w:val="23"/>
        </w:numPr>
        <w:spacing w:after="120"/>
        <w:ind w:left="426" w:hanging="66"/>
        <w:contextualSpacing w:val="0"/>
        <w:rPr>
          <w:rFonts w:asciiTheme="minorHAnsi" w:hAnsiTheme="minorHAnsi" w:cstheme="minorHAnsi"/>
          <w:sz w:val="22"/>
          <w:szCs w:val="22"/>
        </w:rPr>
      </w:pPr>
      <w:bookmarkStart w:id="196" w:name="_Toc96866423"/>
      <w:bookmarkStart w:id="197" w:name="_Toc96866625"/>
      <w:bookmarkStart w:id="198" w:name="_Toc96878292"/>
      <w:r w:rsidRPr="00C95105">
        <w:rPr>
          <w:rFonts w:asciiTheme="minorHAnsi" w:hAnsiTheme="minorHAnsi" w:cstheme="minorHAnsi"/>
          <w:sz w:val="22"/>
          <w:szCs w:val="22"/>
        </w:rPr>
        <w:t>What interventions and organisational changes can be implemented to reduce the incidence of sexual harassment in the public sector?</w:t>
      </w:r>
      <w:bookmarkEnd w:id="196"/>
      <w:bookmarkEnd w:id="197"/>
      <w:bookmarkEnd w:id="198"/>
    </w:p>
    <w:p w14:paraId="5D610056" w14:textId="77777777" w:rsidR="00624105" w:rsidRPr="00C95105" w:rsidRDefault="00624105" w:rsidP="00945DA3">
      <w:pPr>
        <w:spacing w:after="120"/>
        <w:rPr>
          <w:rFonts w:asciiTheme="minorHAnsi" w:hAnsiTheme="minorHAnsi" w:cstheme="minorHAnsi"/>
          <w:b/>
          <w:sz w:val="22"/>
          <w:szCs w:val="22"/>
        </w:rPr>
      </w:pPr>
    </w:p>
    <w:p w14:paraId="6D56C7F2" w14:textId="77777777" w:rsidR="00624105" w:rsidRPr="00C95105" w:rsidRDefault="00624105" w:rsidP="0093280F">
      <w:pPr>
        <w:pStyle w:val="Heading2"/>
        <w:numPr>
          <w:ilvl w:val="1"/>
          <w:numId w:val="20"/>
        </w:numPr>
        <w:spacing w:before="0" w:after="120"/>
        <w:ind w:left="426" w:hanging="426"/>
        <w:rPr>
          <w:rFonts w:asciiTheme="minorHAnsi" w:hAnsiTheme="minorHAnsi" w:cstheme="minorHAnsi"/>
          <w:b/>
          <w:bCs/>
        </w:rPr>
      </w:pPr>
      <w:bookmarkStart w:id="199" w:name="_Toc96957704"/>
      <w:r w:rsidRPr="00C95105">
        <w:rPr>
          <w:rFonts w:asciiTheme="minorHAnsi" w:hAnsiTheme="minorHAnsi" w:cstheme="minorHAnsi"/>
          <w:b/>
          <w:bCs/>
        </w:rPr>
        <w:t>Methods</w:t>
      </w:r>
      <w:bookmarkEnd w:id="199"/>
    </w:p>
    <w:p w14:paraId="35416D8D" w14:textId="77777777" w:rsidR="00624105" w:rsidRPr="00C95105" w:rsidRDefault="00624105" w:rsidP="00945DA3">
      <w:pPr>
        <w:spacing w:after="120"/>
        <w:ind w:right="-52" w:firstLine="567"/>
        <w:rPr>
          <w:rFonts w:asciiTheme="minorHAnsi" w:hAnsiTheme="minorHAnsi" w:cstheme="minorHAnsi"/>
          <w:sz w:val="22"/>
          <w:szCs w:val="22"/>
        </w:rPr>
      </w:pPr>
      <w:r w:rsidRPr="00C95105">
        <w:rPr>
          <w:rFonts w:asciiTheme="minorHAnsi" w:hAnsiTheme="minorHAnsi" w:cstheme="minorHAnsi"/>
          <w:sz w:val="22"/>
          <w:szCs w:val="22"/>
        </w:rPr>
        <w:t xml:space="preserve">This project constitutes a rapid review, which follows the same principles of comprehensiveness and transparency as a systematic review (Cooper, Hedges &amp; Valentine, 2009), including a systematic literature search and selection (Moher, Liberati, Tetzlaff, Altman &amp; The Prisma Group, 2009), with some aspects of the coding and analysis process streamlined to facilitate reporting in a truncated timeframe (Abrami et al., 2010; Thomas et al., 2013). </w:t>
      </w:r>
    </w:p>
    <w:p w14:paraId="2A147D96" w14:textId="77777777" w:rsidR="00624105" w:rsidRPr="00C95105" w:rsidRDefault="00624105" w:rsidP="00624105">
      <w:pPr>
        <w:spacing w:after="120"/>
        <w:rPr>
          <w:rFonts w:asciiTheme="minorHAnsi" w:hAnsiTheme="minorHAnsi" w:cstheme="minorHAnsi"/>
          <w:sz w:val="22"/>
          <w:szCs w:val="22"/>
        </w:rPr>
      </w:pPr>
    </w:p>
    <w:p w14:paraId="6F22A248" w14:textId="3BF01CA8"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200" w:name="_Toc96957705"/>
      <w:r w:rsidRPr="00C95105">
        <w:rPr>
          <w:rFonts w:asciiTheme="minorHAnsi" w:hAnsiTheme="minorHAnsi" w:cstheme="minorHAnsi"/>
          <w:b/>
          <w:bCs/>
          <w:i/>
          <w:iCs/>
          <w:color w:val="2F5496" w:themeColor="accent1" w:themeShade="BF"/>
          <w:sz w:val="22"/>
          <w:szCs w:val="22"/>
        </w:rPr>
        <w:t>Eligibility</w:t>
      </w:r>
      <w:bookmarkEnd w:id="200"/>
    </w:p>
    <w:p w14:paraId="1EB8863D" w14:textId="77777777" w:rsidR="00624105" w:rsidRPr="00C95105" w:rsidRDefault="00624105" w:rsidP="00937A4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Primary studies were eligible for inclusion in the review if they met the criteria outlined below:</w:t>
      </w:r>
    </w:p>
    <w:p w14:paraId="2802A329" w14:textId="77777777" w:rsidR="00624105" w:rsidRPr="00C95105" w:rsidRDefault="00624105" w:rsidP="0093280F">
      <w:pPr>
        <w:pStyle w:val="ListParagraph"/>
        <w:numPr>
          <w:ilvl w:val="0"/>
          <w:numId w:val="24"/>
        </w:numPr>
        <w:spacing w:after="120"/>
        <w:ind w:left="709" w:hanging="142"/>
        <w:rPr>
          <w:rFonts w:asciiTheme="minorHAnsi" w:hAnsiTheme="minorHAnsi" w:cstheme="minorHAnsi"/>
          <w:sz w:val="22"/>
          <w:szCs w:val="22"/>
        </w:rPr>
      </w:pPr>
      <w:bookmarkStart w:id="201" w:name="_Toc96866424"/>
      <w:bookmarkStart w:id="202" w:name="_Toc96866626"/>
      <w:bookmarkStart w:id="203" w:name="_Toc96878293"/>
      <w:r w:rsidRPr="00C95105">
        <w:rPr>
          <w:rFonts w:asciiTheme="minorHAnsi" w:hAnsiTheme="minorHAnsi" w:cstheme="minorHAnsi"/>
          <w:b/>
          <w:bCs/>
          <w:i/>
          <w:iCs/>
          <w:sz w:val="22"/>
          <w:szCs w:val="22"/>
        </w:rPr>
        <w:t>Outcome of interest:</w:t>
      </w:r>
      <w:r w:rsidRPr="00C95105">
        <w:rPr>
          <w:rFonts w:asciiTheme="minorHAnsi" w:hAnsiTheme="minorHAnsi" w:cstheme="minorHAnsi"/>
          <w:sz w:val="22"/>
          <w:szCs w:val="22"/>
        </w:rPr>
        <w:t xml:space="preserve"> Sexual harassment, including unwanted sexual attention, gender harassment (sexual and sexist hostility), sexual coercion and gender policing.</w:t>
      </w:r>
      <w:bookmarkEnd w:id="201"/>
      <w:bookmarkEnd w:id="202"/>
      <w:bookmarkEnd w:id="203"/>
    </w:p>
    <w:p w14:paraId="083A1CF0" w14:textId="77777777" w:rsidR="00624105" w:rsidRPr="00C95105" w:rsidRDefault="00624105" w:rsidP="0093280F">
      <w:pPr>
        <w:pStyle w:val="ListParagraph"/>
        <w:numPr>
          <w:ilvl w:val="0"/>
          <w:numId w:val="24"/>
        </w:numPr>
        <w:spacing w:after="120"/>
        <w:ind w:left="709" w:hanging="142"/>
        <w:rPr>
          <w:rFonts w:asciiTheme="minorHAnsi" w:hAnsiTheme="minorHAnsi" w:cstheme="minorHAnsi"/>
          <w:sz w:val="22"/>
          <w:szCs w:val="22"/>
        </w:rPr>
      </w:pPr>
      <w:bookmarkStart w:id="204" w:name="_Toc96866425"/>
      <w:bookmarkStart w:id="205" w:name="_Toc96866627"/>
      <w:bookmarkStart w:id="206" w:name="_Toc96878294"/>
      <w:r w:rsidRPr="00C95105">
        <w:rPr>
          <w:rFonts w:asciiTheme="minorHAnsi" w:hAnsiTheme="minorHAnsi" w:cstheme="minorHAnsi"/>
          <w:b/>
          <w:bCs/>
          <w:i/>
          <w:iCs/>
          <w:sz w:val="22"/>
          <w:szCs w:val="22"/>
        </w:rPr>
        <w:t>Context:</w:t>
      </w:r>
      <w:r w:rsidRPr="00C95105">
        <w:rPr>
          <w:rFonts w:asciiTheme="minorHAnsi" w:hAnsiTheme="minorHAnsi" w:cstheme="minorHAnsi"/>
          <w:sz w:val="22"/>
          <w:szCs w:val="22"/>
        </w:rPr>
        <w:t xml:space="preserve"> Public sector.</w:t>
      </w:r>
      <w:bookmarkEnd w:id="204"/>
      <w:bookmarkEnd w:id="205"/>
      <w:bookmarkEnd w:id="206"/>
    </w:p>
    <w:p w14:paraId="3874C9C7" w14:textId="77777777" w:rsidR="00624105" w:rsidRPr="00C95105" w:rsidRDefault="00624105" w:rsidP="0093280F">
      <w:pPr>
        <w:pStyle w:val="ListParagraph"/>
        <w:numPr>
          <w:ilvl w:val="0"/>
          <w:numId w:val="24"/>
        </w:numPr>
        <w:spacing w:after="120"/>
        <w:ind w:left="709" w:hanging="142"/>
        <w:rPr>
          <w:rFonts w:asciiTheme="minorHAnsi" w:hAnsiTheme="minorHAnsi" w:cstheme="minorHAnsi"/>
          <w:sz w:val="22"/>
          <w:szCs w:val="22"/>
        </w:rPr>
      </w:pPr>
      <w:bookmarkStart w:id="207" w:name="_Toc96866426"/>
      <w:bookmarkStart w:id="208" w:name="_Toc96866628"/>
      <w:bookmarkStart w:id="209" w:name="_Toc96878295"/>
      <w:r w:rsidRPr="00C95105">
        <w:rPr>
          <w:rFonts w:asciiTheme="minorHAnsi" w:hAnsiTheme="minorHAnsi" w:cstheme="minorHAnsi"/>
          <w:b/>
          <w:bCs/>
          <w:i/>
          <w:iCs/>
          <w:sz w:val="22"/>
          <w:szCs w:val="22"/>
        </w:rPr>
        <w:t>Factors:</w:t>
      </w:r>
      <w:r w:rsidRPr="00C95105">
        <w:rPr>
          <w:rFonts w:asciiTheme="minorHAnsi" w:hAnsiTheme="minorHAnsi" w:cstheme="minorHAnsi"/>
          <w:sz w:val="22"/>
          <w:szCs w:val="22"/>
        </w:rPr>
        <w:t xml:space="preserve"> Antecedents and correlates of sexual harassment.</w:t>
      </w:r>
      <w:bookmarkEnd w:id="207"/>
      <w:bookmarkEnd w:id="208"/>
      <w:bookmarkEnd w:id="209"/>
    </w:p>
    <w:p w14:paraId="736D9FAC" w14:textId="77777777" w:rsidR="00624105" w:rsidRPr="00C95105" w:rsidRDefault="00624105" w:rsidP="0093280F">
      <w:pPr>
        <w:pStyle w:val="ListParagraph"/>
        <w:numPr>
          <w:ilvl w:val="0"/>
          <w:numId w:val="24"/>
        </w:numPr>
        <w:spacing w:after="120"/>
        <w:ind w:left="709" w:hanging="142"/>
        <w:rPr>
          <w:rFonts w:asciiTheme="minorHAnsi" w:hAnsiTheme="minorHAnsi" w:cstheme="minorHAnsi"/>
          <w:sz w:val="22"/>
          <w:szCs w:val="22"/>
        </w:rPr>
      </w:pPr>
      <w:bookmarkStart w:id="210" w:name="_Toc96866427"/>
      <w:bookmarkStart w:id="211" w:name="_Toc96866629"/>
      <w:bookmarkStart w:id="212" w:name="_Toc96878296"/>
      <w:r w:rsidRPr="00C95105">
        <w:rPr>
          <w:rFonts w:asciiTheme="minorHAnsi" w:hAnsiTheme="minorHAnsi" w:cstheme="minorHAnsi"/>
          <w:b/>
          <w:bCs/>
          <w:i/>
          <w:iCs/>
          <w:sz w:val="22"/>
          <w:szCs w:val="22"/>
        </w:rPr>
        <w:t>Nature of study:</w:t>
      </w:r>
      <w:r w:rsidRPr="00C95105">
        <w:rPr>
          <w:rFonts w:asciiTheme="minorHAnsi" w:hAnsiTheme="minorHAnsi" w:cstheme="minorHAnsi"/>
          <w:sz w:val="22"/>
          <w:szCs w:val="22"/>
        </w:rPr>
        <w:t xml:space="preserve"> Must report original collection and analysis of data.</w:t>
      </w:r>
      <w:bookmarkEnd w:id="210"/>
      <w:bookmarkEnd w:id="211"/>
      <w:bookmarkEnd w:id="212"/>
    </w:p>
    <w:p w14:paraId="4F937528" w14:textId="77777777" w:rsidR="00624105" w:rsidRPr="00C95105" w:rsidRDefault="00624105" w:rsidP="0093280F">
      <w:pPr>
        <w:pStyle w:val="ListParagraph"/>
        <w:numPr>
          <w:ilvl w:val="0"/>
          <w:numId w:val="24"/>
        </w:numPr>
        <w:spacing w:after="120"/>
        <w:ind w:left="709" w:hanging="142"/>
        <w:rPr>
          <w:rFonts w:asciiTheme="minorHAnsi" w:hAnsiTheme="minorHAnsi" w:cstheme="minorHAnsi"/>
          <w:sz w:val="22"/>
          <w:szCs w:val="22"/>
        </w:rPr>
      </w:pPr>
      <w:bookmarkStart w:id="213" w:name="_Toc96866428"/>
      <w:bookmarkStart w:id="214" w:name="_Toc96866630"/>
      <w:bookmarkStart w:id="215" w:name="_Toc96878297"/>
      <w:r w:rsidRPr="00C95105">
        <w:rPr>
          <w:rFonts w:asciiTheme="minorHAnsi" w:hAnsiTheme="minorHAnsi" w:cstheme="minorHAnsi"/>
          <w:b/>
          <w:bCs/>
          <w:i/>
          <w:iCs/>
          <w:sz w:val="22"/>
          <w:szCs w:val="22"/>
        </w:rPr>
        <w:t>Language:</w:t>
      </w:r>
      <w:r w:rsidRPr="00C95105">
        <w:rPr>
          <w:rFonts w:asciiTheme="minorHAnsi" w:hAnsiTheme="minorHAnsi" w:cstheme="minorHAnsi"/>
          <w:sz w:val="22"/>
          <w:szCs w:val="22"/>
        </w:rPr>
        <w:t xml:space="preserve"> Only English language papers were retained for screening, given the feasibility of translating references in the current time frame.</w:t>
      </w:r>
      <w:bookmarkEnd w:id="213"/>
      <w:bookmarkEnd w:id="214"/>
      <w:bookmarkEnd w:id="215"/>
    </w:p>
    <w:p w14:paraId="67025A1E" w14:textId="77777777" w:rsidR="00624105" w:rsidRPr="00C95105" w:rsidRDefault="00624105" w:rsidP="0093280F">
      <w:pPr>
        <w:pStyle w:val="ListParagraph"/>
        <w:numPr>
          <w:ilvl w:val="0"/>
          <w:numId w:val="24"/>
        </w:numPr>
        <w:spacing w:after="120"/>
        <w:ind w:left="709" w:hanging="142"/>
        <w:rPr>
          <w:rFonts w:asciiTheme="minorHAnsi" w:hAnsiTheme="minorHAnsi" w:cstheme="minorHAnsi"/>
          <w:sz w:val="22"/>
          <w:szCs w:val="22"/>
        </w:rPr>
      </w:pPr>
      <w:bookmarkStart w:id="216" w:name="_Toc96866429"/>
      <w:bookmarkStart w:id="217" w:name="_Toc96866631"/>
      <w:bookmarkStart w:id="218" w:name="_Toc96878298"/>
      <w:r w:rsidRPr="00C95105">
        <w:rPr>
          <w:rFonts w:asciiTheme="minorHAnsi" w:hAnsiTheme="minorHAnsi" w:cstheme="minorHAnsi"/>
          <w:b/>
          <w:bCs/>
          <w:i/>
          <w:iCs/>
          <w:sz w:val="22"/>
          <w:szCs w:val="22"/>
        </w:rPr>
        <w:t>Publication years:</w:t>
      </w:r>
      <w:r w:rsidRPr="00C95105">
        <w:rPr>
          <w:rFonts w:asciiTheme="minorHAnsi" w:hAnsiTheme="minorHAnsi" w:cstheme="minorHAnsi"/>
          <w:sz w:val="22"/>
          <w:szCs w:val="22"/>
        </w:rPr>
        <w:t xml:space="preserve"> 1992 – 2022, to guarantee contemporary research was used.</w:t>
      </w:r>
      <w:bookmarkEnd w:id="216"/>
      <w:bookmarkEnd w:id="217"/>
      <w:bookmarkEnd w:id="218"/>
      <w:r w:rsidRPr="00C95105">
        <w:rPr>
          <w:rFonts w:asciiTheme="minorHAnsi" w:hAnsiTheme="minorHAnsi" w:cstheme="minorHAnsi"/>
          <w:sz w:val="22"/>
          <w:szCs w:val="22"/>
        </w:rPr>
        <w:t xml:space="preserve"> </w:t>
      </w:r>
    </w:p>
    <w:p w14:paraId="604821E3" w14:textId="77777777" w:rsidR="00624105" w:rsidRPr="00C95105" w:rsidRDefault="00624105" w:rsidP="0093280F">
      <w:pPr>
        <w:pStyle w:val="ListParagraph"/>
        <w:numPr>
          <w:ilvl w:val="0"/>
          <w:numId w:val="24"/>
        </w:numPr>
        <w:spacing w:after="120"/>
        <w:ind w:left="709" w:hanging="142"/>
        <w:rPr>
          <w:rFonts w:asciiTheme="minorHAnsi" w:hAnsiTheme="minorHAnsi" w:cstheme="minorHAnsi"/>
          <w:sz w:val="22"/>
          <w:szCs w:val="22"/>
        </w:rPr>
      </w:pPr>
      <w:bookmarkStart w:id="219" w:name="_Toc96866430"/>
      <w:bookmarkStart w:id="220" w:name="_Toc96866632"/>
      <w:bookmarkStart w:id="221" w:name="_Toc96878299"/>
      <w:r w:rsidRPr="00C95105">
        <w:rPr>
          <w:rFonts w:asciiTheme="minorHAnsi" w:hAnsiTheme="minorHAnsi" w:cstheme="minorHAnsi"/>
          <w:b/>
          <w:bCs/>
          <w:i/>
          <w:iCs/>
          <w:sz w:val="22"/>
          <w:szCs w:val="22"/>
        </w:rPr>
        <w:t>Exclusion:</w:t>
      </w:r>
      <w:r w:rsidRPr="00C95105">
        <w:rPr>
          <w:rFonts w:asciiTheme="minorHAnsi" w:hAnsiTheme="minorHAnsi" w:cstheme="minorHAnsi"/>
          <w:sz w:val="22"/>
          <w:szCs w:val="22"/>
        </w:rPr>
        <w:t xml:space="preserve"> Military, educational or hospital context.</w:t>
      </w:r>
      <w:bookmarkEnd w:id="219"/>
      <w:bookmarkEnd w:id="220"/>
      <w:bookmarkEnd w:id="221"/>
    </w:p>
    <w:p w14:paraId="4A48FE5F" w14:textId="77777777" w:rsidR="00624105" w:rsidRPr="00C95105" w:rsidRDefault="00624105" w:rsidP="00624105">
      <w:pPr>
        <w:spacing w:after="120"/>
        <w:rPr>
          <w:rFonts w:asciiTheme="minorHAnsi" w:hAnsiTheme="minorHAnsi" w:cstheme="minorHAnsi"/>
          <w:sz w:val="22"/>
          <w:szCs w:val="22"/>
        </w:rPr>
      </w:pPr>
    </w:p>
    <w:p w14:paraId="6D53547B" w14:textId="77777777"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222" w:name="_Toc96957706"/>
      <w:r w:rsidRPr="00C95105">
        <w:rPr>
          <w:rFonts w:asciiTheme="minorHAnsi" w:hAnsiTheme="minorHAnsi" w:cstheme="minorHAnsi"/>
          <w:b/>
          <w:bCs/>
          <w:i/>
          <w:iCs/>
          <w:color w:val="2F5496" w:themeColor="accent1" w:themeShade="BF"/>
          <w:sz w:val="22"/>
          <w:szCs w:val="22"/>
        </w:rPr>
        <w:t>Literature search</w:t>
      </w:r>
      <w:bookmarkEnd w:id="222"/>
    </w:p>
    <w:p w14:paraId="44BF74DB" w14:textId="2F49F44A" w:rsidR="00937A43" w:rsidRPr="00C95105" w:rsidRDefault="00624105" w:rsidP="00937A43">
      <w:pPr>
        <w:spacing w:after="120"/>
        <w:ind w:right="-52" w:firstLine="567"/>
        <w:rPr>
          <w:rFonts w:asciiTheme="minorHAnsi" w:hAnsiTheme="minorHAnsi" w:cstheme="minorHAnsi"/>
          <w:sz w:val="22"/>
          <w:szCs w:val="22"/>
        </w:rPr>
      </w:pPr>
      <w:r w:rsidRPr="00C95105">
        <w:rPr>
          <w:rFonts w:asciiTheme="minorHAnsi" w:hAnsiTheme="minorHAnsi" w:cstheme="minorHAnsi"/>
          <w:sz w:val="22"/>
          <w:szCs w:val="22"/>
        </w:rPr>
        <w:t>A search string designed to capture references meeting these criteria was entered into 25 academic databases. The following Boolean search string was used</w:t>
      </w:r>
      <w:r w:rsidR="5DE33E5C" w:rsidRPr="00C95105">
        <w:rPr>
          <w:rFonts w:asciiTheme="minorHAnsi" w:hAnsiTheme="minorHAnsi" w:cstheme="minorHAnsi"/>
          <w:sz w:val="22"/>
          <w:szCs w:val="22"/>
        </w:rPr>
        <w:t>:</w:t>
      </w:r>
      <w:r w:rsidRPr="00C95105">
        <w:rPr>
          <w:rFonts w:asciiTheme="minorHAnsi" w:hAnsiTheme="minorHAnsi" w:cstheme="minorHAnsi"/>
          <w:sz w:val="22"/>
          <w:szCs w:val="22"/>
        </w:rPr>
        <w:t xml:space="preserve"> "sexual harassment" OR "gender harassment" OR "sexual hostility" OR "sexist hostility" OR "unwanted sexual attention" OR "sexual assault" OR "sexual coercion" OR "quid pro quo") AND (“public sector*” OR “public serv*” OR “civil serv*” OR “public manage*” OR “public administ*” OR “public personnel” OR govern*”. </w:t>
      </w:r>
    </w:p>
    <w:p w14:paraId="16AC69C6" w14:textId="77777777" w:rsidR="00937A43" w:rsidRPr="00C95105" w:rsidRDefault="00624105" w:rsidP="00937A43">
      <w:pPr>
        <w:spacing w:after="120"/>
        <w:ind w:right="-52" w:firstLine="567"/>
        <w:rPr>
          <w:rFonts w:asciiTheme="minorHAnsi" w:hAnsiTheme="minorHAnsi" w:cstheme="minorHAnsi"/>
          <w:sz w:val="22"/>
          <w:szCs w:val="22"/>
        </w:rPr>
      </w:pPr>
      <w:r w:rsidRPr="00C95105">
        <w:rPr>
          <w:rFonts w:asciiTheme="minorHAnsi" w:hAnsiTheme="minorHAnsi" w:cstheme="minorHAnsi"/>
          <w:sz w:val="22"/>
          <w:szCs w:val="22"/>
        </w:rPr>
        <w:t xml:space="preserve">We searched in the fields of title, abstract, all subject terms and indexing in these databases: Business Source Complete;  EconLit; Academic Search Complete; Family &amp; Society Studies Worldwide; OpenDissertations; SocINDEX with Full Text; Urban Studies Abstracts; PsycINFO; ABI/INFORM Collection; Accounting, Tax &amp; Banking Collection; Asian &amp; European Business Collection; </w:t>
      </w:r>
      <w:r w:rsidRPr="00C95105">
        <w:rPr>
          <w:rFonts w:asciiTheme="minorHAnsi" w:hAnsiTheme="minorHAnsi" w:cstheme="minorHAnsi"/>
          <w:sz w:val="22"/>
          <w:szCs w:val="22"/>
        </w:rPr>
        <w:lastRenderedPageBreak/>
        <w:t>Australia &amp; New Zealand Database; Canadian Business &amp; Current Affairs Database; Continental Europe Database; East Europe, Central Europe Database; Military Database; Political Science Database; Psychology Database; Public Health Database; Publicly Available Content Database; Research Library; Social Science Database; Sociology Database; UK &amp; Ireland Database.</w:t>
      </w:r>
    </w:p>
    <w:p w14:paraId="14D853F1" w14:textId="3D0158C1" w:rsidR="00624105" w:rsidRPr="00C95105" w:rsidRDefault="00624105" w:rsidP="00937A43">
      <w:pPr>
        <w:spacing w:after="120"/>
        <w:ind w:right="-52" w:firstLine="567"/>
        <w:rPr>
          <w:rFonts w:asciiTheme="minorHAnsi" w:hAnsiTheme="minorHAnsi" w:cstheme="minorHAnsi"/>
          <w:sz w:val="22"/>
          <w:szCs w:val="22"/>
        </w:rPr>
      </w:pPr>
      <w:r w:rsidRPr="00C95105">
        <w:rPr>
          <w:rFonts w:asciiTheme="minorHAnsi" w:hAnsiTheme="minorHAnsi" w:cstheme="minorHAnsi"/>
          <w:sz w:val="22"/>
          <w:szCs w:val="22"/>
        </w:rPr>
        <w:t>We also conducted a search for non-academic reports and grey literature using Google Advanced Search. These searches returned a total of 1,462 references. Fifty-four references received a full text-</w:t>
      </w:r>
      <w:r w:rsidR="00937A43" w:rsidRPr="00C95105">
        <w:rPr>
          <w:rFonts w:asciiTheme="minorHAnsi" w:hAnsiTheme="minorHAnsi" w:cstheme="minorHAnsi"/>
          <w:sz w:val="22"/>
          <w:szCs w:val="22"/>
        </w:rPr>
        <w:t>review,</w:t>
      </w:r>
      <w:r w:rsidRPr="00C95105">
        <w:rPr>
          <w:rFonts w:asciiTheme="minorHAnsi" w:hAnsiTheme="minorHAnsi" w:cstheme="minorHAnsi"/>
          <w:sz w:val="22"/>
          <w:szCs w:val="22"/>
        </w:rPr>
        <w:t xml:space="preserve"> and 29 empirical articles were included in the final set of references to analyse (see Figure 1). In these articles, 19 referred to sexual harassment in general, seven addressed gender harassment (sexist and sexual hostility) and five addressed sexual coercion and unwanted sexual attention</w:t>
      </w:r>
      <w:r w:rsidR="5DE33E5C" w:rsidRPr="00C95105">
        <w:rPr>
          <w:rFonts w:asciiTheme="minorHAnsi" w:hAnsiTheme="minorHAnsi" w:cstheme="minorHAnsi"/>
          <w:sz w:val="22"/>
          <w:szCs w:val="22"/>
        </w:rPr>
        <w:t>.</w:t>
      </w:r>
      <w:r w:rsidRPr="00C95105">
        <w:rPr>
          <w:rFonts w:asciiTheme="minorHAnsi" w:hAnsiTheme="minorHAnsi" w:cstheme="minorHAnsi"/>
          <w:sz w:val="22"/>
          <w:szCs w:val="22"/>
        </w:rPr>
        <w:t xml:space="preserve"> </w:t>
      </w:r>
      <w:r w:rsidR="5DE33E5C" w:rsidRPr="00C95105">
        <w:rPr>
          <w:rFonts w:asciiTheme="minorHAnsi" w:hAnsiTheme="minorHAnsi" w:cstheme="minorHAnsi"/>
          <w:sz w:val="22"/>
          <w:szCs w:val="22"/>
        </w:rPr>
        <w:t>Some</w:t>
      </w:r>
      <w:r w:rsidRPr="00C95105">
        <w:rPr>
          <w:rFonts w:asciiTheme="minorHAnsi" w:hAnsiTheme="minorHAnsi" w:cstheme="minorHAnsi"/>
          <w:sz w:val="22"/>
          <w:szCs w:val="22"/>
        </w:rPr>
        <w:t xml:space="preserve"> articles mentioned more than one type of sexual harassment (e.g., sexual coercion and sexual hostility). The majority of research reviewed was conducted within wealthy and developed nations, including Australia, United States, Canada, and United Kingdom. However, research from developing nations is also present, including Pakistan, India, Mexico, Nigeria and Pacific Island </w:t>
      </w:r>
      <w:r w:rsidR="5DE33E5C" w:rsidRPr="00C95105">
        <w:rPr>
          <w:rFonts w:asciiTheme="minorHAnsi" w:hAnsiTheme="minorHAnsi" w:cstheme="minorHAnsi"/>
          <w:sz w:val="22"/>
          <w:szCs w:val="22"/>
        </w:rPr>
        <w:t>countries.</w:t>
      </w:r>
    </w:p>
    <w:p w14:paraId="4A18FE52" w14:textId="77777777" w:rsidR="00624105" w:rsidRPr="00C95105" w:rsidRDefault="00624105" w:rsidP="00624105">
      <w:pPr>
        <w:spacing w:after="120"/>
        <w:rPr>
          <w:rFonts w:asciiTheme="minorHAnsi" w:hAnsiTheme="minorHAnsi" w:cstheme="minorHAnsi"/>
          <w:b/>
          <w:bCs/>
          <w:i/>
          <w:iCs/>
          <w:sz w:val="22"/>
          <w:szCs w:val="22"/>
        </w:rPr>
      </w:pPr>
    </w:p>
    <w:p w14:paraId="6D460611" w14:textId="5DF80CE2" w:rsidR="00E57F77" w:rsidRPr="00C95105" w:rsidRDefault="00624105" w:rsidP="0045765C">
      <w:pPr>
        <w:pStyle w:val="ListParagraph"/>
        <w:ind w:left="0"/>
        <w:rPr>
          <w:rFonts w:asciiTheme="minorHAnsi" w:hAnsiTheme="minorHAnsi" w:cstheme="minorHAnsi"/>
          <w:b/>
          <w:bCs/>
          <w:i/>
          <w:iCs/>
        </w:rPr>
      </w:pPr>
      <w:bookmarkStart w:id="223" w:name="_Toc96866431"/>
      <w:bookmarkStart w:id="224" w:name="_Toc96878300"/>
      <w:r w:rsidRPr="00C95105">
        <w:rPr>
          <w:rFonts w:asciiTheme="minorHAnsi" w:hAnsiTheme="minorHAnsi" w:cstheme="minorHAnsi"/>
          <w:b/>
          <w:bCs/>
          <w:i/>
          <w:iCs/>
        </w:rPr>
        <w:t xml:space="preserve">Figure </w:t>
      </w:r>
      <w:r w:rsidR="00937A43" w:rsidRPr="00C95105">
        <w:rPr>
          <w:rFonts w:asciiTheme="minorHAnsi" w:hAnsiTheme="minorHAnsi" w:cstheme="minorHAnsi"/>
          <w:b/>
          <w:bCs/>
          <w:i/>
          <w:iCs/>
        </w:rPr>
        <w:t xml:space="preserve">4.1. </w:t>
      </w:r>
      <w:r w:rsidR="00E57F77" w:rsidRPr="00C95105">
        <w:rPr>
          <w:rFonts w:asciiTheme="minorHAnsi" w:hAnsiTheme="minorHAnsi" w:cstheme="minorHAnsi"/>
          <w:i/>
          <w:iCs/>
        </w:rPr>
        <w:t xml:space="preserve">PRISMA Flow Diagram summarising literature search and inclusion for Public Sector Drivers of </w:t>
      </w:r>
      <w:r w:rsidR="00760F7F" w:rsidRPr="00C95105">
        <w:rPr>
          <w:rFonts w:asciiTheme="minorHAnsi" w:hAnsiTheme="minorHAnsi" w:cstheme="minorHAnsi"/>
          <w:i/>
          <w:iCs/>
        </w:rPr>
        <w:t>Sexual Harassment</w:t>
      </w:r>
      <w:bookmarkEnd w:id="223"/>
      <w:bookmarkEnd w:id="224"/>
    </w:p>
    <w:p w14:paraId="03A8486A" w14:textId="726F507B" w:rsidR="00624105" w:rsidRPr="00C95105" w:rsidRDefault="00624105" w:rsidP="00624105">
      <w:pPr>
        <w:spacing w:after="120"/>
        <w:rPr>
          <w:rFonts w:asciiTheme="minorHAnsi" w:hAnsiTheme="minorHAnsi" w:cstheme="minorHAnsi"/>
        </w:rPr>
      </w:pPr>
    </w:p>
    <w:p w14:paraId="043AFDE8" w14:textId="452744BC" w:rsidR="00624105" w:rsidRPr="00C95105" w:rsidRDefault="00382CE7" w:rsidP="00624105">
      <w:pPr>
        <w:spacing w:after="120"/>
        <w:rPr>
          <w:rFonts w:asciiTheme="minorHAnsi" w:hAnsiTheme="minorHAnsi" w:cstheme="minorBidi"/>
          <w:b/>
          <w:i/>
          <w:sz w:val="22"/>
          <w:szCs w:val="22"/>
        </w:rPr>
      </w:pPr>
      <w:r>
        <w:rPr>
          <w:rFonts w:asciiTheme="minorHAnsi" w:hAnsiTheme="minorHAnsi" w:cstheme="minorBidi"/>
          <w:b/>
          <w:i/>
          <w:noProof/>
          <w:sz w:val="22"/>
          <w:szCs w:val="22"/>
        </w:rPr>
        <w:drawing>
          <wp:inline distT="0" distB="0" distL="0" distR="0" wp14:anchorId="033B5A83" wp14:editId="61B3544E">
            <wp:extent cx="5354320" cy="4151630"/>
            <wp:effectExtent l="0" t="0" r="0" b="1270"/>
            <wp:docPr id="269" name="Picture 269" descr="Flow diagram showing identification phase includes 1462 records identified through database searching and 1 additional record identified through other sources. In screening, 1389 records after duplicates removed were screened. Of these 1335 records were excluded during screening. 54 full text articles were assed for eligibility. 25 full text articles excluded, for not meeting eligibility. 29 studies were included in qualitativ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Flow diagram showing identification phase includes 1462 records identified through database searching and 1 additional record identified through other sources. In screening, 1389 records after duplicates removed were screened. Of these 1335 records were excluded during screening. 54 full text articles were assed for eligibility. 25 full text articles excluded, for not meeting eligibility. 29 studies were included in qualitative analysi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54320" cy="4151630"/>
                    </a:xfrm>
                    <a:prstGeom prst="rect">
                      <a:avLst/>
                    </a:prstGeom>
                    <a:noFill/>
                    <a:ln>
                      <a:noFill/>
                    </a:ln>
                  </pic:spPr>
                </pic:pic>
              </a:graphicData>
            </a:graphic>
          </wp:inline>
        </w:drawing>
      </w:r>
    </w:p>
    <w:p w14:paraId="7B3CD930" w14:textId="020F5B5C" w:rsidR="00354434" w:rsidRDefault="00354434" w:rsidP="006757E6"/>
    <w:p w14:paraId="662B6C85" w14:textId="5469D5D3"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225" w:name="_Toc96957707"/>
      <w:r w:rsidRPr="00C95105">
        <w:rPr>
          <w:rFonts w:asciiTheme="minorHAnsi" w:hAnsiTheme="minorHAnsi" w:cstheme="minorHAnsi"/>
          <w:b/>
          <w:bCs/>
          <w:i/>
          <w:iCs/>
          <w:color w:val="2F5496" w:themeColor="accent1" w:themeShade="BF"/>
          <w:sz w:val="22"/>
          <w:szCs w:val="22"/>
        </w:rPr>
        <w:t>Data extraction</w:t>
      </w:r>
      <w:bookmarkEnd w:id="225"/>
    </w:p>
    <w:p w14:paraId="2AEF0FD9" w14:textId="3F158506" w:rsidR="00624105" w:rsidRPr="00C95105" w:rsidRDefault="00624105" w:rsidP="00624105">
      <w:pPr>
        <w:spacing w:after="120"/>
        <w:ind w:firstLine="720"/>
        <w:rPr>
          <w:rFonts w:asciiTheme="minorHAnsi" w:hAnsiTheme="minorHAnsi" w:cstheme="minorHAnsi"/>
          <w:sz w:val="22"/>
          <w:szCs w:val="22"/>
        </w:rPr>
      </w:pPr>
      <w:r w:rsidRPr="00C95105">
        <w:rPr>
          <w:rFonts w:asciiTheme="minorHAnsi" w:hAnsiTheme="minorHAnsi" w:cstheme="minorHAnsi"/>
          <w:sz w:val="22"/>
          <w:szCs w:val="22"/>
        </w:rPr>
        <w:t xml:space="preserve">The final set of eligible references </w:t>
      </w:r>
      <w:r w:rsidR="5DE33E5C" w:rsidRPr="00C95105">
        <w:rPr>
          <w:rFonts w:asciiTheme="minorHAnsi" w:hAnsiTheme="minorHAnsi" w:cstheme="minorHAnsi"/>
          <w:sz w:val="22"/>
          <w:szCs w:val="22"/>
        </w:rPr>
        <w:t>we</w:t>
      </w:r>
      <w:r w:rsidRPr="00C95105">
        <w:rPr>
          <w:rFonts w:asciiTheme="minorHAnsi" w:hAnsiTheme="minorHAnsi" w:cstheme="minorHAnsi"/>
          <w:sz w:val="22"/>
          <w:szCs w:val="22"/>
        </w:rPr>
        <w:t xml:space="preserve"> coded by a member of the research team with training in organisational psychology and experience in data extraction for systematic reviews. The coding was performed using a data extraction tool and codebook capturing information regarding the research aims, methods and key findings from each article. </w:t>
      </w:r>
    </w:p>
    <w:p w14:paraId="1650DF3A" w14:textId="68C6B9F2" w:rsidR="00624105" w:rsidRPr="00C95105" w:rsidRDefault="00624105" w:rsidP="0093280F">
      <w:pPr>
        <w:pStyle w:val="Heading2"/>
        <w:numPr>
          <w:ilvl w:val="1"/>
          <w:numId w:val="20"/>
        </w:numPr>
        <w:spacing w:before="0" w:after="120"/>
        <w:ind w:left="426" w:hanging="426"/>
        <w:rPr>
          <w:rFonts w:asciiTheme="minorHAnsi" w:hAnsiTheme="minorHAnsi" w:cstheme="minorHAnsi"/>
          <w:b/>
          <w:bCs/>
        </w:rPr>
      </w:pPr>
      <w:bookmarkStart w:id="226" w:name="_Toc96957708"/>
      <w:r w:rsidRPr="00C95105">
        <w:rPr>
          <w:rFonts w:asciiTheme="minorHAnsi" w:hAnsiTheme="minorHAnsi" w:cstheme="minorHAnsi"/>
          <w:b/>
          <w:bCs/>
        </w:rPr>
        <w:lastRenderedPageBreak/>
        <w:t xml:space="preserve">Findings and </w:t>
      </w:r>
      <w:r w:rsidR="003D1B8A" w:rsidRPr="00C95105">
        <w:rPr>
          <w:rFonts w:asciiTheme="minorHAnsi" w:hAnsiTheme="minorHAnsi" w:cstheme="minorHAnsi"/>
          <w:b/>
          <w:bCs/>
        </w:rPr>
        <w:t>R</w:t>
      </w:r>
      <w:r w:rsidRPr="00C95105">
        <w:rPr>
          <w:rFonts w:asciiTheme="minorHAnsi" w:hAnsiTheme="minorHAnsi" w:cstheme="minorHAnsi"/>
          <w:b/>
          <w:bCs/>
        </w:rPr>
        <w:t>ecommendations</w:t>
      </w:r>
      <w:bookmarkEnd w:id="226"/>
    </w:p>
    <w:p w14:paraId="37907004" w14:textId="77777777" w:rsidR="00624105" w:rsidRPr="00C95105" w:rsidRDefault="00624105" w:rsidP="003D1B8A">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this section of the report, we provide summaries of the evidence and recommendations to prevent and manage sexual harassment in public sector organisations. </w:t>
      </w:r>
    </w:p>
    <w:p w14:paraId="3B2608EB" w14:textId="77777777" w:rsidR="00624105" w:rsidRPr="00C95105" w:rsidRDefault="00624105" w:rsidP="00624105">
      <w:pPr>
        <w:spacing w:after="120"/>
        <w:rPr>
          <w:rFonts w:asciiTheme="minorHAnsi" w:hAnsiTheme="minorHAnsi" w:cstheme="minorHAnsi"/>
          <w:sz w:val="22"/>
          <w:szCs w:val="22"/>
        </w:rPr>
      </w:pPr>
    </w:p>
    <w:p w14:paraId="3D30F371" w14:textId="77777777"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227" w:name="_Toc96957709"/>
      <w:r w:rsidRPr="00C95105">
        <w:rPr>
          <w:rFonts w:asciiTheme="minorHAnsi" w:hAnsiTheme="minorHAnsi" w:cstheme="minorHAnsi"/>
          <w:b/>
          <w:bCs/>
          <w:i/>
          <w:iCs/>
          <w:color w:val="2F5496" w:themeColor="accent1" w:themeShade="BF"/>
          <w:sz w:val="22"/>
          <w:szCs w:val="22"/>
        </w:rPr>
        <w:t>Predictor Category 1: Structural Factors</w:t>
      </w:r>
      <w:bookmarkEnd w:id="227"/>
    </w:p>
    <w:p w14:paraId="19F80840" w14:textId="384F2735" w:rsidR="00624105" w:rsidRPr="00C95105" w:rsidRDefault="00624105" w:rsidP="00516B18">
      <w:pPr>
        <w:spacing w:after="120"/>
        <w:ind w:firstLine="567"/>
        <w:rPr>
          <w:rFonts w:asciiTheme="minorHAnsi" w:hAnsiTheme="minorHAnsi" w:cstheme="minorHAnsi"/>
          <w:bCs/>
          <w:sz w:val="22"/>
          <w:szCs w:val="22"/>
        </w:rPr>
      </w:pPr>
      <w:r w:rsidRPr="00C95105">
        <w:rPr>
          <w:rFonts w:asciiTheme="minorHAnsi" w:hAnsiTheme="minorHAnsi" w:cstheme="minorHAnsi"/>
          <w:bCs/>
          <w:sz w:val="22"/>
          <w:szCs w:val="22"/>
        </w:rPr>
        <w:t>In this section, we examine how structural factors may influence incidents of sexual harassment in public sector organisations. Structural factors are understood as the formal and informal parameters within which members of the organisation are expected to operate.</w:t>
      </w:r>
    </w:p>
    <w:p w14:paraId="5B613CB1" w14:textId="77777777" w:rsidR="00624105" w:rsidRPr="00C95105" w:rsidRDefault="00624105" w:rsidP="00624105">
      <w:pPr>
        <w:spacing w:after="120"/>
        <w:rPr>
          <w:rFonts w:asciiTheme="minorHAnsi" w:hAnsiTheme="minorHAnsi" w:cstheme="minorHAnsi"/>
          <w:bCs/>
          <w:sz w:val="22"/>
          <w:szCs w:val="22"/>
        </w:rPr>
      </w:pPr>
    </w:p>
    <w:p w14:paraId="3C622A0B" w14:textId="4358E853" w:rsidR="00624105" w:rsidRPr="00C95105" w:rsidRDefault="00624105" w:rsidP="00196B52">
      <w:pPr>
        <w:pStyle w:val="TableParagraph"/>
        <w:spacing w:after="120"/>
        <w:ind w:left="0"/>
        <w:rPr>
          <w:rFonts w:asciiTheme="minorHAnsi" w:hAnsiTheme="minorHAnsi" w:cstheme="minorHAnsi"/>
          <w:lang w:val="en-AU"/>
        </w:rPr>
      </w:pPr>
      <w:bookmarkStart w:id="228" w:name="_Toc96878647"/>
      <w:r w:rsidRPr="00C95105">
        <w:rPr>
          <w:rFonts w:asciiTheme="minorHAnsi" w:hAnsiTheme="minorHAnsi" w:cstheme="minorHAnsi"/>
          <w:b/>
          <w:bCs/>
          <w:lang w:val="en-AU"/>
        </w:rPr>
        <w:t xml:space="preserve">Table </w:t>
      </w:r>
      <w:r w:rsidR="00516B18" w:rsidRPr="00C95105">
        <w:rPr>
          <w:rFonts w:asciiTheme="minorHAnsi" w:hAnsiTheme="minorHAnsi" w:cstheme="minorHAnsi"/>
          <w:b/>
          <w:bCs/>
          <w:lang w:val="en-AU"/>
        </w:rPr>
        <w:t>4.</w:t>
      </w:r>
      <w:r w:rsidRPr="00C95105">
        <w:rPr>
          <w:rFonts w:asciiTheme="minorHAnsi" w:hAnsiTheme="minorHAnsi" w:cstheme="minorHAnsi"/>
          <w:b/>
          <w:bCs/>
          <w:lang w:val="en-AU"/>
        </w:rPr>
        <w:t xml:space="preserve">1. </w:t>
      </w:r>
      <w:r w:rsidRPr="00C95105">
        <w:rPr>
          <w:rFonts w:asciiTheme="minorHAnsi" w:hAnsiTheme="minorHAnsi" w:cstheme="minorHAnsi"/>
          <w:lang w:val="en-AU"/>
        </w:rPr>
        <w:t>Evidence of structural factors influencing sexual harassment in the public sector</w:t>
      </w:r>
      <w:bookmarkEnd w:id="228"/>
    </w:p>
    <w:tbl>
      <w:tblPr>
        <w:tblStyle w:val="TableGrid"/>
        <w:tblW w:w="9356" w:type="dxa"/>
        <w:tblLook w:val="04A0" w:firstRow="1" w:lastRow="0" w:firstColumn="1" w:lastColumn="0" w:noHBand="0" w:noVBand="1"/>
      </w:tblPr>
      <w:tblGrid>
        <w:gridCol w:w="1386"/>
        <w:gridCol w:w="3633"/>
        <w:gridCol w:w="4337"/>
      </w:tblGrid>
      <w:tr w:rsidR="00624105" w:rsidRPr="00C95105" w14:paraId="292545C2" w14:textId="77777777" w:rsidTr="00354434">
        <w:trPr>
          <w:tblHeader/>
        </w:trPr>
        <w:tc>
          <w:tcPr>
            <w:tcW w:w="1386" w:type="dxa"/>
            <w:tcBorders>
              <w:left w:val="nil"/>
              <w:bottom w:val="single" w:sz="4" w:space="0" w:color="auto"/>
              <w:right w:val="nil"/>
            </w:tcBorders>
          </w:tcPr>
          <w:p w14:paraId="1CF3B660" w14:textId="5B0D6B6E" w:rsidR="00624105" w:rsidRPr="00C95105" w:rsidRDefault="00354434" w:rsidP="00532791">
            <w:pPr>
              <w:spacing w:after="120"/>
              <w:jc w:val="center"/>
              <w:rPr>
                <w:rFonts w:asciiTheme="minorHAnsi" w:hAnsiTheme="minorHAnsi" w:cstheme="minorHAnsi"/>
                <w:b/>
                <w:color w:val="2F5496" w:themeColor="accent1" w:themeShade="BF"/>
                <w:sz w:val="22"/>
                <w:szCs w:val="22"/>
              </w:rPr>
            </w:pPr>
            <w:r>
              <w:rPr>
                <w:rFonts w:asciiTheme="minorHAnsi" w:hAnsiTheme="minorHAnsi" w:cstheme="minorHAnsi"/>
                <w:b/>
                <w:color w:val="2F5496" w:themeColor="accent1" w:themeShade="BF"/>
                <w:sz w:val="22"/>
                <w:szCs w:val="22"/>
              </w:rPr>
              <w:t>Area</w:t>
            </w:r>
          </w:p>
        </w:tc>
        <w:tc>
          <w:tcPr>
            <w:tcW w:w="3633" w:type="dxa"/>
            <w:tcBorders>
              <w:left w:val="nil"/>
              <w:bottom w:val="single" w:sz="4" w:space="0" w:color="auto"/>
              <w:right w:val="nil"/>
            </w:tcBorders>
          </w:tcPr>
          <w:p w14:paraId="4CA83433" w14:textId="77777777" w:rsidR="00624105" w:rsidRPr="00C95105" w:rsidRDefault="0062410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What the evidence says</w:t>
            </w:r>
          </w:p>
        </w:tc>
        <w:tc>
          <w:tcPr>
            <w:tcW w:w="4337" w:type="dxa"/>
            <w:tcBorders>
              <w:left w:val="nil"/>
              <w:bottom w:val="single" w:sz="4" w:space="0" w:color="auto"/>
              <w:right w:val="nil"/>
            </w:tcBorders>
          </w:tcPr>
          <w:p w14:paraId="6BE772A0" w14:textId="77777777" w:rsidR="00624105" w:rsidRPr="00C95105" w:rsidRDefault="0062410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Recommendations</w:t>
            </w:r>
          </w:p>
        </w:tc>
      </w:tr>
      <w:tr w:rsidR="00624105" w:rsidRPr="00C95105" w14:paraId="042D10C6" w14:textId="77777777" w:rsidTr="00532791">
        <w:tc>
          <w:tcPr>
            <w:tcW w:w="1386" w:type="dxa"/>
            <w:tcBorders>
              <w:left w:val="nil"/>
              <w:bottom w:val="nil"/>
              <w:right w:val="nil"/>
            </w:tcBorders>
          </w:tcPr>
          <w:p w14:paraId="15F1F108"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Distribution of Power</w:t>
            </w:r>
          </w:p>
        </w:tc>
        <w:tc>
          <w:tcPr>
            <w:tcW w:w="3633" w:type="dxa"/>
            <w:tcBorders>
              <w:left w:val="nil"/>
              <w:bottom w:val="nil"/>
              <w:right w:val="nil"/>
            </w:tcBorders>
          </w:tcPr>
          <w:p w14:paraId="7DB8734E"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The </w:t>
            </w:r>
            <w:r w:rsidRPr="00C95105">
              <w:rPr>
                <w:rFonts w:asciiTheme="minorHAnsi" w:hAnsiTheme="minorHAnsi" w:cstheme="minorHAnsi"/>
                <w:bCs/>
                <w:i/>
                <w:iCs/>
                <w:sz w:val="22"/>
                <w:szCs w:val="22"/>
              </w:rPr>
              <w:t>formal distribution of power</w:t>
            </w:r>
            <w:r w:rsidRPr="00C95105">
              <w:rPr>
                <w:rFonts w:asciiTheme="minorHAnsi" w:hAnsiTheme="minorHAnsi" w:cstheme="minorHAnsi"/>
                <w:bCs/>
                <w:sz w:val="22"/>
                <w:szCs w:val="22"/>
              </w:rPr>
              <w:t xml:space="preserve"> – through prescribed organisational hierarchies – may contribute to the experience of sexual harassment via several mechanisms:</w:t>
            </w:r>
          </w:p>
          <w:p w14:paraId="282C6868"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 xml:space="preserve">legitimate power </w:t>
            </w:r>
            <w:r w:rsidRPr="00C95105">
              <w:rPr>
                <w:rFonts w:asciiTheme="minorHAnsi" w:hAnsiTheme="minorHAnsi" w:cstheme="minorHAnsi"/>
                <w:bCs/>
                <w:sz w:val="22"/>
                <w:szCs w:val="22"/>
              </w:rPr>
              <w:t xml:space="preserve">(i.e., organisational authority to demand compliance); </w:t>
            </w:r>
          </w:p>
          <w:p w14:paraId="4AAE1501"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reward power</w:t>
            </w:r>
            <w:r w:rsidRPr="00C95105">
              <w:rPr>
                <w:rFonts w:asciiTheme="minorHAnsi" w:hAnsiTheme="minorHAnsi" w:cstheme="minorHAnsi"/>
                <w:bCs/>
                <w:sz w:val="22"/>
                <w:szCs w:val="22"/>
              </w:rPr>
              <w:t xml:space="preserve"> (i.e., ability to provide rewards and resources) or </w:t>
            </w:r>
          </w:p>
          <w:p w14:paraId="13689C2F"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sanction power</w:t>
            </w:r>
            <w:r w:rsidRPr="00C95105">
              <w:rPr>
                <w:rFonts w:asciiTheme="minorHAnsi" w:hAnsiTheme="minorHAnsi" w:cstheme="minorHAnsi"/>
                <w:bCs/>
                <w:sz w:val="22"/>
                <w:szCs w:val="22"/>
              </w:rPr>
              <w:t xml:space="preserve"> (i.e., ability to issue punishment). </w:t>
            </w:r>
          </w:p>
          <w:p w14:paraId="2F3C823B"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Formal power can be used to coerce sexual favours and is associated with sex-based harassment in the provision of rewards and sanctions. For example, promotions may be offered with conditions of sexual coercion or withheld from people that do not comply.</w:t>
            </w:r>
          </w:p>
        </w:tc>
        <w:tc>
          <w:tcPr>
            <w:tcW w:w="4337" w:type="dxa"/>
            <w:tcBorders>
              <w:left w:val="nil"/>
              <w:bottom w:val="single" w:sz="4" w:space="0" w:color="auto"/>
              <w:right w:val="nil"/>
            </w:tcBorders>
          </w:tcPr>
          <w:p w14:paraId="3F5CCC07"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w:t>
            </w:r>
          </w:p>
          <w:p w14:paraId="660C0407"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29" w:name="_Toc96866432"/>
            <w:bookmarkStart w:id="230" w:name="_Toc96866634"/>
            <w:bookmarkStart w:id="231" w:name="_Toc96878301"/>
            <w:r w:rsidRPr="00C95105">
              <w:rPr>
                <w:rFonts w:asciiTheme="minorHAnsi" w:hAnsiTheme="minorHAnsi" w:cstheme="minorHAnsi"/>
                <w:bCs/>
                <w:sz w:val="22"/>
                <w:szCs w:val="22"/>
              </w:rPr>
              <w:t>Transparent reward structures may minimise the opportunity for sexual or sexist manipulation related to promotions, bonuses or other organisational rewards. Formal agreements or policies that outline key performance indicators reduce ambiguity and provide a framework of rewards available to employees.</w:t>
            </w:r>
            <w:bookmarkEnd w:id="229"/>
            <w:bookmarkEnd w:id="230"/>
            <w:bookmarkEnd w:id="231"/>
            <w:r w:rsidRPr="00C95105">
              <w:rPr>
                <w:rFonts w:asciiTheme="minorHAnsi" w:hAnsiTheme="minorHAnsi" w:cstheme="minorHAnsi"/>
                <w:bCs/>
                <w:sz w:val="22"/>
                <w:szCs w:val="22"/>
              </w:rPr>
              <w:t xml:space="preserve"> </w:t>
            </w:r>
          </w:p>
          <w:p w14:paraId="7603786D"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32" w:name="_Toc96866433"/>
            <w:bookmarkStart w:id="233" w:name="_Toc96866635"/>
            <w:bookmarkStart w:id="234" w:name="_Toc96878302"/>
            <w:bookmarkStart w:id="235" w:name="_Hlk96423984"/>
            <w:r w:rsidRPr="00C95105">
              <w:rPr>
                <w:rFonts w:asciiTheme="minorHAnsi" w:hAnsiTheme="minorHAnsi" w:cstheme="minorHAnsi"/>
                <w:bCs/>
                <w:sz w:val="22"/>
                <w:szCs w:val="22"/>
              </w:rPr>
              <w:t>In place of one-on-one review processes, formal performance review processes that involve multiple perspectives (i.e., 360 reviews with subordinates, peers and supervisors) can improve the transparency of rewards and sanctions. Human resources should then review the feedback from the different assessors and independently identify discrepancies that may signal poor professional relationships.</w:t>
            </w:r>
            <w:bookmarkEnd w:id="232"/>
            <w:bookmarkEnd w:id="233"/>
            <w:bookmarkEnd w:id="234"/>
            <w:r w:rsidRPr="00C95105">
              <w:rPr>
                <w:rFonts w:asciiTheme="minorHAnsi" w:hAnsiTheme="minorHAnsi" w:cstheme="minorHAnsi"/>
                <w:bCs/>
                <w:sz w:val="22"/>
                <w:szCs w:val="22"/>
              </w:rPr>
              <w:t xml:space="preserve"> </w:t>
            </w:r>
          </w:p>
          <w:p w14:paraId="7E2FDF69"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36" w:name="_Toc96866434"/>
            <w:bookmarkStart w:id="237" w:name="_Toc96866636"/>
            <w:bookmarkStart w:id="238" w:name="_Toc96878303"/>
            <w:bookmarkEnd w:id="235"/>
            <w:r w:rsidRPr="00C95105">
              <w:rPr>
                <w:rFonts w:asciiTheme="minorHAnsi" w:hAnsiTheme="minorHAnsi" w:cstheme="minorHAnsi"/>
                <w:bCs/>
                <w:sz w:val="22"/>
                <w:szCs w:val="22"/>
              </w:rPr>
              <w:t>To support objectivity, hiring processes should involve a clear set of skills required (e.g., qualifications, type of experience) and input from multiple sources wherever possible. This may include hiring managers, human resources, colleagues and future subordinates (in the case of management positions).</w:t>
            </w:r>
            <w:bookmarkEnd w:id="236"/>
            <w:bookmarkEnd w:id="237"/>
            <w:bookmarkEnd w:id="238"/>
            <w:r w:rsidRPr="00C95105">
              <w:rPr>
                <w:rFonts w:asciiTheme="minorHAnsi" w:hAnsiTheme="minorHAnsi" w:cstheme="minorHAnsi"/>
                <w:bCs/>
                <w:sz w:val="22"/>
                <w:szCs w:val="22"/>
              </w:rPr>
              <w:t xml:space="preserve"> </w:t>
            </w:r>
          </w:p>
          <w:p w14:paraId="0D9ABC0E"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39" w:name="_Toc96866435"/>
            <w:bookmarkStart w:id="240" w:name="_Toc96866637"/>
            <w:bookmarkStart w:id="241" w:name="_Toc96878304"/>
            <w:r w:rsidRPr="00C95105">
              <w:rPr>
                <w:rFonts w:asciiTheme="minorHAnsi" w:hAnsiTheme="minorHAnsi" w:cstheme="minorHAnsi"/>
                <w:bCs/>
                <w:sz w:val="22"/>
                <w:szCs w:val="22"/>
              </w:rPr>
              <w:t>There needs to be a clearly planned approach to dealing with managers’ resistance to efforts to prevent and manage sexual harassment and dealing with workplace gender equality more generally. This should include a plan for their supervisors on how to have conversations with these managers and take corrective actions.</w:t>
            </w:r>
            <w:bookmarkEnd w:id="239"/>
            <w:bookmarkEnd w:id="240"/>
            <w:bookmarkEnd w:id="241"/>
          </w:p>
        </w:tc>
      </w:tr>
      <w:tr w:rsidR="00624105" w:rsidRPr="00C95105" w14:paraId="317A440C" w14:textId="77777777" w:rsidTr="00532791">
        <w:tc>
          <w:tcPr>
            <w:tcW w:w="1386" w:type="dxa"/>
            <w:tcBorders>
              <w:top w:val="nil"/>
              <w:left w:val="nil"/>
              <w:bottom w:val="nil"/>
              <w:right w:val="nil"/>
            </w:tcBorders>
          </w:tcPr>
          <w:p w14:paraId="4FE92B6F" w14:textId="77777777" w:rsidR="00624105" w:rsidRPr="00C95105" w:rsidRDefault="00624105" w:rsidP="00532791">
            <w:pPr>
              <w:spacing w:after="120"/>
              <w:rPr>
                <w:rFonts w:asciiTheme="minorHAnsi" w:hAnsiTheme="minorHAnsi" w:cstheme="minorHAnsi"/>
                <w:bCs/>
                <w:sz w:val="22"/>
                <w:szCs w:val="22"/>
              </w:rPr>
            </w:pPr>
          </w:p>
        </w:tc>
        <w:tc>
          <w:tcPr>
            <w:tcW w:w="3633" w:type="dxa"/>
            <w:tcBorders>
              <w:top w:val="nil"/>
              <w:left w:val="nil"/>
              <w:bottom w:val="single" w:sz="4" w:space="0" w:color="auto"/>
              <w:right w:val="nil"/>
            </w:tcBorders>
          </w:tcPr>
          <w:p w14:paraId="3F34214F" w14:textId="77777777" w:rsidR="00624105" w:rsidRPr="00C95105" w:rsidRDefault="00624105" w:rsidP="00532791">
            <w:pPr>
              <w:spacing w:after="120"/>
              <w:rPr>
                <w:rFonts w:asciiTheme="minorHAnsi" w:hAnsiTheme="minorHAnsi" w:cstheme="minorHAnsi"/>
                <w:bCs/>
                <w:sz w:val="22"/>
                <w:szCs w:val="22"/>
              </w:rPr>
            </w:pPr>
          </w:p>
        </w:tc>
        <w:tc>
          <w:tcPr>
            <w:tcW w:w="4337" w:type="dxa"/>
            <w:tcBorders>
              <w:left w:val="nil"/>
              <w:bottom w:val="single" w:sz="4" w:space="0" w:color="auto"/>
              <w:right w:val="nil"/>
            </w:tcBorders>
          </w:tcPr>
          <w:p w14:paraId="4DEEA153"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 xml:space="preserve">Management: </w:t>
            </w:r>
          </w:p>
          <w:p w14:paraId="56AFCDE2"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42" w:name="_Toc96866436"/>
            <w:bookmarkStart w:id="243" w:name="_Toc96866638"/>
            <w:bookmarkStart w:id="244" w:name="_Toc96878305"/>
            <w:r w:rsidRPr="00C95105">
              <w:rPr>
                <w:rFonts w:asciiTheme="minorHAnsi" w:hAnsiTheme="minorHAnsi" w:cstheme="minorHAnsi"/>
                <w:bCs/>
                <w:sz w:val="22"/>
                <w:szCs w:val="22"/>
              </w:rPr>
              <w:t>In the case of senior management or sensitive claims, sexual harassment should be handled independently. Third-party groups can be employed to mediate complaints. Independent complaint systems can also be used to avoid formal power interfering with the review process.</w:t>
            </w:r>
            <w:bookmarkEnd w:id="242"/>
            <w:bookmarkEnd w:id="243"/>
            <w:bookmarkEnd w:id="244"/>
          </w:p>
        </w:tc>
      </w:tr>
      <w:tr w:rsidR="00624105" w:rsidRPr="00C95105" w14:paraId="620936D7" w14:textId="77777777" w:rsidTr="00532791">
        <w:tc>
          <w:tcPr>
            <w:tcW w:w="1386" w:type="dxa"/>
            <w:tcBorders>
              <w:top w:val="nil"/>
              <w:left w:val="nil"/>
              <w:bottom w:val="single" w:sz="4" w:space="0" w:color="auto"/>
              <w:right w:val="nil"/>
            </w:tcBorders>
          </w:tcPr>
          <w:p w14:paraId="3A915E3F" w14:textId="77777777" w:rsidR="00624105" w:rsidRPr="00C95105" w:rsidRDefault="00624105" w:rsidP="00532791">
            <w:pPr>
              <w:spacing w:after="120"/>
              <w:rPr>
                <w:rFonts w:asciiTheme="minorHAnsi" w:hAnsiTheme="minorHAnsi" w:cstheme="minorHAnsi"/>
                <w:bCs/>
                <w:sz w:val="22"/>
                <w:szCs w:val="22"/>
              </w:rPr>
            </w:pPr>
          </w:p>
        </w:tc>
        <w:tc>
          <w:tcPr>
            <w:tcW w:w="3633" w:type="dxa"/>
            <w:tcBorders>
              <w:top w:val="single" w:sz="4" w:space="0" w:color="auto"/>
              <w:left w:val="nil"/>
              <w:bottom w:val="single" w:sz="4" w:space="0" w:color="auto"/>
              <w:right w:val="nil"/>
            </w:tcBorders>
          </w:tcPr>
          <w:p w14:paraId="75D96136"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Informal power</w:t>
            </w:r>
            <w:r w:rsidRPr="00C95105">
              <w:rPr>
                <w:rFonts w:asciiTheme="minorHAnsi" w:hAnsiTheme="minorHAnsi" w:cstheme="minorHAnsi"/>
                <w:bCs/>
                <w:sz w:val="22"/>
                <w:szCs w:val="22"/>
              </w:rPr>
              <w:t xml:space="preserve"> is derived from the personal possession of social resources others desire, including:</w:t>
            </w:r>
          </w:p>
          <w:p w14:paraId="2F735C04"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referent power</w:t>
            </w:r>
            <w:r w:rsidRPr="00C95105">
              <w:rPr>
                <w:rFonts w:asciiTheme="minorHAnsi" w:hAnsiTheme="minorHAnsi" w:cstheme="minorHAnsi"/>
                <w:bCs/>
                <w:sz w:val="22"/>
                <w:szCs w:val="22"/>
              </w:rPr>
              <w:t xml:space="preserve"> (i.e., interpersonal identification and attraction); </w:t>
            </w:r>
          </w:p>
          <w:p w14:paraId="779DC19E"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expert power</w:t>
            </w:r>
            <w:r w:rsidRPr="00C95105">
              <w:rPr>
                <w:rFonts w:asciiTheme="minorHAnsi" w:hAnsiTheme="minorHAnsi" w:cstheme="minorHAnsi"/>
                <w:bCs/>
                <w:sz w:val="22"/>
                <w:szCs w:val="22"/>
              </w:rPr>
              <w:t xml:space="preserve"> (i.e., prior success, knowledge); or, </w:t>
            </w:r>
          </w:p>
          <w:p w14:paraId="7A19C521"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 xml:space="preserve">status based on group membership </w:t>
            </w:r>
            <w:r w:rsidRPr="00C95105">
              <w:rPr>
                <w:rFonts w:asciiTheme="minorHAnsi" w:hAnsiTheme="minorHAnsi" w:cstheme="minorHAnsi"/>
                <w:bCs/>
                <w:sz w:val="22"/>
                <w:szCs w:val="22"/>
              </w:rPr>
              <w:t xml:space="preserve">(e.g., age, gender, ethnicity, sexual orientation, disability). </w:t>
            </w:r>
          </w:p>
          <w:p w14:paraId="49AC7135"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Majority group membership offers protection from sexual harassment, while minority membership likely increases vulnerability to harassment. Individuals who identify with multiple low-status groups are most at risk.</w:t>
            </w:r>
          </w:p>
        </w:tc>
        <w:tc>
          <w:tcPr>
            <w:tcW w:w="4337" w:type="dxa"/>
            <w:tcBorders>
              <w:top w:val="single" w:sz="4" w:space="0" w:color="auto"/>
              <w:left w:val="nil"/>
              <w:bottom w:val="single" w:sz="4" w:space="0" w:color="auto"/>
              <w:right w:val="nil"/>
            </w:tcBorders>
          </w:tcPr>
          <w:p w14:paraId="777FDF95"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w:t>
            </w:r>
          </w:p>
          <w:p w14:paraId="7FB15574"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45" w:name="_Toc96866437"/>
            <w:bookmarkStart w:id="246" w:name="_Toc96866639"/>
            <w:bookmarkStart w:id="247" w:name="_Toc96878306"/>
            <w:r w:rsidRPr="00C95105">
              <w:rPr>
                <w:rFonts w:asciiTheme="minorHAnsi" w:hAnsiTheme="minorHAnsi" w:cstheme="minorHAnsi"/>
                <w:bCs/>
                <w:sz w:val="22"/>
                <w:szCs w:val="22"/>
              </w:rPr>
              <w:t>Diversifying leadership roles/portfolios can be an effective way to mitigate the perceived and actual association between demographic variables and status.</w:t>
            </w:r>
            <w:bookmarkEnd w:id="245"/>
            <w:bookmarkEnd w:id="246"/>
            <w:bookmarkEnd w:id="247"/>
          </w:p>
          <w:p w14:paraId="51284CEF"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48" w:name="_Toc96866438"/>
            <w:bookmarkStart w:id="249" w:name="_Toc96866640"/>
            <w:bookmarkStart w:id="250" w:name="_Toc96878307"/>
            <w:r w:rsidRPr="00C95105">
              <w:rPr>
                <w:rFonts w:asciiTheme="minorHAnsi" w:hAnsiTheme="minorHAnsi" w:cstheme="minorHAnsi"/>
                <w:bCs/>
                <w:sz w:val="22"/>
                <w:szCs w:val="22"/>
              </w:rPr>
              <w:t>Engaging in diversity and inclusion training can facilitate attitude change that is designed to reduce biases towards minority groups or groups with lower social status. Further, gender and sexuality training can be used to debunk sex-role assumptions and combat sexist hostility that is disproportionately targeted at women and LGBTQI+ persons.</w:t>
            </w:r>
            <w:bookmarkEnd w:id="248"/>
            <w:bookmarkEnd w:id="249"/>
            <w:bookmarkEnd w:id="250"/>
          </w:p>
          <w:p w14:paraId="121C482A"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51" w:name="_Toc96866439"/>
            <w:bookmarkStart w:id="252" w:name="_Toc96866641"/>
            <w:bookmarkStart w:id="253" w:name="_Toc96878308"/>
            <w:r w:rsidRPr="00C95105">
              <w:rPr>
                <w:rFonts w:asciiTheme="minorHAnsi" w:hAnsiTheme="minorHAnsi" w:cstheme="minorHAnsi"/>
                <w:bCs/>
                <w:sz w:val="22"/>
                <w:szCs w:val="22"/>
              </w:rPr>
              <w:t>Engaging in knowledge sharing practices (e.g., workshops, mentoring) can reduce informal power associated with expertise.</w:t>
            </w:r>
            <w:bookmarkEnd w:id="251"/>
            <w:bookmarkEnd w:id="252"/>
            <w:bookmarkEnd w:id="253"/>
            <w:r w:rsidRPr="00C95105">
              <w:rPr>
                <w:rFonts w:asciiTheme="minorHAnsi" w:hAnsiTheme="minorHAnsi" w:cstheme="minorHAnsi"/>
                <w:bCs/>
                <w:sz w:val="22"/>
                <w:szCs w:val="22"/>
              </w:rPr>
              <w:t xml:space="preserve"> </w:t>
            </w:r>
          </w:p>
        </w:tc>
      </w:tr>
      <w:tr w:rsidR="00624105" w:rsidRPr="00C95105" w14:paraId="7C49F1CF" w14:textId="77777777" w:rsidTr="00532791">
        <w:tc>
          <w:tcPr>
            <w:tcW w:w="1386" w:type="dxa"/>
            <w:tcBorders>
              <w:top w:val="single" w:sz="4" w:space="0" w:color="auto"/>
              <w:left w:val="nil"/>
              <w:bottom w:val="nil"/>
              <w:right w:val="nil"/>
            </w:tcBorders>
          </w:tcPr>
          <w:p w14:paraId="1689D02B"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Gendered organisation of work</w:t>
            </w:r>
          </w:p>
        </w:tc>
        <w:tc>
          <w:tcPr>
            <w:tcW w:w="3633" w:type="dxa"/>
            <w:tcBorders>
              <w:top w:val="single" w:sz="4" w:space="0" w:color="auto"/>
              <w:left w:val="nil"/>
              <w:bottom w:val="single" w:sz="4" w:space="0" w:color="auto"/>
              <w:right w:val="nil"/>
            </w:tcBorders>
          </w:tcPr>
          <w:p w14:paraId="4003B0FA" w14:textId="35566EBC"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Workplace sex-ratio</w:t>
            </w:r>
            <w:r w:rsidRPr="00C95105">
              <w:rPr>
                <w:rFonts w:asciiTheme="minorHAnsi" w:hAnsiTheme="minorHAnsi" w:cstheme="minorHAnsi"/>
                <w:bCs/>
                <w:sz w:val="22"/>
                <w:szCs w:val="22"/>
              </w:rPr>
              <w:t xml:space="preserve"> is a predictor of sexual harassment in the public sector. Men and women in occupations that are dominated by the opposite </w:t>
            </w:r>
            <w:r w:rsidRPr="00C95105">
              <w:rPr>
                <w:rFonts w:asciiTheme="minorHAnsi" w:hAnsiTheme="minorHAnsi" w:cstheme="minorHAnsi"/>
                <w:sz w:val="22"/>
                <w:szCs w:val="22"/>
              </w:rPr>
              <w:t>gender</w:t>
            </w:r>
            <w:r w:rsidRPr="00C95105">
              <w:rPr>
                <w:rFonts w:asciiTheme="minorHAnsi" w:hAnsiTheme="minorHAnsi" w:cstheme="minorHAnsi"/>
                <w:bCs/>
                <w:sz w:val="22"/>
                <w:szCs w:val="22"/>
              </w:rPr>
              <w:t xml:space="preserve"> are at a higher risk of sexual harassment when compared to occupations with balanced gender representation. The effect of </w:t>
            </w:r>
            <w:r w:rsidRPr="00C95105">
              <w:rPr>
                <w:rFonts w:asciiTheme="minorHAnsi" w:hAnsiTheme="minorHAnsi" w:cstheme="minorHAnsi"/>
                <w:sz w:val="22"/>
                <w:szCs w:val="22"/>
              </w:rPr>
              <w:t>gender</w:t>
            </w:r>
            <w:r w:rsidRPr="00C95105">
              <w:rPr>
                <w:rFonts w:asciiTheme="minorHAnsi" w:hAnsiTheme="minorHAnsi" w:cstheme="minorHAnsi"/>
                <w:bCs/>
                <w:sz w:val="22"/>
                <w:szCs w:val="22"/>
              </w:rPr>
              <w:t xml:space="preserve"> ratio is further elevated in gender-based roles (e.g., construction, engineering, nursing, teaching) because people carry inappropriate expectations about gender into the workplace. </w:t>
            </w:r>
          </w:p>
        </w:tc>
        <w:tc>
          <w:tcPr>
            <w:tcW w:w="4337" w:type="dxa"/>
            <w:tcBorders>
              <w:top w:val="single" w:sz="4" w:space="0" w:color="auto"/>
              <w:left w:val="nil"/>
              <w:bottom w:val="single" w:sz="4" w:space="0" w:color="auto"/>
              <w:right w:val="nil"/>
            </w:tcBorders>
          </w:tcPr>
          <w:p w14:paraId="68A938DD"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w:t>
            </w:r>
          </w:p>
          <w:p w14:paraId="3EF77284"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54" w:name="_Toc96866440"/>
            <w:bookmarkStart w:id="255" w:name="_Toc96866642"/>
            <w:bookmarkStart w:id="256" w:name="_Toc96878309"/>
            <w:r w:rsidRPr="00C95105">
              <w:rPr>
                <w:rFonts w:asciiTheme="minorHAnsi" w:hAnsiTheme="minorHAnsi" w:cstheme="minorHAnsi"/>
                <w:bCs/>
                <w:sz w:val="22"/>
                <w:szCs w:val="22"/>
              </w:rPr>
              <w:t>Desegregating traditionally gender-based roles is necessary. Reducing the dominance of one gender serves to separate gender identity from the occupation and creates a larger network of comparable colleagues for individuals within the underrepresented gender. Diversity quotas can be used to improve diversity (see report on Anonymous Application Procedures in this volume).</w:t>
            </w:r>
            <w:bookmarkEnd w:id="254"/>
            <w:bookmarkEnd w:id="255"/>
            <w:bookmarkEnd w:id="256"/>
            <w:r w:rsidRPr="00C95105">
              <w:rPr>
                <w:rFonts w:asciiTheme="minorHAnsi" w:hAnsiTheme="minorHAnsi" w:cstheme="minorHAnsi"/>
                <w:bCs/>
                <w:sz w:val="22"/>
                <w:szCs w:val="22"/>
              </w:rPr>
              <w:t xml:space="preserve"> </w:t>
            </w:r>
          </w:p>
          <w:p w14:paraId="35F111F0"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57" w:name="_Toc96866441"/>
            <w:bookmarkStart w:id="258" w:name="_Toc96866643"/>
            <w:bookmarkStart w:id="259" w:name="_Toc96878310"/>
            <w:r w:rsidRPr="00C95105">
              <w:rPr>
                <w:rFonts w:asciiTheme="minorHAnsi" w:hAnsiTheme="minorHAnsi" w:cstheme="minorHAnsi"/>
                <w:bCs/>
                <w:sz w:val="22"/>
                <w:szCs w:val="22"/>
              </w:rPr>
              <w:t>Target diversity training in sectors of the organisation that are prone to high sex-ratios and thus represent a high risk of sexual harassment towards members of the minority sex. In these areas of the organisation, in-person training with high levels of interactive scenarios and exercises should be used.</w:t>
            </w:r>
            <w:bookmarkEnd w:id="257"/>
            <w:bookmarkEnd w:id="258"/>
            <w:bookmarkEnd w:id="259"/>
            <w:r w:rsidRPr="00C95105">
              <w:rPr>
                <w:rFonts w:asciiTheme="minorHAnsi" w:hAnsiTheme="minorHAnsi" w:cstheme="minorHAnsi"/>
                <w:bCs/>
                <w:sz w:val="22"/>
                <w:szCs w:val="22"/>
              </w:rPr>
              <w:t xml:space="preserve"> </w:t>
            </w:r>
          </w:p>
        </w:tc>
      </w:tr>
      <w:tr w:rsidR="00624105" w:rsidRPr="00C95105" w14:paraId="07EA0437" w14:textId="77777777" w:rsidTr="00532791">
        <w:tc>
          <w:tcPr>
            <w:tcW w:w="1386" w:type="dxa"/>
            <w:tcBorders>
              <w:top w:val="nil"/>
              <w:left w:val="nil"/>
              <w:bottom w:val="nil"/>
              <w:right w:val="nil"/>
            </w:tcBorders>
          </w:tcPr>
          <w:p w14:paraId="3BCE994C" w14:textId="77777777" w:rsidR="00624105" w:rsidRPr="00C95105" w:rsidRDefault="00624105" w:rsidP="00532791">
            <w:pPr>
              <w:spacing w:after="120"/>
              <w:rPr>
                <w:rFonts w:asciiTheme="minorHAnsi" w:hAnsiTheme="minorHAnsi" w:cstheme="minorHAnsi"/>
                <w:bCs/>
                <w:sz w:val="22"/>
                <w:szCs w:val="22"/>
              </w:rPr>
            </w:pPr>
          </w:p>
        </w:tc>
        <w:tc>
          <w:tcPr>
            <w:tcW w:w="3633" w:type="dxa"/>
            <w:tcBorders>
              <w:top w:val="single" w:sz="4" w:space="0" w:color="auto"/>
              <w:left w:val="nil"/>
              <w:bottom w:val="single" w:sz="4" w:space="0" w:color="auto"/>
              <w:right w:val="nil"/>
            </w:tcBorders>
          </w:tcPr>
          <w:p w14:paraId="7FDBBF43"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Lack of organisational accommodation for sex-specific needs:</w:t>
            </w:r>
            <w:r w:rsidRPr="00C95105">
              <w:rPr>
                <w:rFonts w:asciiTheme="minorHAnsi" w:hAnsiTheme="minorHAnsi" w:cstheme="minorHAnsi"/>
                <w:bCs/>
                <w:sz w:val="22"/>
                <w:szCs w:val="22"/>
              </w:rPr>
              <w:t xml:space="preserve"> Lack of flexibility surrounding </w:t>
            </w:r>
            <w:r w:rsidRPr="00C95105">
              <w:rPr>
                <w:rFonts w:asciiTheme="minorHAnsi" w:hAnsiTheme="minorHAnsi" w:cstheme="minorHAnsi"/>
                <w:bCs/>
                <w:sz w:val="22"/>
                <w:szCs w:val="22"/>
              </w:rPr>
              <w:lastRenderedPageBreak/>
              <w:t>menstruation, pregnancy and menopause can place women in a uniquely vulnerable position. This leads to sex-based oppression of women. Regarding menstruation, women report having to conceal their menstruation despite experiencing physical and psychological disruptions or face gender policing.</w:t>
            </w:r>
          </w:p>
        </w:tc>
        <w:tc>
          <w:tcPr>
            <w:tcW w:w="4337" w:type="dxa"/>
            <w:tcBorders>
              <w:top w:val="single" w:sz="4" w:space="0" w:color="auto"/>
              <w:left w:val="nil"/>
              <w:bottom w:val="single" w:sz="4" w:space="0" w:color="auto"/>
              <w:right w:val="nil"/>
            </w:tcBorders>
          </w:tcPr>
          <w:p w14:paraId="2C45788F"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lastRenderedPageBreak/>
              <w:t>Prevention:</w:t>
            </w:r>
          </w:p>
          <w:p w14:paraId="002ECC50" w14:textId="77777777" w:rsidR="00624105" w:rsidRPr="00C95105" w:rsidRDefault="00624105" w:rsidP="0093280F">
            <w:pPr>
              <w:pStyle w:val="ListParagraph"/>
              <w:numPr>
                <w:ilvl w:val="0"/>
                <w:numId w:val="10"/>
              </w:numPr>
              <w:spacing w:after="120"/>
              <w:ind w:left="142" w:hanging="142"/>
              <w:contextualSpacing w:val="0"/>
              <w:rPr>
                <w:rFonts w:asciiTheme="minorHAnsi" w:hAnsiTheme="minorHAnsi" w:cstheme="minorHAnsi"/>
                <w:bCs/>
                <w:sz w:val="22"/>
                <w:szCs w:val="22"/>
              </w:rPr>
            </w:pPr>
            <w:bookmarkStart w:id="260" w:name="_Toc96866442"/>
            <w:bookmarkStart w:id="261" w:name="_Toc96866644"/>
            <w:bookmarkStart w:id="262" w:name="_Toc96878311"/>
            <w:r w:rsidRPr="00C95105">
              <w:rPr>
                <w:rFonts w:asciiTheme="minorHAnsi" w:hAnsiTheme="minorHAnsi" w:cstheme="minorHAnsi"/>
                <w:bCs/>
                <w:sz w:val="22"/>
                <w:szCs w:val="22"/>
              </w:rPr>
              <w:lastRenderedPageBreak/>
              <w:t>Provide formal policies regarding flexible working arrangements so that flexibility is not subject to individual supervisors.</w:t>
            </w:r>
            <w:bookmarkEnd w:id="260"/>
            <w:bookmarkEnd w:id="261"/>
            <w:bookmarkEnd w:id="262"/>
            <w:r w:rsidRPr="00C95105">
              <w:rPr>
                <w:rFonts w:asciiTheme="minorHAnsi" w:hAnsiTheme="minorHAnsi" w:cstheme="minorHAnsi"/>
                <w:bCs/>
                <w:sz w:val="22"/>
                <w:szCs w:val="22"/>
              </w:rPr>
              <w:t xml:space="preserve"> </w:t>
            </w:r>
          </w:p>
          <w:p w14:paraId="1E60BBAF" w14:textId="77777777" w:rsidR="00624105" w:rsidRPr="00C95105" w:rsidRDefault="00624105" w:rsidP="0093280F">
            <w:pPr>
              <w:pStyle w:val="ListParagraph"/>
              <w:numPr>
                <w:ilvl w:val="0"/>
                <w:numId w:val="10"/>
              </w:numPr>
              <w:spacing w:after="120"/>
              <w:ind w:left="142" w:hanging="142"/>
              <w:contextualSpacing w:val="0"/>
              <w:rPr>
                <w:rFonts w:asciiTheme="minorHAnsi" w:hAnsiTheme="minorHAnsi" w:cstheme="minorHAnsi"/>
                <w:bCs/>
                <w:sz w:val="22"/>
                <w:szCs w:val="22"/>
              </w:rPr>
            </w:pPr>
            <w:bookmarkStart w:id="263" w:name="_Toc96866443"/>
            <w:bookmarkStart w:id="264" w:name="_Toc96866645"/>
            <w:bookmarkStart w:id="265" w:name="_Toc96878312"/>
            <w:r w:rsidRPr="00C95105">
              <w:rPr>
                <w:rFonts w:asciiTheme="minorHAnsi" w:hAnsiTheme="minorHAnsi" w:cstheme="minorHAnsi"/>
                <w:bCs/>
                <w:sz w:val="22"/>
                <w:szCs w:val="22"/>
              </w:rPr>
              <w:t>Flexible arrangements may include working from home, time in lieu, flexible hours and job-share arrangements.</w:t>
            </w:r>
            <w:bookmarkEnd w:id="263"/>
            <w:bookmarkEnd w:id="264"/>
            <w:bookmarkEnd w:id="265"/>
            <w:r w:rsidRPr="00C95105">
              <w:rPr>
                <w:rFonts w:asciiTheme="minorHAnsi" w:hAnsiTheme="minorHAnsi" w:cstheme="minorHAnsi"/>
                <w:bCs/>
                <w:sz w:val="22"/>
                <w:szCs w:val="22"/>
              </w:rPr>
              <w:t xml:space="preserve"> </w:t>
            </w:r>
          </w:p>
          <w:p w14:paraId="000CD8E9" w14:textId="77777777" w:rsidR="00624105" w:rsidRPr="00C95105" w:rsidRDefault="00624105" w:rsidP="0093280F">
            <w:pPr>
              <w:pStyle w:val="ListParagraph"/>
              <w:numPr>
                <w:ilvl w:val="0"/>
                <w:numId w:val="10"/>
              </w:numPr>
              <w:spacing w:after="120"/>
              <w:ind w:left="142" w:hanging="142"/>
              <w:contextualSpacing w:val="0"/>
              <w:rPr>
                <w:rFonts w:asciiTheme="minorHAnsi" w:hAnsiTheme="minorHAnsi" w:cstheme="minorHAnsi"/>
                <w:bCs/>
                <w:sz w:val="22"/>
                <w:szCs w:val="22"/>
              </w:rPr>
            </w:pPr>
            <w:bookmarkStart w:id="266" w:name="_Toc96866444"/>
            <w:bookmarkStart w:id="267" w:name="_Toc96866646"/>
            <w:bookmarkStart w:id="268" w:name="_Toc96878313"/>
            <w:r w:rsidRPr="00C95105">
              <w:rPr>
                <w:rFonts w:asciiTheme="minorHAnsi" w:hAnsiTheme="minorHAnsi" w:cstheme="minorHAnsi"/>
                <w:bCs/>
                <w:sz w:val="22"/>
                <w:szCs w:val="22"/>
              </w:rPr>
              <w:t>Engage in communication and consultation with female employees to identify strategies that accommodate sex-specific concerns.</w:t>
            </w:r>
            <w:bookmarkEnd w:id="266"/>
            <w:bookmarkEnd w:id="267"/>
            <w:bookmarkEnd w:id="268"/>
            <w:r w:rsidRPr="00C95105">
              <w:rPr>
                <w:rFonts w:asciiTheme="minorHAnsi" w:hAnsiTheme="minorHAnsi" w:cstheme="minorHAnsi"/>
                <w:bCs/>
                <w:sz w:val="22"/>
                <w:szCs w:val="22"/>
              </w:rPr>
              <w:t xml:space="preserve"> </w:t>
            </w:r>
          </w:p>
        </w:tc>
      </w:tr>
      <w:tr w:rsidR="00624105" w:rsidRPr="00C95105" w14:paraId="37B326C2" w14:textId="77777777" w:rsidTr="00532791">
        <w:tc>
          <w:tcPr>
            <w:tcW w:w="1386" w:type="dxa"/>
            <w:tcBorders>
              <w:top w:val="nil"/>
              <w:left w:val="nil"/>
              <w:bottom w:val="single" w:sz="4" w:space="0" w:color="auto"/>
              <w:right w:val="nil"/>
            </w:tcBorders>
          </w:tcPr>
          <w:p w14:paraId="37B073D8" w14:textId="77777777" w:rsidR="00624105" w:rsidRPr="00C95105" w:rsidRDefault="00624105" w:rsidP="00532791">
            <w:pPr>
              <w:spacing w:after="120"/>
              <w:rPr>
                <w:rFonts w:asciiTheme="minorHAnsi" w:hAnsiTheme="minorHAnsi" w:cstheme="minorHAnsi"/>
                <w:bCs/>
                <w:sz w:val="22"/>
                <w:szCs w:val="22"/>
              </w:rPr>
            </w:pPr>
          </w:p>
        </w:tc>
        <w:tc>
          <w:tcPr>
            <w:tcW w:w="3633" w:type="dxa"/>
            <w:tcBorders>
              <w:top w:val="single" w:sz="4" w:space="0" w:color="auto"/>
              <w:left w:val="nil"/>
              <w:bottom w:val="single" w:sz="4" w:space="0" w:color="auto"/>
              <w:right w:val="nil"/>
            </w:tcBorders>
          </w:tcPr>
          <w:p w14:paraId="07590001"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Client relations:</w:t>
            </w:r>
            <w:r w:rsidRPr="00C95105">
              <w:rPr>
                <w:rFonts w:asciiTheme="minorHAnsi" w:hAnsiTheme="minorHAnsi" w:cstheme="minorHAnsi"/>
                <w:bCs/>
                <w:sz w:val="22"/>
                <w:szCs w:val="22"/>
              </w:rPr>
              <w:t xml:space="preserve"> Public facing roles are more likely to experience persistent instances of sexual harassment (e.g., sexist hostility, gender policing) and women are disproportionately likely to hold public facing roles (e.g., librarian, council administration, receptionist). The normalisation of sexual harassment is more common in high intensity environments (e.g., crisis response teams) due to a generally higher tolerance for abuse in these environments.  </w:t>
            </w:r>
          </w:p>
        </w:tc>
        <w:tc>
          <w:tcPr>
            <w:tcW w:w="4337" w:type="dxa"/>
            <w:tcBorders>
              <w:top w:val="single" w:sz="4" w:space="0" w:color="auto"/>
              <w:left w:val="nil"/>
              <w:bottom w:val="single" w:sz="4" w:space="0" w:color="auto"/>
              <w:right w:val="nil"/>
            </w:tcBorders>
          </w:tcPr>
          <w:p w14:paraId="7C61E227"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w:t>
            </w:r>
          </w:p>
          <w:p w14:paraId="522DF06C"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69" w:name="_Toc96866445"/>
            <w:bookmarkStart w:id="270" w:name="_Toc96866647"/>
            <w:bookmarkStart w:id="271" w:name="_Toc96878314"/>
            <w:r w:rsidRPr="00C95105">
              <w:rPr>
                <w:rFonts w:asciiTheme="minorHAnsi" w:hAnsiTheme="minorHAnsi" w:cstheme="minorHAnsi"/>
                <w:bCs/>
                <w:sz w:val="22"/>
                <w:szCs w:val="22"/>
              </w:rPr>
              <w:t>Give members of the community clear information about expected standards of behaviour while interacting with members of public agencies / departments, including zero tolerance for sexual harassment, preferably with plain language explanation of behaviours that will not be tolerated.</w:t>
            </w:r>
            <w:bookmarkEnd w:id="269"/>
            <w:bookmarkEnd w:id="270"/>
            <w:bookmarkEnd w:id="271"/>
            <w:r w:rsidRPr="00C95105">
              <w:rPr>
                <w:rFonts w:asciiTheme="minorHAnsi" w:hAnsiTheme="minorHAnsi" w:cstheme="minorHAnsi"/>
                <w:bCs/>
                <w:sz w:val="22"/>
                <w:szCs w:val="22"/>
              </w:rPr>
              <w:t xml:space="preserve"> </w:t>
            </w:r>
          </w:p>
          <w:p w14:paraId="476D3B9F"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72" w:name="_Toc96866446"/>
            <w:bookmarkStart w:id="273" w:name="_Toc96866648"/>
            <w:bookmarkStart w:id="274" w:name="_Toc96878315"/>
            <w:r w:rsidRPr="00C95105">
              <w:rPr>
                <w:rFonts w:asciiTheme="minorHAnsi" w:hAnsiTheme="minorHAnsi" w:cstheme="minorHAnsi"/>
                <w:bCs/>
                <w:sz w:val="22"/>
                <w:szCs w:val="22"/>
              </w:rPr>
              <w:t>Additional protocols should be introduced to manage cases of client- and contractor-perpetrated sexual harassment.</w:t>
            </w:r>
            <w:bookmarkEnd w:id="272"/>
            <w:bookmarkEnd w:id="273"/>
            <w:bookmarkEnd w:id="274"/>
            <w:r w:rsidRPr="00C95105">
              <w:rPr>
                <w:rFonts w:asciiTheme="minorHAnsi" w:hAnsiTheme="minorHAnsi" w:cstheme="minorHAnsi"/>
                <w:bCs/>
                <w:sz w:val="22"/>
                <w:szCs w:val="22"/>
              </w:rPr>
              <w:t xml:space="preserve"> </w:t>
            </w:r>
          </w:p>
          <w:p w14:paraId="44951B2D"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75" w:name="_Toc96866447"/>
            <w:bookmarkStart w:id="276" w:name="_Toc96866649"/>
            <w:bookmarkStart w:id="277" w:name="_Toc96878316"/>
            <w:r w:rsidRPr="00C95105">
              <w:rPr>
                <w:rFonts w:asciiTheme="minorHAnsi" w:hAnsiTheme="minorHAnsi" w:cstheme="minorHAnsi"/>
                <w:bCs/>
                <w:sz w:val="22"/>
                <w:szCs w:val="22"/>
              </w:rPr>
              <w:t>Challenge the normalisation of sexual harassment by addressing undesirable behaviour early and explicitly. Management support should be available when sexual harassment continues after it has been addressed.</w:t>
            </w:r>
            <w:bookmarkEnd w:id="275"/>
            <w:bookmarkEnd w:id="276"/>
            <w:bookmarkEnd w:id="277"/>
            <w:r w:rsidRPr="00C95105">
              <w:rPr>
                <w:rFonts w:asciiTheme="minorHAnsi" w:hAnsiTheme="minorHAnsi" w:cstheme="minorHAnsi"/>
                <w:bCs/>
                <w:sz w:val="22"/>
                <w:szCs w:val="22"/>
              </w:rPr>
              <w:t xml:space="preserve"> </w:t>
            </w:r>
          </w:p>
          <w:p w14:paraId="27407414"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78" w:name="_Toc96866448"/>
            <w:bookmarkStart w:id="279" w:name="_Toc96866650"/>
            <w:bookmarkStart w:id="280" w:name="_Toc96878317"/>
            <w:r w:rsidRPr="00C95105">
              <w:rPr>
                <w:rFonts w:asciiTheme="minorHAnsi" w:hAnsiTheme="minorHAnsi" w:cstheme="minorHAnsi"/>
                <w:bCs/>
                <w:sz w:val="22"/>
                <w:szCs w:val="22"/>
              </w:rPr>
              <w:t>Provide public-facing employees with training on how to identify, manage, and report sexual harassment from clients. Training for existing/long-term employees should also emphasise the organisations commitment to change the culture and prevent sexual harassment.</w:t>
            </w:r>
            <w:bookmarkEnd w:id="278"/>
            <w:bookmarkEnd w:id="279"/>
            <w:bookmarkEnd w:id="280"/>
            <w:r w:rsidRPr="00C95105">
              <w:rPr>
                <w:rFonts w:asciiTheme="minorHAnsi" w:hAnsiTheme="minorHAnsi" w:cstheme="minorHAnsi"/>
                <w:bCs/>
                <w:sz w:val="22"/>
                <w:szCs w:val="22"/>
              </w:rPr>
              <w:t xml:space="preserve"> </w:t>
            </w:r>
          </w:p>
          <w:p w14:paraId="6EB1D7DD"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81" w:name="_Toc96866449"/>
            <w:bookmarkStart w:id="282" w:name="_Toc96866651"/>
            <w:bookmarkStart w:id="283" w:name="_Toc96878318"/>
            <w:r w:rsidRPr="00C95105">
              <w:rPr>
                <w:rFonts w:asciiTheme="minorHAnsi" w:hAnsiTheme="minorHAnsi" w:cstheme="minorHAnsi"/>
                <w:bCs/>
                <w:sz w:val="22"/>
                <w:szCs w:val="22"/>
              </w:rPr>
              <w:t>Actively collect data regarding the incidence and experience of sexual harassment in public facing roles so that the onus of reporting is on the employer. Data can be collected formally (e.g., surveys, review meetings) or informally (e.g., emails asking, ongoing conversations with staff). Use this information to develop mitigation strategies in high-risk locations.</w:t>
            </w:r>
            <w:bookmarkEnd w:id="281"/>
            <w:bookmarkEnd w:id="282"/>
            <w:bookmarkEnd w:id="283"/>
            <w:r w:rsidRPr="00C95105">
              <w:rPr>
                <w:rFonts w:asciiTheme="minorHAnsi" w:hAnsiTheme="minorHAnsi" w:cstheme="minorHAnsi"/>
                <w:bCs/>
                <w:sz w:val="22"/>
                <w:szCs w:val="22"/>
              </w:rPr>
              <w:t xml:space="preserve"> </w:t>
            </w:r>
          </w:p>
        </w:tc>
      </w:tr>
    </w:tbl>
    <w:p w14:paraId="6EE2A27C" w14:textId="020F5B5C" w:rsidR="00624105" w:rsidRPr="00C95105" w:rsidRDefault="00624105" w:rsidP="00624105">
      <w:pPr>
        <w:spacing w:after="120"/>
        <w:rPr>
          <w:rFonts w:asciiTheme="minorHAnsi" w:hAnsiTheme="minorHAnsi" w:cstheme="minorBidi"/>
          <w:b/>
          <w:i/>
          <w:sz w:val="22"/>
          <w:szCs w:val="22"/>
        </w:rPr>
      </w:pPr>
    </w:p>
    <w:p w14:paraId="0E99B8DE" w14:textId="020F5B5C" w:rsidR="00354434" w:rsidRDefault="00354434" w:rsidP="00624105">
      <w:pPr>
        <w:spacing w:after="120"/>
        <w:rPr>
          <w:rFonts w:asciiTheme="minorHAnsi" w:hAnsiTheme="minorHAnsi" w:cstheme="minorBidi"/>
          <w:b/>
          <w:i/>
          <w:sz w:val="22"/>
          <w:szCs w:val="22"/>
        </w:rPr>
      </w:pPr>
    </w:p>
    <w:p w14:paraId="07917F26" w14:textId="020F5B5C" w:rsidR="00354434" w:rsidRDefault="00354434" w:rsidP="00624105">
      <w:pPr>
        <w:spacing w:after="120"/>
        <w:rPr>
          <w:rFonts w:asciiTheme="minorHAnsi" w:hAnsiTheme="minorHAnsi" w:cstheme="minorBidi"/>
          <w:b/>
          <w:i/>
          <w:sz w:val="22"/>
          <w:szCs w:val="22"/>
        </w:rPr>
      </w:pPr>
    </w:p>
    <w:p w14:paraId="0780703A" w14:textId="3A55C5C9" w:rsidR="00624105" w:rsidRPr="00354434" w:rsidRDefault="00624105" w:rsidP="00354434">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284" w:name="_Toc96957710"/>
      <w:r w:rsidRPr="00354434">
        <w:rPr>
          <w:rFonts w:asciiTheme="minorHAnsi" w:hAnsiTheme="minorHAnsi" w:cstheme="minorHAnsi"/>
          <w:b/>
          <w:bCs/>
          <w:i/>
          <w:iCs/>
          <w:color w:val="2F5496" w:themeColor="accent1" w:themeShade="BF"/>
          <w:sz w:val="22"/>
          <w:szCs w:val="22"/>
        </w:rPr>
        <w:lastRenderedPageBreak/>
        <w:t>Predictor Category 2: Social Factors</w:t>
      </w:r>
      <w:bookmarkEnd w:id="284"/>
    </w:p>
    <w:p w14:paraId="655E1A3D" w14:textId="77777777" w:rsidR="00624105" w:rsidRPr="00C95105" w:rsidRDefault="00624105" w:rsidP="00624105">
      <w:pPr>
        <w:spacing w:after="120"/>
        <w:ind w:firstLine="720"/>
        <w:rPr>
          <w:rFonts w:asciiTheme="minorHAnsi" w:hAnsiTheme="minorHAnsi" w:cstheme="minorHAnsi"/>
          <w:bCs/>
          <w:color w:val="0070C0"/>
          <w:sz w:val="22"/>
          <w:szCs w:val="22"/>
        </w:rPr>
      </w:pPr>
      <w:r w:rsidRPr="00C95105">
        <w:rPr>
          <w:rFonts w:asciiTheme="minorHAnsi" w:hAnsiTheme="minorHAnsi" w:cstheme="minorHAnsi"/>
          <w:bCs/>
          <w:sz w:val="22"/>
          <w:szCs w:val="22"/>
        </w:rPr>
        <w:t xml:space="preserve">In this section we examine how the social factors may influence incidents of sexual harassment in public sector organisations. Social factors are understood as cognitive and motivational factors that explicitly or implicitly underpin the way members of organisations interact with each other (i.e., values, beliefs and norms). Although the research in this section explores the influence of factors which are intimately woven within larger societies (e.g., national culture, religious contexts), we focus on the values, beliefs and norms within individual organisations. </w:t>
      </w:r>
    </w:p>
    <w:p w14:paraId="662186B3" w14:textId="77777777" w:rsidR="00624105" w:rsidRPr="00C95105" w:rsidRDefault="00624105" w:rsidP="00624105">
      <w:pPr>
        <w:spacing w:after="120"/>
        <w:rPr>
          <w:rFonts w:asciiTheme="minorHAnsi" w:hAnsiTheme="minorHAnsi" w:cstheme="minorHAnsi"/>
          <w:bCs/>
          <w:sz w:val="22"/>
          <w:szCs w:val="22"/>
        </w:rPr>
      </w:pPr>
    </w:p>
    <w:p w14:paraId="2F397A7D" w14:textId="79902936" w:rsidR="00624105" w:rsidRPr="00C95105" w:rsidRDefault="00624105" w:rsidP="00196B52">
      <w:pPr>
        <w:pStyle w:val="TableParagraph"/>
        <w:spacing w:after="120"/>
        <w:ind w:left="0"/>
        <w:rPr>
          <w:rFonts w:asciiTheme="minorHAnsi" w:hAnsiTheme="minorHAnsi" w:cstheme="minorHAnsi"/>
          <w:b/>
          <w:bCs/>
          <w:lang w:val="en-AU"/>
        </w:rPr>
      </w:pPr>
      <w:bookmarkStart w:id="285" w:name="_Toc96878648"/>
      <w:r w:rsidRPr="00C95105">
        <w:rPr>
          <w:rFonts w:asciiTheme="minorHAnsi" w:hAnsiTheme="minorHAnsi" w:cstheme="minorHAnsi"/>
          <w:b/>
          <w:bCs/>
          <w:lang w:val="en-AU"/>
        </w:rPr>
        <w:t xml:space="preserve">Table </w:t>
      </w:r>
      <w:r w:rsidR="00196B52" w:rsidRPr="00C95105">
        <w:rPr>
          <w:rFonts w:asciiTheme="minorHAnsi" w:hAnsiTheme="minorHAnsi" w:cstheme="minorHAnsi"/>
          <w:b/>
          <w:bCs/>
          <w:lang w:val="en-AU"/>
        </w:rPr>
        <w:t>4.</w:t>
      </w:r>
      <w:r w:rsidRPr="00C95105">
        <w:rPr>
          <w:rFonts w:asciiTheme="minorHAnsi" w:hAnsiTheme="minorHAnsi" w:cstheme="minorHAnsi"/>
          <w:b/>
          <w:bCs/>
          <w:lang w:val="en-AU"/>
        </w:rPr>
        <w:t xml:space="preserve">2. </w:t>
      </w:r>
      <w:r w:rsidRPr="00C95105">
        <w:rPr>
          <w:rFonts w:asciiTheme="minorHAnsi" w:hAnsiTheme="minorHAnsi" w:cstheme="minorHAnsi"/>
          <w:lang w:val="en-AU"/>
        </w:rPr>
        <w:t>Evidence of social factors influencing sexual harassment in the public sector</w:t>
      </w:r>
      <w:bookmarkEnd w:id="285"/>
    </w:p>
    <w:tbl>
      <w:tblPr>
        <w:tblStyle w:val="TableGrid"/>
        <w:tblW w:w="10019" w:type="dxa"/>
        <w:tblBorders>
          <w:left w:val="none" w:sz="0" w:space="0" w:color="auto"/>
          <w:right w:val="none" w:sz="0" w:space="0" w:color="auto"/>
          <w:insideV w:val="none" w:sz="0" w:space="0" w:color="auto"/>
        </w:tblBorders>
        <w:tblLook w:val="04A0" w:firstRow="1" w:lastRow="0" w:firstColumn="1" w:lastColumn="0" w:noHBand="0" w:noVBand="1"/>
      </w:tblPr>
      <w:tblGrid>
        <w:gridCol w:w="1637"/>
        <w:gridCol w:w="3377"/>
        <w:gridCol w:w="21"/>
        <w:gridCol w:w="39"/>
        <w:gridCol w:w="4424"/>
        <w:gridCol w:w="119"/>
        <w:gridCol w:w="402"/>
      </w:tblGrid>
      <w:tr w:rsidR="00624105" w:rsidRPr="00C95105" w14:paraId="4999D5A8" w14:textId="77777777" w:rsidTr="00196B52">
        <w:trPr>
          <w:gridAfter w:val="2"/>
          <w:wAfter w:w="521" w:type="dxa"/>
          <w:tblHeader/>
        </w:trPr>
        <w:tc>
          <w:tcPr>
            <w:tcW w:w="1637" w:type="dxa"/>
            <w:tcBorders>
              <w:bottom w:val="single" w:sz="4" w:space="0" w:color="auto"/>
            </w:tcBorders>
          </w:tcPr>
          <w:p w14:paraId="4B1CD1BF" w14:textId="419EB725" w:rsidR="00624105" w:rsidRPr="00C95105" w:rsidRDefault="00196B52"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Area</w:t>
            </w:r>
          </w:p>
        </w:tc>
        <w:tc>
          <w:tcPr>
            <w:tcW w:w="3437" w:type="dxa"/>
            <w:gridSpan w:val="3"/>
            <w:tcBorders>
              <w:bottom w:val="single" w:sz="4" w:space="0" w:color="auto"/>
            </w:tcBorders>
          </w:tcPr>
          <w:p w14:paraId="2BA7590A" w14:textId="77777777" w:rsidR="00624105" w:rsidRPr="00C95105" w:rsidRDefault="0062410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What the evidence says</w:t>
            </w:r>
          </w:p>
        </w:tc>
        <w:tc>
          <w:tcPr>
            <w:tcW w:w="4424" w:type="dxa"/>
            <w:tcBorders>
              <w:bottom w:val="single" w:sz="4" w:space="0" w:color="auto"/>
            </w:tcBorders>
          </w:tcPr>
          <w:p w14:paraId="4E0FA781" w14:textId="77777777" w:rsidR="00624105" w:rsidRPr="00C95105" w:rsidRDefault="0062410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Recommendations</w:t>
            </w:r>
          </w:p>
        </w:tc>
      </w:tr>
      <w:tr w:rsidR="00624105" w:rsidRPr="00C95105" w14:paraId="5F7815B1" w14:textId="77777777" w:rsidTr="00532791">
        <w:trPr>
          <w:gridAfter w:val="2"/>
          <w:wAfter w:w="521" w:type="dxa"/>
        </w:trPr>
        <w:tc>
          <w:tcPr>
            <w:tcW w:w="1637" w:type="dxa"/>
            <w:tcBorders>
              <w:top w:val="nil"/>
              <w:bottom w:val="nil"/>
            </w:tcBorders>
          </w:tcPr>
          <w:p w14:paraId="2DA6670C"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Conformity to dominant values</w:t>
            </w:r>
          </w:p>
        </w:tc>
        <w:tc>
          <w:tcPr>
            <w:tcW w:w="3437" w:type="dxa"/>
            <w:gridSpan w:val="3"/>
            <w:tcBorders>
              <w:top w:val="nil"/>
              <w:bottom w:val="single" w:sz="4" w:space="0" w:color="auto"/>
            </w:tcBorders>
          </w:tcPr>
          <w:p w14:paraId="63CC091B"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Masculinity as the dominant value</w:t>
            </w:r>
            <w:r w:rsidRPr="00C95105">
              <w:rPr>
                <w:rFonts w:asciiTheme="minorHAnsi" w:hAnsiTheme="minorHAnsi" w:cstheme="minorHAnsi"/>
                <w:bCs/>
                <w:sz w:val="22"/>
                <w:szCs w:val="22"/>
              </w:rPr>
              <w:t xml:space="preserve"> system is endemic in the public sector. In leadership positions, value is placed on stereotypically masculine traits such as competitiveness, dominance, assertiveness, and efficiency. Over emphasising the value of traditionally masculine traits leads to sexist hostility towards non-masculine employees. Behaviours which may be tolerated in male dominated groups (e.g., objectification of women) also contributes to incidences of sexual harassment.  </w:t>
            </w:r>
          </w:p>
        </w:tc>
        <w:tc>
          <w:tcPr>
            <w:tcW w:w="4424" w:type="dxa"/>
            <w:tcBorders>
              <w:top w:val="nil"/>
              <w:bottom w:val="single" w:sz="4" w:space="0" w:color="auto"/>
            </w:tcBorders>
          </w:tcPr>
          <w:p w14:paraId="2586312B"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w:t>
            </w:r>
          </w:p>
          <w:p w14:paraId="281908BA" w14:textId="587AEB73"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86" w:name="_Toc96866450"/>
            <w:bookmarkStart w:id="287" w:name="_Toc96866652"/>
            <w:bookmarkStart w:id="288" w:name="_Toc96878319"/>
            <w:r w:rsidRPr="00C95105">
              <w:rPr>
                <w:rFonts w:asciiTheme="minorHAnsi" w:hAnsiTheme="minorHAnsi" w:cstheme="minorHAnsi"/>
                <w:bCs/>
                <w:sz w:val="22"/>
                <w:szCs w:val="22"/>
              </w:rPr>
              <w:t xml:space="preserve">Review the values and behaviours organisations are </w:t>
            </w:r>
            <w:r w:rsidRPr="00C95105">
              <w:rPr>
                <w:rFonts w:asciiTheme="minorHAnsi" w:hAnsiTheme="minorHAnsi" w:cstheme="minorHAnsi"/>
                <w:sz w:val="22"/>
                <w:szCs w:val="22"/>
              </w:rPr>
              <w:t>using to select, evaluate</w:t>
            </w:r>
            <w:r w:rsidRPr="00C95105">
              <w:rPr>
                <w:rFonts w:asciiTheme="minorHAnsi" w:hAnsiTheme="minorHAnsi" w:cstheme="minorHAnsi"/>
                <w:bCs/>
                <w:sz w:val="22"/>
                <w:szCs w:val="22"/>
              </w:rPr>
              <w:t xml:space="preserve"> and </w:t>
            </w:r>
            <w:r w:rsidRPr="00C95105">
              <w:rPr>
                <w:rFonts w:asciiTheme="minorHAnsi" w:hAnsiTheme="minorHAnsi" w:cstheme="minorHAnsi"/>
                <w:sz w:val="22"/>
                <w:szCs w:val="22"/>
              </w:rPr>
              <w:t>promote</w:t>
            </w:r>
            <w:r w:rsidRPr="00C95105">
              <w:rPr>
                <w:rFonts w:asciiTheme="minorHAnsi" w:hAnsiTheme="minorHAnsi" w:cstheme="minorHAnsi"/>
                <w:bCs/>
                <w:sz w:val="22"/>
                <w:szCs w:val="22"/>
              </w:rPr>
              <w:t xml:space="preserve"> staff</w:t>
            </w:r>
            <w:r w:rsidRPr="00C95105">
              <w:rPr>
                <w:rFonts w:asciiTheme="minorHAnsi" w:hAnsiTheme="minorHAnsi" w:cstheme="minorHAnsi"/>
                <w:sz w:val="22"/>
                <w:szCs w:val="22"/>
              </w:rPr>
              <w:t>.</w:t>
            </w:r>
            <w:r w:rsidRPr="00C95105">
              <w:rPr>
                <w:rFonts w:asciiTheme="minorHAnsi" w:hAnsiTheme="minorHAnsi" w:cstheme="minorHAnsi"/>
                <w:bCs/>
                <w:sz w:val="22"/>
                <w:szCs w:val="22"/>
              </w:rPr>
              <w:t xml:space="preserve"> Moving away from masculinity as the only value system requires employers consider how </w:t>
            </w:r>
            <w:r w:rsidR="00640DA8" w:rsidRPr="00C95105">
              <w:rPr>
                <w:rFonts w:asciiTheme="minorHAnsi" w:hAnsiTheme="minorHAnsi" w:cstheme="minorHAnsi"/>
                <w:bCs/>
                <w:sz w:val="22"/>
                <w:szCs w:val="22"/>
              </w:rPr>
              <w:t xml:space="preserve">everyday practices </w:t>
            </w:r>
            <w:r w:rsidR="0068493F" w:rsidRPr="00C95105">
              <w:rPr>
                <w:rFonts w:asciiTheme="minorHAnsi" w:hAnsiTheme="minorHAnsi" w:cstheme="minorHAnsi"/>
                <w:bCs/>
                <w:sz w:val="22"/>
                <w:szCs w:val="22"/>
              </w:rPr>
              <w:t>underpinned by masculine behaviours and defaults</w:t>
            </w:r>
            <w:r w:rsidRPr="00C95105">
              <w:rPr>
                <w:rFonts w:asciiTheme="minorHAnsi" w:hAnsiTheme="minorHAnsi" w:cstheme="minorHAnsi"/>
                <w:bCs/>
                <w:sz w:val="22"/>
                <w:szCs w:val="22"/>
              </w:rPr>
              <w:t xml:space="preserve"> </w:t>
            </w:r>
            <w:r w:rsidR="0068493F" w:rsidRPr="00C95105">
              <w:rPr>
                <w:rFonts w:asciiTheme="minorHAnsi" w:hAnsiTheme="minorHAnsi" w:cstheme="minorHAnsi"/>
                <w:bCs/>
                <w:sz w:val="22"/>
                <w:szCs w:val="22"/>
              </w:rPr>
              <w:t>are</w:t>
            </w:r>
            <w:r w:rsidRPr="00C95105">
              <w:rPr>
                <w:rFonts w:asciiTheme="minorHAnsi" w:hAnsiTheme="minorHAnsi" w:cstheme="minorHAnsi"/>
                <w:bCs/>
                <w:sz w:val="22"/>
                <w:szCs w:val="22"/>
              </w:rPr>
              <w:t xml:space="preserve"> contributing to culture.</w:t>
            </w:r>
            <w:bookmarkEnd w:id="286"/>
            <w:bookmarkEnd w:id="287"/>
            <w:bookmarkEnd w:id="288"/>
            <w:r w:rsidRPr="00C95105">
              <w:rPr>
                <w:rFonts w:asciiTheme="minorHAnsi" w:hAnsiTheme="minorHAnsi" w:cstheme="minorHAnsi"/>
                <w:bCs/>
                <w:sz w:val="22"/>
                <w:szCs w:val="22"/>
              </w:rPr>
              <w:t xml:space="preserve"> </w:t>
            </w:r>
          </w:p>
          <w:p w14:paraId="637093B2"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89" w:name="_Toc96866451"/>
            <w:bookmarkStart w:id="290" w:name="_Toc96866653"/>
            <w:bookmarkStart w:id="291" w:name="_Toc96878320"/>
            <w:r w:rsidRPr="00C95105">
              <w:rPr>
                <w:rFonts w:asciiTheme="minorHAnsi" w:hAnsiTheme="minorHAnsi" w:cstheme="minorHAnsi"/>
                <w:bCs/>
                <w:sz w:val="22"/>
                <w:szCs w:val="22"/>
              </w:rPr>
              <w:t>Create key performance indicators and systems that reward employees who demonstrate organisational citizenship, cooperation, and mentoring.</w:t>
            </w:r>
            <w:bookmarkEnd w:id="289"/>
            <w:bookmarkEnd w:id="290"/>
            <w:bookmarkEnd w:id="291"/>
          </w:p>
          <w:p w14:paraId="70DF027B"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92" w:name="_Toc96866452"/>
            <w:bookmarkStart w:id="293" w:name="_Toc96866654"/>
            <w:bookmarkStart w:id="294" w:name="_Toc96878321"/>
            <w:r w:rsidRPr="00C95105">
              <w:rPr>
                <w:rFonts w:asciiTheme="minorHAnsi" w:hAnsiTheme="minorHAnsi" w:cstheme="minorHAnsi"/>
                <w:bCs/>
                <w:sz w:val="22"/>
                <w:szCs w:val="22"/>
              </w:rPr>
              <w:t>Engage in consultations (e.g., focus groups, 1:1 interviews) with employees to identify key behaviours and policies that reinforce the value of masculinity. Managers should then review what can reasonably be changed without disrupting key department operations.</w:t>
            </w:r>
            <w:bookmarkEnd w:id="292"/>
            <w:bookmarkEnd w:id="293"/>
            <w:bookmarkEnd w:id="294"/>
            <w:r w:rsidRPr="00C95105">
              <w:rPr>
                <w:rFonts w:asciiTheme="minorHAnsi" w:hAnsiTheme="minorHAnsi" w:cstheme="minorHAnsi"/>
                <w:bCs/>
                <w:sz w:val="22"/>
                <w:szCs w:val="22"/>
              </w:rPr>
              <w:t xml:space="preserve"> </w:t>
            </w:r>
          </w:p>
          <w:p w14:paraId="366F1B53"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95" w:name="_Toc96866453"/>
            <w:bookmarkStart w:id="296" w:name="_Toc96866655"/>
            <w:bookmarkStart w:id="297" w:name="_Toc96878322"/>
            <w:r w:rsidRPr="00C95105">
              <w:rPr>
                <w:rFonts w:asciiTheme="minorHAnsi" w:hAnsiTheme="minorHAnsi" w:cstheme="minorHAnsi"/>
                <w:bCs/>
                <w:sz w:val="22"/>
                <w:szCs w:val="22"/>
              </w:rPr>
              <w:t>Messaging around prevention and management of sexual harassment needs to be targeted towards all genders (i.e., not just a “women’s issue”, but an issue that also affects men and consequently, reform will also benefit men).</w:t>
            </w:r>
            <w:bookmarkEnd w:id="295"/>
            <w:bookmarkEnd w:id="296"/>
            <w:bookmarkEnd w:id="297"/>
          </w:p>
        </w:tc>
      </w:tr>
      <w:tr w:rsidR="00624105" w:rsidRPr="00C95105" w14:paraId="73154DAA" w14:textId="77777777" w:rsidTr="00532791">
        <w:trPr>
          <w:gridAfter w:val="2"/>
          <w:wAfter w:w="521" w:type="dxa"/>
        </w:trPr>
        <w:tc>
          <w:tcPr>
            <w:tcW w:w="1637" w:type="dxa"/>
            <w:tcBorders>
              <w:top w:val="nil"/>
              <w:bottom w:val="single" w:sz="4" w:space="0" w:color="auto"/>
            </w:tcBorders>
          </w:tcPr>
          <w:p w14:paraId="1CE51FA3" w14:textId="77777777" w:rsidR="00624105" w:rsidRPr="00C95105" w:rsidRDefault="00624105" w:rsidP="00532791">
            <w:pPr>
              <w:spacing w:after="120"/>
              <w:rPr>
                <w:rFonts w:asciiTheme="minorHAnsi" w:hAnsiTheme="minorHAnsi" w:cstheme="minorHAnsi"/>
                <w:bCs/>
                <w:sz w:val="22"/>
                <w:szCs w:val="22"/>
              </w:rPr>
            </w:pPr>
          </w:p>
        </w:tc>
        <w:tc>
          <w:tcPr>
            <w:tcW w:w="3437" w:type="dxa"/>
            <w:gridSpan w:val="3"/>
            <w:tcBorders>
              <w:top w:val="single" w:sz="4" w:space="0" w:color="auto"/>
              <w:bottom w:val="single" w:sz="4" w:space="0" w:color="auto"/>
            </w:tcBorders>
          </w:tcPr>
          <w:p w14:paraId="1CFB7F1E"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Explicit and implicit dress codes</w:t>
            </w:r>
            <w:r w:rsidRPr="00C95105">
              <w:rPr>
                <w:rFonts w:asciiTheme="minorHAnsi" w:hAnsiTheme="minorHAnsi" w:cstheme="minorHAnsi"/>
                <w:bCs/>
                <w:sz w:val="22"/>
                <w:szCs w:val="22"/>
              </w:rPr>
              <w:t xml:space="preserve"> create opportunities for sexual harassment at work. Formal workplace restrictions are targeted disproportionately at women’s dress (e.g., high heels, make-up, no short skirts). When employees dress outside the dominant implicit dress code for their gender, they are more likely to face sexual harassment. Finally, standards of dress are traditionally based on white/western grooming standards, </w:t>
            </w:r>
            <w:r w:rsidRPr="00C95105">
              <w:rPr>
                <w:rFonts w:asciiTheme="minorHAnsi" w:hAnsiTheme="minorHAnsi" w:cstheme="minorHAnsi"/>
                <w:bCs/>
                <w:sz w:val="22"/>
                <w:szCs w:val="22"/>
              </w:rPr>
              <w:lastRenderedPageBreak/>
              <w:t>which can further isolate people who wear ethnic or religious items (e.g., hijab).</w:t>
            </w:r>
          </w:p>
        </w:tc>
        <w:tc>
          <w:tcPr>
            <w:tcW w:w="4424" w:type="dxa"/>
            <w:tcBorders>
              <w:top w:val="single" w:sz="4" w:space="0" w:color="auto"/>
              <w:bottom w:val="single" w:sz="4" w:space="0" w:color="auto"/>
            </w:tcBorders>
          </w:tcPr>
          <w:p w14:paraId="77485FA3"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lastRenderedPageBreak/>
              <w:t>Prevention:</w:t>
            </w:r>
          </w:p>
          <w:p w14:paraId="2E89E3D5"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298" w:name="_Toc96866454"/>
            <w:bookmarkStart w:id="299" w:name="_Toc96866656"/>
            <w:bookmarkStart w:id="300" w:name="_Toc96878323"/>
            <w:r w:rsidRPr="00C95105">
              <w:rPr>
                <w:rFonts w:asciiTheme="minorHAnsi" w:hAnsiTheme="minorHAnsi" w:cstheme="minorHAnsi"/>
                <w:bCs/>
                <w:sz w:val="22"/>
                <w:szCs w:val="22"/>
              </w:rPr>
              <w:t>Avoid prescribing dress codes that are specific to men and women. Decisions regarding what is acceptable work attire should be based on safety (e.g., open toe shoes) and not sex-specific appearance (e.g., make-up, earrings).</w:t>
            </w:r>
            <w:bookmarkEnd w:id="298"/>
            <w:bookmarkEnd w:id="299"/>
            <w:bookmarkEnd w:id="300"/>
          </w:p>
          <w:p w14:paraId="7AF62057"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01" w:name="_Toc96866455"/>
            <w:bookmarkStart w:id="302" w:name="_Toc96866657"/>
            <w:bookmarkStart w:id="303" w:name="_Toc96878324"/>
            <w:r w:rsidRPr="00C95105">
              <w:rPr>
                <w:rFonts w:asciiTheme="minorHAnsi" w:hAnsiTheme="minorHAnsi" w:cstheme="minorHAnsi"/>
                <w:bCs/>
                <w:sz w:val="22"/>
                <w:szCs w:val="22"/>
              </w:rPr>
              <w:t>Under no circumstances should an employee’s choice of clothing be accepted as justification for sexual harassment.</w:t>
            </w:r>
            <w:bookmarkEnd w:id="301"/>
            <w:bookmarkEnd w:id="302"/>
            <w:bookmarkEnd w:id="303"/>
            <w:r w:rsidRPr="00C95105">
              <w:rPr>
                <w:rFonts w:asciiTheme="minorHAnsi" w:hAnsiTheme="minorHAnsi" w:cstheme="minorHAnsi"/>
                <w:bCs/>
                <w:sz w:val="22"/>
                <w:szCs w:val="22"/>
              </w:rPr>
              <w:t xml:space="preserve"> </w:t>
            </w:r>
          </w:p>
          <w:p w14:paraId="4F43B220"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04" w:name="_Toc96866456"/>
            <w:bookmarkStart w:id="305" w:name="_Toc96866658"/>
            <w:bookmarkStart w:id="306" w:name="_Toc96878325"/>
            <w:r w:rsidRPr="00C95105">
              <w:rPr>
                <w:rFonts w:asciiTheme="minorHAnsi" w:hAnsiTheme="minorHAnsi" w:cstheme="minorHAnsi"/>
                <w:bCs/>
                <w:sz w:val="22"/>
                <w:szCs w:val="22"/>
              </w:rPr>
              <w:lastRenderedPageBreak/>
              <w:t>Cultural intelligence training might help reduce the policing of clothing and appearance of ethnic minority workers.</w:t>
            </w:r>
            <w:bookmarkEnd w:id="304"/>
            <w:bookmarkEnd w:id="305"/>
            <w:bookmarkEnd w:id="306"/>
            <w:r w:rsidRPr="00C95105">
              <w:rPr>
                <w:rFonts w:asciiTheme="minorHAnsi" w:hAnsiTheme="minorHAnsi" w:cstheme="minorHAnsi"/>
                <w:bCs/>
                <w:sz w:val="22"/>
                <w:szCs w:val="22"/>
              </w:rPr>
              <w:t xml:space="preserve"> </w:t>
            </w:r>
          </w:p>
        </w:tc>
      </w:tr>
      <w:tr w:rsidR="00624105" w:rsidRPr="00C95105" w14:paraId="039D6BA2" w14:textId="77777777" w:rsidTr="00532791">
        <w:tblPrEx>
          <w:tblBorders>
            <w:left w:val="single" w:sz="4" w:space="0" w:color="auto"/>
            <w:right w:val="single" w:sz="4" w:space="0" w:color="auto"/>
            <w:insideV w:val="single" w:sz="4" w:space="0" w:color="auto"/>
          </w:tblBorders>
        </w:tblPrEx>
        <w:trPr>
          <w:gridAfter w:val="2"/>
          <w:wAfter w:w="521" w:type="dxa"/>
        </w:trPr>
        <w:tc>
          <w:tcPr>
            <w:tcW w:w="1637" w:type="dxa"/>
            <w:tcBorders>
              <w:left w:val="nil"/>
              <w:bottom w:val="nil"/>
              <w:right w:val="nil"/>
            </w:tcBorders>
          </w:tcPr>
          <w:p w14:paraId="13515D02"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lastRenderedPageBreak/>
              <w:t>Organisational Tolerance</w:t>
            </w:r>
          </w:p>
        </w:tc>
        <w:tc>
          <w:tcPr>
            <w:tcW w:w="3398" w:type="dxa"/>
            <w:gridSpan w:val="2"/>
            <w:tcBorders>
              <w:left w:val="nil"/>
              <w:bottom w:val="nil"/>
              <w:right w:val="nil"/>
            </w:tcBorders>
          </w:tcPr>
          <w:p w14:paraId="3369DF15"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i/>
                <w:sz w:val="22"/>
                <w:szCs w:val="22"/>
              </w:rPr>
              <w:t>Failure to define appropriate standards of behaviour</w:t>
            </w:r>
            <w:r w:rsidRPr="00C95105">
              <w:rPr>
                <w:rFonts w:asciiTheme="minorHAnsi" w:hAnsiTheme="minorHAnsi" w:cstheme="minorHAnsi"/>
                <w:bCs/>
                <w:sz w:val="22"/>
                <w:szCs w:val="22"/>
              </w:rPr>
              <w:t xml:space="preserve"> </w:t>
            </w:r>
            <w:r w:rsidRPr="00C95105">
              <w:rPr>
                <w:rFonts w:asciiTheme="minorHAnsi" w:hAnsiTheme="minorHAnsi" w:cstheme="minorHAnsi"/>
                <w:bCs/>
                <w:i/>
                <w:iCs/>
                <w:sz w:val="22"/>
                <w:szCs w:val="22"/>
              </w:rPr>
              <w:t>and consequences</w:t>
            </w:r>
            <w:r w:rsidRPr="00C95105">
              <w:rPr>
                <w:rFonts w:asciiTheme="minorHAnsi" w:hAnsiTheme="minorHAnsi" w:cstheme="minorHAnsi"/>
                <w:bCs/>
                <w:sz w:val="22"/>
                <w:szCs w:val="22"/>
              </w:rPr>
              <w:t xml:space="preserve"> for failing to meet those standards creates ambiguity for both instigators and victims. Surveys of employees reveal that both men and women struggle to clearly articulate what behaviours are deemed appropriate in their workplace.  </w:t>
            </w:r>
          </w:p>
        </w:tc>
        <w:tc>
          <w:tcPr>
            <w:tcW w:w="4463" w:type="dxa"/>
            <w:gridSpan w:val="2"/>
            <w:tcBorders>
              <w:left w:val="nil"/>
              <w:bottom w:val="single" w:sz="4" w:space="0" w:color="auto"/>
              <w:right w:val="nil"/>
            </w:tcBorders>
          </w:tcPr>
          <w:p w14:paraId="7F9FFBCC"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w:t>
            </w:r>
          </w:p>
          <w:p w14:paraId="378BB2C7"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07" w:name="_Toc96866457"/>
            <w:bookmarkStart w:id="308" w:name="_Toc96866659"/>
            <w:bookmarkStart w:id="309" w:name="_Toc96878326"/>
            <w:r w:rsidRPr="00C95105">
              <w:rPr>
                <w:rFonts w:asciiTheme="minorHAnsi" w:hAnsiTheme="minorHAnsi" w:cstheme="minorHAnsi"/>
                <w:bCs/>
                <w:sz w:val="22"/>
                <w:szCs w:val="22"/>
              </w:rPr>
              <w:t xml:space="preserve">Policies should include clear </w:t>
            </w:r>
            <w:r w:rsidRPr="00C95105">
              <w:rPr>
                <w:rFonts w:asciiTheme="minorHAnsi" w:hAnsiTheme="minorHAnsi" w:cstheme="minorHAnsi"/>
                <w:sz w:val="22"/>
                <w:szCs w:val="22"/>
              </w:rPr>
              <w:t xml:space="preserve">information about </w:t>
            </w:r>
            <w:r w:rsidRPr="00C95105">
              <w:rPr>
                <w:rFonts w:asciiTheme="minorHAnsi" w:hAnsiTheme="minorHAnsi" w:cstheme="minorHAnsi"/>
                <w:bCs/>
                <w:sz w:val="22"/>
                <w:szCs w:val="22"/>
              </w:rPr>
              <w:t xml:space="preserve">expected standards of behaviour at work and any related </w:t>
            </w:r>
            <w:r w:rsidRPr="00C95105">
              <w:rPr>
                <w:rFonts w:asciiTheme="minorHAnsi" w:hAnsiTheme="minorHAnsi" w:cstheme="minorHAnsi"/>
                <w:sz w:val="22"/>
                <w:szCs w:val="22"/>
              </w:rPr>
              <w:t xml:space="preserve">interactions </w:t>
            </w:r>
            <w:r w:rsidRPr="00C95105">
              <w:rPr>
                <w:rFonts w:asciiTheme="minorHAnsi" w:hAnsiTheme="minorHAnsi" w:cstheme="minorHAnsi"/>
                <w:bCs/>
                <w:sz w:val="22"/>
                <w:szCs w:val="22"/>
              </w:rPr>
              <w:t>(e.g., online communication, professional events, outside-work events with colleagues).</w:t>
            </w:r>
            <w:bookmarkEnd w:id="307"/>
            <w:bookmarkEnd w:id="308"/>
            <w:bookmarkEnd w:id="309"/>
          </w:p>
          <w:p w14:paraId="055644E7" w14:textId="592E36E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10" w:name="_Toc96866458"/>
            <w:bookmarkStart w:id="311" w:name="_Toc96866660"/>
            <w:bookmarkStart w:id="312" w:name="_Toc96878327"/>
            <w:r w:rsidRPr="00C95105">
              <w:rPr>
                <w:rFonts w:asciiTheme="minorHAnsi" w:hAnsiTheme="minorHAnsi" w:cstheme="minorHAnsi"/>
                <w:bCs/>
                <w:sz w:val="22"/>
                <w:szCs w:val="22"/>
              </w:rPr>
              <w:t xml:space="preserve">Describe consequences for different forms of sexual harassment in policies. Due to the complexity of sexual harassment, policies must </w:t>
            </w:r>
            <w:r w:rsidR="00D25E1A" w:rsidRPr="00C95105">
              <w:rPr>
                <w:rFonts w:asciiTheme="minorHAnsi" w:hAnsiTheme="minorHAnsi" w:cstheme="minorHAnsi"/>
                <w:bCs/>
                <w:sz w:val="22"/>
                <w:szCs w:val="22"/>
              </w:rPr>
              <w:t xml:space="preserve">be </w:t>
            </w:r>
            <w:r w:rsidRPr="00C95105">
              <w:rPr>
                <w:rFonts w:asciiTheme="minorHAnsi" w:hAnsiTheme="minorHAnsi" w:cstheme="minorHAnsi"/>
                <w:bCs/>
                <w:sz w:val="22"/>
                <w:szCs w:val="22"/>
              </w:rPr>
              <w:t xml:space="preserve">specific and </w:t>
            </w:r>
            <w:r w:rsidR="00E85EA1" w:rsidRPr="00C95105">
              <w:rPr>
                <w:rFonts w:asciiTheme="minorHAnsi" w:hAnsiTheme="minorHAnsi" w:cstheme="minorHAnsi"/>
                <w:bCs/>
                <w:sz w:val="22"/>
                <w:szCs w:val="22"/>
              </w:rPr>
              <w:t xml:space="preserve">clarify </w:t>
            </w:r>
            <w:r w:rsidR="00A90AA6" w:rsidRPr="00C95105">
              <w:rPr>
                <w:rFonts w:asciiTheme="minorHAnsi" w:hAnsiTheme="minorHAnsi" w:cstheme="minorHAnsi"/>
                <w:bCs/>
                <w:sz w:val="22"/>
                <w:szCs w:val="22"/>
              </w:rPr>
              <w:t>how different cases can be managed</w:t>
            </w:r>
            <w:r w:rsidRPr="00C95105">
              <w:rPr>
                <w:rFonts w:asciiTheme="minorHAnsi" w:hAnsiTheme="minorHAnsi" w:cstheme="minorHAnsi"/>
                <w:bCs/>
                <w:sz w:val="22"/>
                <w:szCs w:val="22"/>
              </w:rPr>
              <w:t>.</w:t>
            </w:r>
            <w:bookmarkEnd w:id="310"/>
            <w:bookmarkEnd w:id="311"/>
            <w:bookmarkEnd w:id="312"/>
            <w:r w:rsidRPr="00C95105">
              <w:rPr>
                <w:rFonts w:asciiTheme="minorHAnsi" w:hAnsiTheme="minorHAnsi" w:cstheme="minorHAnsi"/>
                <w:bCs/>
                <w:sz w:val="22"/>
                <w:szCs w:val="22"/>
              </w:rPr>
              <w:t xml:space="preserve"> </w:t>
            </w:r>
          </w:p>
          <w:p w14:paraId="599E05C4"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13" w:name="_Toc96866459"/>
            <w:bookmarkStart w:id="314" w:name="_Toc96866661"/>
            <w:bookmarkStart w:id="315" w:name="_Toc96878328"/>
            <w:r w:rsidRPr="00C95105">
              <w:rPr>
                <w:rFonts w:asciiTheme="minorHAnsi" w:hAnsiTheme="minorHAnsi" w:cstheme="minorHAnsi"/>
                <w:bCs/>
                <w:sz w:val="22"/>
                <w:szCs w:val="22"/>
              </w:rPr>
              <w:t>Definitions of expected standards of</w:t>
            </w:r>
            <w:r w:rsidRPr="00C95105">
              <w:rPr>
                <w:rFonts w:asciiTheme="minorHAnsi" w:hAnsiTheme="minorHAnsi" w:cstheme="minorHAnsi"/>
                <w:sz w:val="22"/>
                <w:szCs w:val="22"/>
              </w:rPr>
              <w:t xml:space="preserve"> behaviour</w:t>
            </w:r>
            <w:r w:rsidRPr="00C95105">
              <w:rPr>
                <w:rFonts w:asciiTheme="minorHAnsi" w:hAnsiTheme="minorHAnsi" w:cstheme="minorHAnsi"/>
                <w:bCs/>
                <w:sz w:val="22"/>
                <w:szCs w:val="22"/>
              </w:rPr>
              <w:t xml:space="preserve"> should be uniform across all individuals and sectors of the organisation, regardless of age, race, gender, sexuality or employment type.</w:t>
            </w:r>
            <w:bookmarkEnd w:id="313"/>
            <w:bookmarkEnd w:id="314"/>
            <w:bookmarkEnd w:id="315"/>
            <w:r w:rsidRPr="00C95105">
              <w:rPr>
                <w:rFonts w:asciiTheme="minorHAnsi" w:hAnsiTheme="minorHAnsi" w:cstheme="minorHAnsi"/>
                <w:bCs/>
                <w:sz w:val="22"/>
                <w:szCs w:val="22"/>
              </w:rPr>
              <w:t xml:space="preserve"> </w:t>
            </w:r>
          </w:p>
          <w:p w14:paraId="1E5024B8"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16" w:name="_Toc96866460"/>
            <w:bookmarkStart w:id="317" w:name="_Toc96866662"/>
            <w:bookmarkStart w:id="318" w:name="_Toc96878329"/>
            <w:r w:rsidRPr="00C95105">
              <w:rPr>
                <w:rFonts w:asciiTheme="minorHAnsi" w:hAnsiTheme="minorHAnsi" w:cstheme="minorHAnsi"/>
                <w:bCs/>
                <w:sz w:val="22"/>
                <w:szCs w:val="22"/>
              </w:rPr>
              <w:t>Simple visual tools (e.g., posters) can be introduced in shared workplaces (e.g., kitchens, bathrooms) to identify unacceptable behaviour. Messaging should be simple, clear and direct.</w:t>
            </w:r>
            <w:bookmarkEnd w:id="316"/>
            <w:bookmarkEnd w:id="317"/>
            <w:bookmarkEnd w:id="318"/>
            <w:r w:rsidRPr="00C95105">
              <w:rPr>
                <w:rFonts w:asciiTheme="minorHAnsi" w:hAnsiTheme="minorHAnsi" w:cstheme="minorHAnsi"/>
                <w:bCs/>
                <w:sz w:val="22"/>
                <w:szCs w:val="22"/>
              </w:rPr>
              <w:t xml:space="preserve"> </w:t>
            </w:r>
          </w:p>
        </w:tc>
      </w:tr>
      <w:tr w:rsidR="00624105" w:rsidRPr="00C95105" w14:paraId="33E6DDEF" w14:textId="77777777" w:rsidTr="00532791">
        <w:tblPrEx>
          <w:tblBorders>
            <w:left w:val="single" w:sz="4" w:space="0" w:color="auto"/>
            <w:right w:val="single" w:sz="4" w:space="0" w:color="auto"/>
            <w:insideV w:val="single" w:sz="4" w:space="0" w:color="auto"/>
          </w:tblBorders>
        </w:tblPrEx>
        <w:trPr>
          <w:gridAfter w:val="2"/>
          <w:wAfter w:w="521" w:type="dxa"/>
        </w:trPr>
        <w:tc>
          <w:tcPr>
            <w:tcW w:w="1637" w:type="dxa"/>
            <w:tcBorders>
              <w:top w:val="nil"/>
              <w:left w:val="nil"/>
              <w:bottom w:val="nil"/>
              <w:right w:val="nil"/>
            </w:tcBorders>
          </w:tcPr>
          <w:p w14:paraId="4936CF96" w14:textId="77777777" w:rsidR="00624105" w:rsidRPr="00C95105" w:rsidRDefault="00624105" w:rsidP="00532791">
            <w:pPr>
              <w:spacing w:after="120"/>
              <w:rPr>
                <w:rFonts w:asciiTheme="minorHAnsi" w:hAnsiTheme="minorHAnsi" w:cstheme="minorHAnsi"/>
                <w:bCs/>
                <w:sz w:val="22"/>
                <w:szCs w:val="22"/>
              </w:rPr>
            </w:pPr>
          </w:p>
        </w:tc>
        <w:tc>
          <w:tcPr>
            <w:tcW w:w="3398" w:type="dxa"/>
            <w:gridSpan w:val="2"/>
            <w:tcBorders>
              <w:top w:val="nil"/>
              <w:left w:val="nil"/>
              <w:bottom w:val="single" w:sz="4" w:space="0" w:color="auto"/>
              <w:right w:val="nil"/>
            </w:tcBorders>
          </w:tcPr>
          <w:p w14:paraId="56C68E00" w14:textId="77777777" w:rsidR="00624105" w:rsidRPr="00C95105" w:rsidRDefault="00624105" w:rsidP="00532791">
            <w:pPr>
              <w:spacing w:after="120"/>
              <w:rPr>
                <w:rFonts w:asciiTheme="minorHAnsi" w:hAnsiTheme="minorHAnsi" w:cstheme="minorHAnsi"/>
                <w:i/>
                <w:sz w:val="22"/>
                <w:szCs w:val="22"/>
              </w:rPr>
            </w:pPr>
            <w:permStart w:id="1785803414" w:edGrp="everyone"/>
            <w:permEnd w:id="1785803414"/>
          </w:p>
        </w:tc>
        <w:tc>
          <w:tcPr>
            <w:tcW w:w="4463" w:type="dxa"/>
            <w:gridSpan w:val="2"/>
            <w:tcBorders>
              <w:left w:val="nil"/>
              <w:bottom w:val="single" w:sz="4" w:space="0" w:color="auto"/>
              <w:right w:val="nil"/>
            </w:tcBorders>
          </w:tcPr>
          <w:p w14:paraId="1A426E0B"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 xml:space="preserve">Management: </w:t>
            </w:r>
          </w:p>
          <w:p w14:paraId="01845FE3" w14:textId="77777777" w:rsidR="00624105" w:rsidRPr="00C95105" w:rsidRDefault="00624105" w:rsidP="0093280F">
            <w:pPr>
              <w:pStyle w:val="ListParagraph"/>
              <w:numPr>
                <w:ilvl w:val="0"/>
                <w:numId w:val="11"/>
              </w:numPr>
              <w:spacing w:after="120"/>
              <w:ind w:left="142" w:hanging="142"/>
              <w:contextualSpacing w:val="0"/>
              <w:rPr>
                <w:rFonts w:asciiTheme="minorHAnsi" w:hAnsiTheme="minorHAnsi" w:cstheme="minorHAnsi"/>
                <w:bCs/>
                <w:i/>
                <w:iCs/>
                <w:sz w:val="22"/>
                <w:szCs w:val="22"/>
              </w:rPr>
            </w:pPr>
            <w:bookmarkStart w:id="319" w:name="_Toc96866461"/>
            <w:bookmarkStart w:id="320" w:name="_Toc96866663"/>
            <w:bookmarkStart w:id="321" w:name="_Toc96878330"/>
            <w:r w:rsidRPr="00C95105">
              <w:rPr>
                <w:rFonts w:asciiTheme="minorHAnsi" w:hAnsiTheme="minorHAnsi" w:cstheme="minorHAnsi"/>
                <w:bCs/>
                <w:sz w:val="22"/>
                <w:szCs w:val="22"/>
              </w:rPr>
              <w:t>When a sexual harassment claim is presented, victims and alleged instigators should be made aware of the pathways to manage it and possible outcomes, to manage expectations for all parties.</w:t>
            </w:r>
            <w:bookmarkEnd w:id="319"/>
            <w:bookmarkEnd w:id="320"/>
            <w:bookmarkEnd w:id="321"/>
          </w:p>
          <w:p w14:paraId="4E5F2A4E" w14:textId="77777777" w:rsidR="00624105" w:rsidRPr="00C95105" w:rsidRDefault="00624105" w:rsidP="0093280F">
            <w:pPr>
              <w:pStyle w:val="ListParagraph"/>
              <w:numPr>
                <w:ilvl w:val="0"/>
                <w:numId w:val="11"/>
              </w:numPr>
              <w:spacing w:after="120"/>
              <w:ind w:left="142" w:hanging="142"/>
              <w:contextualSpacing w:val="0"/>
              <w:rPr>
                <w:rFonts w:asciiTheme="minorHAnsi" w:hAnsiTheme="minorHAnsi" w:cstheme="minorHAnsi"/>
                <w:bCs/>
                <w:sz w:val="22"/>
                <w:szCs w:val="22"/>
              </w:rPr>
            </w:pPr>
            <w:bookmarkStart w:id="322" w:name="_Toc96866462"/>
            <w:bookmarkStart w:id="323" w:name="_Toc96866664"/>
            <w:bookmarkStart w:id="324" w:name="_Toc96878331"/>
            <w:r w:rsidRPr="00C95105">
              <w:rPr>
                <w:rFonts w:asciiTheme="minorHAnsi" w:hAnsiTheme="minorHAnsi" w:cstheme="minorHAnsi"/>
                <w:bCs/>
                <w:sz w:val="22"/>
                <w:szCs w:val="22"/>
              </w:rPr>
              <w:t>Transparency can be improved by outlining what has been done to manage previous/ongoing cases of sexual harassment. For example, yearly reporting on the number of complaints and resolutions demonstrates action has been taken by the organisation. This should be done across the whole of the VPS or in large divisions to preserve anonymity.</w:t>
            </w:r>
            <w:bookmarkEnd w:id="322"/>
            <w:bookmarkEnd w:id="323"/>
            <w:bookmarkEnd w:id="324"/>
            <w:r w:rsidRPr="00C95105">
              <w:rPr>
                <w:rFonts w:asciiTheme="minorHAnsi" w:hAnsiTheme="minorHAnsi" w:cstheme="minorHAnsi"/>
                <w:bCs/>
                <w:sz w:val="22"/>
                <w:szCs w:val="22"/>
              </w:rPr>
              <w:t xml:space="preserve"> </w:t>
            </w:r>
          </w:p>
        </w:tc>
      </w:tr>
      <w:tr w:rsidR="00624105" w:rsidRPr="00C95105" w14:paraId="2D4ABE82" w14:textId="77777777" w:rsidTr="00532791">
        <w:tblPrEx>
          <w:tblBorders>
            <w:left w:val="single" w:sz="4" w:space="0" w:color="auto"/>
            <w:right w:val="single" w:sz="4" w:space="0" w:color="auto"/>
            <w:insideV w:val="single" w:sz="4" w:space="0" w:color="auto"/>
          </w:tblBorders>
        </w:tblPrEx>
        <w:trPr>
          <w:gridAfter w:val="2"/>
          <w:wAfter w:w="521" w:type="dxa"/>
        </w:trPr>
        <w:tc>
          <w:tcPr>
            <w:tcW w:w="1637" w:type="dxa"/>
            <w:tcBorders>
              <w:top w:val="nil"/>
              <w:left w:val="nil"/>
              <w:bottom w:val="nil"/>
              <w:right w:val="nil"/>
            </w:tcBorders>
          </w:tcPr>
          <w:p w14:paraId="3ADCF8D5" w14:textId="77777777" w:rsidR="00624105" w:rsidRPr="00C95105" w:rsidRDefault="00624105" w:rsidP="00532791">
            <w:pPr>
              <w:spacing w:after="120"/>
              <w:rPr>
                <w:rFonts w:asciiTheme="minorHAnsi" w:hAnsiTheme="minorHAnsi" w:cstheme="minorHAnsi"/>
                <w:bCs/>
                <w:sz w:val="22"/>
                <w:szCs w:val="22"/>
              </w:rPr>
            </w:pPr>
          </w:p>
        </w:tc>
        <w:tc>
          <w:tcPr>
            <w:tcW w:w="3398" w:type="dxa"/>
            <w:gridSpan w:val="2"/>
            <w:tcBorders>
              <w:top w:val="single" w:sz="4" w:space="0" w:color="auto"/>
              <w:left w:val="nil"/>
              <w:bottom w:val="single" w:sz="4" w:space="0" w:color="auto"/>
              <w:right w:val="nil"/>
            </w:tcBorders>
          </w:tcPr>
          <w:p w14:paraId="4A42E982" w14:textId="5C457D25"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 xml:space="preserve">Barriers to access policies and procedures. </w:t>
            </w:r>
            <w:r w:rsidRPr="00C95105">
              <w:rPr>
                <w:rFonts w:asciiTheme="minorHAnsi" w:hAnsiTheme="minorHAnsi" w:cstheme="minorHAnsi"/>
                <w:bCs/>
                <w:sz w:val="22"/>
                <w:szCs w:val="22"/>
              </w:rPr>
              <w:t xml:space="preserve">Individuals often do not know how to seek help or where to find important information. Keeping sexual harassment policies on intranets or internal servers’ limits who can access policies. For example, </w:t>
            </w:r>
            <w:r w:rsidRPr="00C95105">
              <w:rPr>
                <w:rFonts w:asciiTheme="minorHAnsi" w:hAnsiTheme="minorHAnsi" w:cstheme="minorHAnsi"/>
                <w:bCs/>
                <w:sz w:val="22"/>
                <w:szCs w:val="22"/>
              </w:rPr>
              <w:lastRenderedPageBreak/>
              <w:t>contractors and casual staff may not have access to organisation infrastructure where information is stored</w:t>
            </w:r>
            <w:r w:rsidR="00027A27" w:rsidRPr="00C95105">
              <w:rPr>
                <w:rFonts w:asciiTheme="minorHAnsi" w:hAnsiTheme="minorHAnsi" w:cstheme="minorHAnsi"/>
                <w:bCs/>
                <w:sz w:val="22"/>
                <w:szCs w:val="22"/>
              </w:rPr>
              <w:t xml:space="preserve"> about how complaints can be made</w:t>
            </w:r>
            <w:r w:rsidRPr="00C95105">
              <w:rPr>
                <w:rFonts w:asciiTheme="minorHAnsi" w:hAnsiTheme="minorHAnsi" w:cstheme="minorHAnsi"/>
                <w:bCs/>
                <w:sz w:val="22"/>
                <w:szCs w:val="22"/>
              </w:rPr>
              <w:t>.</w:t>
            </w:r>
          </w:p>
        </w:tc>
        <w:tc>
          <w:tcPr>
            <w:tcW w:w="4463" w:type="dxa"/>
            <w:gridSpan w:val="2"/>
            <w:tcBorders>
              <w:top w:val="single" w:sz="4" w:space="0" w:color="auto"/>
              <w:left w:val="nil"/>
              <w:bottom w:val="single" w:sz="4" w:space="0" w:color="auto"/>
              <w:right w:val="nil"/>
            </w:tcBorders>
          </w:tcPr>
          <w:p w14:paraId="0404E9CF"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lastRenderedPageBreak/>
              <w:t>Prevention:</w:t>
            </w:r>
          </w:p>
          <w:p w14:paraId="4B8A6BE9"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25" w:name="_Toc96866463"/>
            <w:bookmarkStart w:id="326" w:name="_Toc96866665"/>
            <w:bookmarkStart w:id="327" w:name="_Toc96878332"/>
            <w:r w:rsidRPr="00C95105">
              <w:rPr>
                <w:rFonts w:asciiTheme="minorHAnsi" w:hAnsiTheme="minorHAnsi" w:cstheme="minorHAnsi"/>
                <w:bCs/>
                <w:sz w:val="22"/>
                <w:szCs w:val="22"/>
              </w:rPr>
              <w:t xml:space="preserve">In preparation of managing complaints, it is important to have a clear and simple diagram outlining all the avenues available to make a complaint, what to expect from each avenue (i.e., who is involved in each avenue, what steps will be followed), timelines, what not to </w:t>
            </w:r>
            <w:r w:rsidRPr="00C95105">
              <w:rPr>
                <w:rFonts w:asciiTheme="minorHAnsi" w:hAnsiTheme="minorHAnsi" w:cstheme="minorHAnsi"/>
                <w:bCs/>
                <w:sz w:val="22"/>
                <w:szCs w:val="22"/>
              </w:rPr>
              <w:lastRenderedPageBreak/>
              <w:t>expect, and additional supports that will be made available to the complainant. Diagrams can then be placed around offices, workplaces and online.</w:t>
            </w:r>
            <w:bookmarkEnd w:id="325"/>
            <w:bookmarkEnd w:id="326"/>
            <w:bookmarkEnd w:id="327"/>
            <w:r w:rsidRPr="00C95105">
              <w:rPr>
                <w:rFonts w:asciiTheme="minorHAnsi" w:hAnsiTheme="minorHAnsi" w:cstheme="minorHAnsi"/>
                <w:bCs/>
                <w:sz w:val="22"/>
                <w:szCs w:val="22"/>
              </w:rPr>
              <w:t xml:space="preserve"> </w:t>
            </w:r>
          </w:p>
          <w:p w14:paraId="185AAEF3"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28" w:name="_Toc96866464"/>
            <w:bookmarkStart w:id="329" w:name="_Toc96866666"/>
            <w:bookmarkStart w:id="330" w:name="_Toc96878333"/>
            <w:r w:rsidRPr="00C95105">
              <w:rPr>
                <w:rFonts w:asciiTheme="minorHAnsi" w:hAnsiTheme="minorHAnsi" w:cstheme="minorHAnsi"/>
                <w:bCs/>
                <w:sz w:val="22"/>
                <w:szCs w:val="22"/>
              </w:rPr>
              <w:t>Information about policies and procedures should be available online so that all staff can access information, including diagrams with avenues to make complains and what to expect.</w:t>
            </w:r>
            <w:bookmarkEnd w:id="328"/>
            <w:bookmarkEnd w:id="329"/>
            <w:bookmarkEnd w:id="330"/>
          </w:p>
          <w:p w14:paraId="69F669EE" w14:textId="6A68CFFF"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31" w:name="_Toc96866465"/>
            <w:bookmarkStart w:id="332" w:name="_Toc96866667"/>
            <w:bookmarkStart w:id="333" w:name="_Toc96878334"/>
            <w:r w:rsidRPr="00C95105">
              <w:rPr>
                <w:rFonts w:asciiTheme="minorHAnsi" w:hAnsiTheme="minorHAnsi" w:cstheme="minorHAnsi"/>
                <w:bCs/>
                <w:sz w:val="22"/>
                <w:szCs w:val="22"/>
              </w:rPr>
              <w:t xml:space="preserve">Employers should communicate regularly and through diverse strategies (e.g., email, meetings) </w:t>
            </w:r>
            <w:r w:rsidR="401B660D" w:rsidRPr="00C95105">
              <w:rPr>
                <w:rFonts w:asciiTheme="minorHAnsi" w:hAnsiTheme="minorHAnsi" w:cstheme="minorHAnsi"/>
                <w:sz w:val="22"/>
                <w:szCs w:val="22"/>
              </w:rPr>
              <w:t xml:space="preserve">about </w:t>
            </w:r>
            <w:r w:rsidR="13196F5B" w:rsidRPr="00C95105">
              <w:rPr>
                <w:rFonts w:asciiTheme="minorHAnsi" w:hAnsiTheme="minorHAnsi" w:cstheme="minorHAnsi"/>
                <w:sz w:val="22"/>
                <w:szCs w:val="22"/>
              </w:rPr>
              <w:t>where</w:t>
            </w:r>
            <w:r w:rsidRPr="00C95105">
              <w:rPr>
                <w:rFonts w:asciiTheme="minorHAnsi" w:hAnsiTheme="minorHAnsi" w:cstheme="minorHAnsi"/>
                <w:bCs/>
                <w:sz w:val="22"/>
                <w:szCs w:val="22"/>
              </w:rPr>
              <w:t xml:space="preserve"> employees </w:t>
            </w:r>
            <w:r w:rsidR="13196F5B" w:rsidRPr="00C95105">
              <w:rPr>
                <w:rFonts w:asciiTheme="minorHAnsi" w:hAnsiTheme="minorHAnsi" w:cstheme="minorHAnsi"/>
                <w:sz w:val="22"/>
                <w:szCs w:val="22"/>
              </w:rPr>
              <w:t>can seek</w:t>
            </w:r>
            <w:r w:rsidRPr="00C95105">
              <w:rPr>
                <w:rFonts w:asciiTheme="minorHAnsi" w:hAnsiTheme="minorHAnsi" w:cstheme="minorHAnsi"/>
                <w:bCs/>
                <w:sz w:val="22"/>
                <w:szCs w:val="22"/>
              </w:rPr>
              <w:t xml:space="preserve"> relevant policies and procedures.</w:t>
            </w:r>
            <w:bookmarkEnd w:id="331"/>
            <w:bookmarkEnd w:id="332"/>
            <w:bookmarkEnd w:id="333"/>
            <w:r w:rsidRPr="00C95105">
              <w:rPr>
                <w:rFonts w:asciiTheme="minorHAnsi" w:hAnsiTheme="minorHAnsi" w:cstheme="minorHAnsi"/>
                <w:bCs/>
                <w:sz w:val="22"/>
                <w:szCs w:val="22"/>
              </w:rPr>
              <w:t xml:space="preserve"> </w:t>
            </w:r>
          </w:p>
        </w:tc>
      </w:tr>
      <w:tr w:rsidR="00624105" w:rsidRPr="00C95105" w14:paraId="11230B5A" w14:textId="77777777" w:rsidTr="00532791">
        <w:tblPrEx>
          <w:tblBorders>
            <w:left w:val="single" w:sz="4" w:space="0" w:color="auto"/>
            <w:right w:val="single" w:sz="4" w:space="0" w:color="auto"/>
            <w:insideV w:val="single" w:sz="4" w:space="0" w:color="auto"/>
          </w:tblBorders>
        </w:tblPrEx>
        <w:trPr>
          <w:gridAfter w:val="2"/>
          <w:wAfter w:w="521" w:type="dxa"/>
        </w:trPr>
        <w:tc>
          <w:tcPr>
            <w:tcW w:w="1637" w:type="dxa"/>
            <w:tcBorders>
              <w:top w:val="nil"/>
              <w:left w:val="nil"/>
              <w:bottom w:val="single" w:sz="4" w:space="0" w:color="auto"/>
              <w:right w:val="nil"/>
            </w:tcBorders>
          </w:tcPr>
          <w:p w14:paraId="277B3C0C" w14:textId="77777777" w:rsidR="00624105" w:rsidRPr="00C95105" w:rsidRDefault="00624105" w:rsidP="00532791">
            <w:pPr>
              <w:spacing w:after="120"/>
              <w:rPr>
                <w:rFonts w:asciiTheme="minorHAnsi" w:hAnsiTheme="minorHAnsi" w:cstheme="minorHAnsi"/>
                <w:bCs/>
                <w:sz w:val="22"/>
                <w:szCs w:val="22"/>
              </w:rPr>
            </w:pPr>
          </w:p>
        </w:tc>
        <w:tc>
          <w:tcPr>
            <w:tcW w:w="3398" w:type="dxa"/>
            <w:gridSpan w:val="2"/>
            <w:tcBorders>
              <w:top w:val="single" w:sz="4" w:space="0" w:color="auto"/>
              <w:left w:val="nil"/>
              <w:bottom w:val="single" w:sz="4" w:space="0" w:color="auto"/>
              <w:right w:val="nil"/>
            </w:tcBorders>
          </w:tcPr>
          <w:p w14:paraId="3DBB6264"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Failure to communicate</w:t>
            </w:r>
            <w:r w:rsidRPr="00C95105">
              <w:rPr>
                <w:rFonts w:asciiTheme="minorHAnsi" w:hAnsiTheme="minorHAnsi" w:cstheme="minorHAnsi"/>
                <w:bCs/>
                <w:sz w:val="22"/>
                <w:szCs w:val="22"/>
              </w:rPr>
              <w:t xml:space="preserve"> can undermine well-developed policies and procedures. It isn’t enough for policies to exist; they must also be communicated to employees. Online modules lack validity as a tool to reduce sexual harassment and voluntary training workshops often fail to attract employees that perpetrate harassment.</w:t>
            </w:r>
          </w:p>
        </w:tc>
        <w:tc>
          <w:tcPr>
            <w:tcW w:w="4463" w:type="dxa"/>
            <w:gridSpan w:val="2"/>
            <w:tcBorders>
              <w:top w:val="single" w:sz="4" w:space="0" w:color="auto"/>
              <w:left w:val="nil"/>
              <w:bottom w:val="single" w:sz="4" w:space="0" w:color="auto"/>
              <w:right w:val="nil"/>
            </w:tcBorders>
          </w:tcPr>
          <w:p w14:paraId="58BA5B7C"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w:t>
            </w:r>
          </w:p>
          <w:p w14:paraId="005496FE"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34" w:name="_Toc96866466"/>
            <w:bookmarkStart w:id="335" w:name="_Toc96866668"/>
            <w:bookmarkStart w:id="336" w:name="_Toc96878335"/>
            <w:r w:rsidRPr="00C95105">
              <w:rPr>
                <w:rFonts w:asciiTheme="minorHAnsi" w:hAnsiTheme="minorHAnsi" w:cstheme="minorHAnsi"/>
                <w:bCs/>
                <w:sz w:val="22"/>
                <w:szCs w:val="22"/>
              </w:rPr>
              <w:t>Education campaigns should inform employees of existing policies and procedures, including information about where to access policies, how to make formal complaints, details of the process and possible outcomes.</w:t>
            </w:r>
            <w:bookmarkEnd w:id="334"/>
            <w:bookmarkEnd w:id="335"/>
            <w:bookmarkEnd w:id="336"/>
          </w:p>
          <w:p w14:paraId="483133D0"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37" w:name="_Toc96866467"/>
            <w:bookmarkStart w:id="338" w:name="_Toc96866669"/>
            <w:bookmarkStart w:id="339" w:name="_Toc96878336"/>
            <w:r w:rsidRPr="00C95105">
              <w:rPr>
                <w:rFonts w:asciiTheme="minorHAnsi" w:hAnsiTheme="minorHAnsi" w:cstheme="minorHAnsi"/>
                <w:bCs/>
                <w:sz w:val="22"/>
                <w:szCs w:val="22"/>
              </w:rPr>
              <w:t>Education campaigns should include communication strategies that are cost-effective and can be scaled across thousands of employees, such as emails, posters in common areas, digital communications (e.g., Slack, Microsoft Teams) and brief online webpages.</w:t>
            </w:r>
            <w:bookmarkEnd w:id="337"/>
            <w:bookmarkEnd w:id="338"/>
            <w:bookmarkEnd w:id="339"/>
            <w:r w:rsidRPr="00C95105">
              <w:rPr>
                <w:rFonts w:asciiTheme="minorHAnsi" w:hAnsiTheme="minorHAnsi" w:cstheme="minorHAnsi"/>
                <w:bCs/>
                <w:sz w:val="22"/>
                <w:szCs w:val="22"/>
              </w:rPr>
              <w:t xml:space="preserve"> </w:t>
            </w:r>
          </w:p>
          <w:p w14:paraId="229D8C7B"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40" w:name="_Toc96866468"/>
            <w:bookmarkStart w:id="341" w:name="_Toc96866670"/>
            <w:bookmarkStart w:id="342" w:name="_Toc96878337"/>
            <w:r w:rsidRPr="00C95105">
              <w:rPr>
                <w:rFonts w:asciiTheme="minorHAnsi" w:hAnsiTheme="minorHAnsi" w:cstheme="minorHAnsi"/>
                <w:bCs/>
                <w:sz w:val="22"/>
                <w:szCs w:val="22"/>
              </w:rPr>
              <w:t>In place of voluntary training or training in areas with very low incidence of sexual harassment, the VPS should identify areas with a high number of complaints or concerns. Dedicated training should then be provided to the divisions and individuals that are identified as problematic. Note, divisions with high incidence may also have a higher acceptance of sexual harassment. For this reason, it is necessary to assess levels of acceptance and incidence.</w:t>
            </w:r>
            <w:bookmarkEnd w:id="340"/>
            <w:bookmarkEnd w:id="341"/>
            <w:bookmarkEnd w:id="342"/>
            <w:r w:rsidRPr="00C95105">
              <w:rPr>
                <w:rFonts w:asciiTheme="minorHAnsi" w:hAnsiTheme="minorHAnsi" w:cstheme="minorHAnsi"/>
                <w:bCs/>
                <w:sz w:val="22"/>
                <w:szCs w:val="22"/>
              </w:rPr>
              <w:t xml:space="preserve"> </w:t>
            </w:r>
          </w:p>
        </w:tc>
      </w:tr>
      <w:tr w:rsidR="00624105" w:rsidRPr="00C95105" w14:paraId="4E8A4FFA" w14:textId="77777777" w:rsidTr="00532791">
        <w:trPr>
          <w:gridAfter w:val="1"/>
          <w:wAfter w:w="402" w:type="dxa"/>
        </w:trPr>
        <w:tc>
          <w:tcPr>
            <w:tcW w:w="1637" w:type="dxa"/>
            <w:tcBorders>
              <w:top w:val="single" w:sz="4" w:space="0" w:color="auto"/>
              <w:bottom w:val="nil"/>
            </w:tcBorders>
          </w:tcPr>
          <w:p w14:paraId="087725CF"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Social Tolerance</w:t>
            </w:r>
          </w:p>
        </w:tc>
        <w:tc>
          <w:tcPr>
            <w:tcW w:w="3377" w:type="dxa"/>
            <w:tcBorders>
              <w:top w:val="single" w:sz="4" w:space="0" w:color="auto"/>
              <w:bottom w:val="nil"/>
            </w:tcBorders>
          </w:tcPr>
          <w:p w14:paraId="5DF22CD2"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i/>
                <w:iCs/>
                <w:sz w:val="22"/>
                <w:szCs w:val="22"/>
              </w:rPr>
              <w:t>Actual and perceived reactions</w:t>
            </w:r>
            <w:r w:rsidRPr="00C95105">
              <w:rPr>
                <w:rFonts w:asciiTheme="minorHAnsi" w:hAnsiTheme="minorHAnsi" w:cstheme="minorHAnsi"/>
                <w:bCs/>
                <w:sz w:val="22"/>
                <w:szCs w:val="22"/>
              </w:rPr>
              <w:t xml:space="preserve"> to sexual harassment matter. </w:t>
            </w:r>
          </w:p>
          <w:p w14:paraId="2EAE5E17"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Sexual harassment is more likely in organisations where employees perceive the consequences for instigators of abuse are not observable, clear, or proportional. In sub-sections of the organisation where sexual harassment (in particular, gender harassment) is </w:t>
            </w:r>
            <w:r w:rsidRPr="00C95105">
              <w:rPr>
                <w:rFonts w:asciiTheme="minorHAnsi" w:hAnsiTheme="minorHAnsi" w:cstheme="minorHAnsi"/>
                <w:bCs/>
                <w:sz w:val="22"/>
                <w:szCs w:val="22"/>
              </w:rPr>
              <w:lastRenderedPageBreak/>
              <w:t xml:space="preserve">common, perpetrators may misjudge their behaviour as the dominant social norm.  </w:t>
            </w:r>
          </w:p>
        </w:tc>
        <w:tc>
          <w:tcPr>
            <w:tcW w:w="4603" w:type="dxa"/>
            <w:gridSpan w:val="4"/>
            <w:tcBorders>
              <w:top w:val="single" w:sz="4" w:space="0" w:color="auto"/>
              <w:bottom w:val="nil"/>
            </w:tcBorders>
          </w:tcPr>
          <w:p w14:paraId="725C5E1C"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lastRenderedPageBreak/>
              <w:t>Prevention and Management:</w:t>
            </w:r>
          </w:p>
          <w:p w14:paraId="5C935C7E"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43" w:name="_Toc96866469"/>
            <w:bookmarkStart w:id="344" w:name="_Toc96866671"/>
            <w:bookmarkStart w:id="345" w:name="_Toc96878338"/>
            <w:r w:rsidRPr="00C95105">
              <w:rPr>
                <w:rFonts w:asciiTheme="minorHAnsi" w:hAnsiTheme="minorHAnsi" w:cstheme="minorHAnsi"/>
                <w:bCs/>
                <w:sz w:val="22"/>
                <w:szCs w:val="22"/>
              </w:rPr>
              <w:t>Early action (e.g., giving specific and timely feedback) to address less intense but more frequent forms of sexual harassment (e.g., sexist and sexual hostility) can help define appropriate behaviour and prevent escalation of abuse to more intense forms.</w:t>
            </w:r>
            <w:bookmarkEnd w:id="343"/>
            <w:bookmarkEnd w:id="344"/>
            <w:bookmarkEnd w:id="345"/>
            <w:r w:rsidRPr="00C95105">
              <w:rPr>
                <w:rFonts w:asciiTheme="minorHAnsi" w:hAnsiTheme="minorHAnsi" w:cstheme="minorHAnsi"/>
                <w:bCs/>
                <w:sz w:val="22"/>
                <w:szCs w:val="22"/>
              </w:rPr>
              <w:t xml:space="preserve"> </w:t>
            </w:r>
          </w:p>
          <w:p w14:paraId="1C504596" w14:textId="21F1A7BC"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46" w:name="_Toc96866470"/>
            <w:bookmarkStart w:id="347" w:name="_Toc96866672"/>
            <w:bookmarkStart w:id="348" w:name="_Toc96878339"/>
            <w:r w:rsidRPr="00C95105">
              <w:rPr>
                <w:rFonts w:asciiTheme="minorHAnsi" w:hAnsiTheme="minorHAnsi" w:cstheme="minorHAnsi"/>
                <w:bCs/>
                <w:sz w:val="22"/>
                <w:szCs w:val="22"/>
              </w:rPr>
              <w:t xml:space="preserve">Social psychology and behaviour change interventions (e.g., social norms) can be used to minimise undesirable behaviour and </w:t>
            </w:r>
            <w:r w:rsidRPr="00C95105">
              <w:rPr>
                <w:rFonts w:asciiTheme="minorHAnsi" w:hAnsiTheme="minorHAnsi" w:cstheme="minorHAnsi"/>
                <w:bCs/>
                <w:sz w:val="22"/>
                <w:szCs w:val="22"/>
              </w:rPr>
              <w:lastRenderedPageBreak/>
              <w:t xml:space="preserve">redefine acceptable behaviour. For example, avoid unintentionally advertising undesirable behaviour (which risks normalising it) and instead highlight the areas </w:t>
            </w:r>
            <w:r w:rsidRPr="00C95105">
              <w:rPr>
                <w:rFonts w:asciiTheme="minorHAnsi" w:hAnsiTheme="minorHAnsi" w:cstheme="minorHAnsi"/>
                <w:sz w:val="22"/>
                <w:szCs w:val="22"/>
              </w:rPr>
              <w:t>for which</w:t>
            </w:r>
            <w:r w:rsidRPr="00C95105">
              <w:rPr>
                <w:rFonts w:asciiTheme="minorHAnsi" w:hAnsiTheme="minorHAnsi" w:cstheme="minorHAnsi"/>
                <w:bCs/>
                <w:sz w:val="22"/>
                <w:szCs w:val="22"/>
              </w:rPr>
              <w:t xml:space="preserve"> the VPS is a top performer regarding diversity and equality. Publicly celebrate organisational role models that demonstrate desirable behaviour, including employees that speak out about sexual harassment.</w:t>
            </w:r>
            <w:bookmarkEnd w:id="346"/>
            <w:bookmarkEnd w:id="347"/>
            <w:bookmarkEnd w:id="348"/>
            <w:r w:rsidRPr="00C95105">
              <w:rPr>
                <w:rFonts w:asciiTheme="minorHAnsi" w:hAnsiTheme="minorHAnsi" w:cstheme="minorHAnsi"/>
                <w:bCs/>
                <w:sz w:val="22"/>
                <w:szCs w:val="22"/>
              </w:rPr>
              <w:t xml:space="preserve"> </w:t>
            </w:r>
          </w:p>
        </w:tc>
      </w:tr>
      <w:tr w:rsidR="00624105" w:rsidRPr="00C95105" w14:paraId="24BB1187" w14:textId="77777777" w:rsidTr="00532791">
        <w:trPr>
          <w:gridAfter w:val="1"/>
          <w:wAfter w:w="402" w:type="dxa"/>
        </w:trPr>
        <w:tc>
          <w:tcPr>
            <w:tcW w:w="1637" w:type="dxa"/>
            <w:tcBorders>
              <w:top w:val="nil"/>
              <w:bottom w:val="nil"/>
            </w:tcBorders>
          </w:tcPr>
          <w:p w14:paraId="2B2B0469" w14:textId="77777777" w:rsidR="00624105" w:rsidRPr="00C95105" w:rsidRDefault="00624105" w:rsidP="00532791">
            <w:pPr>
              <w:spacing w:after="120"/>
              <w:rPr>
                <w:rFonts w:asciiTheme="minorHAnsi" w:hAnsiTheme="minorHAnsi" w:cstheme="minorHAnsi"/>
                <w:bCs/>
                <w:sz w:val="22"/>
                <w:szCs w:val="22"/>
              </w:rPr>
            </w:pPr>
          </w:p>
        </w:tc>
        <w:tc>
          <w:tcPr>
            <w:tcW w:w="3377" w:type="dxa"/>
            <w:tcBorders>
              <w:top w:val="nil"/>
              <w:bottom w:val="single" w:sz="4" w:space="0" w:color="auto"/>
            </w:tcBorders>
          </w:tcPr>
          <w:p w14:paraId="2C54FAC6" w14:textId="77777777" w:rsidR="00624105" w:rsidRPr="00C95105" w:rsidRDefault="00624105" w:rsidP="00532791">
            <w:pPr>
              <w:spacing w:after="120"/>
              <w:rPr>
                <w:rFonts w:asciiTheme="minorHAnsi" w:hAnsiTheme="minorHAnsi" w:cstheme="minorHAnsi"/>
                <w:bCs/>
                <w:sz w:val="22"/>
                <w:szCs w:val="22"/>
              </w:rPr>
            </w:pPr>
          </w:p>
        </w:tc>
        <w:tc>
          <w:tcPr>
            <w:tcW w:w="4603" w:type="dxa"/>
            <w:gridSpan w:val="4"/>
            <w:tcBorders>
              <w:top w:val="single" w:sz="4" w:space="0" w:color="auto"/>
              <w:bottom w:val="single" w:sz="4" w:space="0" w:color="auto"/>
            </w:tcBorders>
          </w:tcPr>
          <w:p w14:paraId="53255479" w14:textId="77777777" w:rsidR="00624105" w:rsidRPr="00C95105" w:rsidRDefault="00624105" w:rsidP="00532791">
            <w:pPr>
              <w:spacing w:after="120"/>
              <w:contextualSpacing/>
              <w:rPr>
                <w:rFonts w:asciiTheme="minorHAnsi" w:hAnsiTheme="minorHAnsi" w:cstheme="minorHAnsi"/>
                <w:bCs/>
                <w:i/>
                <w:iCs/>
                <w:sz w:val="22"/>
                <w:szCs w:val="22"/>
              </w:rPr>
            </w:pPr>
            <w:r w:rsidRPr="00C95105">
              <w:rPr>
                <w:rFonts w:asciiTheme="minorHAnsi" w:hAnsiTheme="minorHAnsi" w:cstheme="minorHAnsi"/>
                <w:bCs/>
                <w:i/>
                <w:iCs/>
                <w:sz w:val="22"/>
                <w:szCs w:val="22"/>
              </w:rPr>
              <w:t xml:space="preserve">Management: </w:t>
            </w:r>
          </w:p>
          <w:p w14:paraId="5A2677ED"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49" w:name="_Toc96866471"/>
            <w:bookmarkStart w:id="350" w:name="_Toc96866673"/>
            <w:bookmarkStart w:id="351" w:name="_Toc96878340"/>
            <w:bookmarkStart w:id="352" w:name="_Hlk96425513"/>
            <w:r w:rsidRPr="00C95105">
              <w:rPr>
                <w:rFonts w:asciiTheme="minorHAnsi" w:hAnsiTheme="minorHAnsi" w:cstheme="minorHAnsi"/>
                <w:bCs/>
                <w:sz w:val="22"/>
                <w:szCs w:val="22"/>
              </w:rPr>
              <w:t>Multiple, independent parties must review sexual harassment claims so that consequences are decided objectively and not determined based on personal or professional relationships.</w:t>
            </w:r>
            <w:bookmarkEnd w:id="349"/>
            <w:bookmarkEnd w:id="350"/>
            <w:bookmarkEnd w:id="351"/>
          </w:p>
          <w:p w14:paraId="10D3B45D"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53" w:name="_Toc96866472"/>
            <w:bookmarkStart w:id="354" w:name="_Toc96866674"/>
            <w:bookmarkStart w:id="355" w:name="_Toc96878341"/>
            <w:r w:rsidRPr="00C95105">
              <w:rPr>
                <w:rFonts w:asciiTheme="minorHAnsi" w:hAnsiTheme="minorHAnsi" w:cstheme="minorHAnsi"/>
                <w:bCs/>
                <w:sz w:val="22"/>
                <w:szCs w:val="22"/>
              </w:rPr>
              <w:t>Keeping a record of all complaints and punishments ensures that sanctions are uniform and consistent across time and individuals. This process is often overlooked and can lead to bias. Minority group members are most at risk of disproportionate punishments when compared to majority group members.</w:t>
            </w:r>
            <w:bookmarkEnd w:id="352"/>
            <w:bookmarkEnd w:id="353"/>
            <w:bookmarkEnd w:id="354"/>
            <w:bookmarkEnd w:id="355"/>
          </w:p>
        </w:tc>
      </w:tr>
      <w:tr w:rsidR="00624105" w:rsidRPr="00C95105" w14:paraId="096DAF3C" w14:textId="77777777" w:rsidTr="00532791">
        <w:trPr>
          <w:gridAfter w:val="1"/>
          <w:wAfter w:w="402" w:type="dxa"/>
        </w:trPr>
        <w:tc>
          <w:tcPr>
            <w:tcW w:w="1637" w:type="dxa"/>
            <w:tcBorders>
              <w:top w:val="nil"/>
              <w:bottom w:val="single" w:sz="4" w:space="0" w:color="auto"/>
            </w:tcBorders>
          </w:tcPr>
          <w:p w14:paraId="379C354B" w14:textId="77777777" w:rsidR="00624105" w:rsidRPr="00C95105" w:rsidRDefault="00624105" w:rsidP="00532791">
            <w:pPr>
              <w:spacing w:after="120"/>
              <w:rPr>
                <w:rFonts w:asciiTheme="minorHAnsi" w:hAnsiTheme="minorHAnsi" w:cstheme="minorHAnsi"/>
                <w:bCs/>
                <w:sz w:val="22"/>
                <w:szCs w:val="22"/>
              </w:rPr>
            </w:pPr>
          </w:p>
        </w:tc>
        <w:tc>
          <w:tcPr>
            <w:tcW w:w="3377" w:type="dxa"/>
            <w:tcBorders>
              <w:top w:val="single" w:sz="4" w:space="0" w:color="auto"/>
              <w:bottom w:val="single" w:sz="4" w:space="0" w:color="auto"/>
            </w:tcBorders>
          </w:tcPr>
          <w:p w14:paraId="7EB5627F" w14:textId="6A8A401A"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The belief that </w:t>
            </w:r>
            <w:r w:rsidRPr="00C95105">
              <w:rPr>
                <w:rFonts w:asciiTheme="minorHAnsi" w:hAnsiTheme="minorHAnsi" w:cstheme="minorHAnsi"/>
                <w:bCs/>
                <w:i/>
                <w:iCs/>
                <w:sz w:val="22"/>
                <w:szCs w:val="22"/>
              </w:rPr>
              <w:t>reports of sexual harassment will not be believed or taken seriously</w:t>
            </w:r>
            <w:r w:rsidRPr="00C95105">
              <w:rPr>
                <w:rFonts w:asciiTheme="minorHAnsi" w:hAnsiTheme="minorHAnsi" w:cstheme="minorHAnsi"/>
                <w:bCs/>
                <w:sz w:val="22"/>
                <w:szCs w:val="22"/>
              </w:rPr>
              <w:t xml:space="preserve"> </w:t>
            </w:r>
            <w:r w:rsidRPr="00C95105">
              <w:rPr>
                <w:rFonts w:asciiTheme="minorHAnsi" w:hAnsiTheme="minorHAnsi" w:cstheme="minorHAnsi"/>
                <w:sz w:val="22"/>
                <w:szCs w:val="22"/>
              </w:rPr>
              <w:t>prevents</w:t>
            </w:r>
            <w:r w:rsidRPr="00C95105">
              <w:rPr>
                <w:rFonts w:asciiTheme="minorHAnsi" w:hAnsiTheme="minorHAnsi" w:cstheme="minorHAnsi"/>
                <w:bCs/>
                <w:sz w:val="22"/>
                <w:szCs w:val="22"/>
              </w:rPr>
              <w:t xml:space="preserve"> individuals reporting experiences of sexual harassment. Similarly, fear of backlash or victim blaming prevent victims coming forward and eliminating sexual harassment.</w:t>
            </w:r>
          </w:p>
        </w:tc>
        <w:tc>
          <w:tcPr>
            <w:tcW w:w="4603" w:type="dxa"/>
            <w:gridSpan w:val="4"/>
            <w:tcBorders>
              <w:top w:val="single" w:sz="4" w:space="0" w:color="auto"/>
              <w:bottom w:val="single" w:sz="4" w:space="0" w:color="auto"/>
            </w:tcBorders>
          </w:tcPr>
          <w:p w14:paraId="0F90A3B1"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 and Management:</w:t>
            </w:r>
          </w:p>
          <w:p w14:paraId="3AE47306" w14:textId="51AD7EBC"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56" w:name="_Toc96866473"/>
            <w:bookmarkStart w:id="357" w:name="_Toc96866675"/>
            <w:bookmarkStart w:id="358" w:name="_Toc96878342"/>
            <w:r w:rsidRPr="00C95105">
              <w:rPr>
                <w:rFonts w:asciiTheme="minorHAnsi" w:hAnsiTheme="minorHAnsi" w:cstheme="minorHAnsi"/>
                <w:bCs/>
                <w:sz w:val="22"/>
                <w:szCs w:val="22"/>
              </w:rPr>
              <w:t xml:space="preserve">Sexual harassment policies should mandate a complete process from complaint to resolution. Once a complaint has been lodged by an employee, the predetermined process should be followed to completion. </w:t>
            </w:r>
            <w:r w:rsidRPr="00C95105">
              <w:rPr>
                <w:rFonts w:asciiTheme="minorHAnsi" w:hAnsiTheme="minorHAnsi" w:cstheme="minorHAnsi"/>
                <w:sz w:val="22"/>
                <w:szCs w:val="22"/>
              </w:rPr>
              <w:t xml:space="preserve">There should also be timely communication of the </w:t>
            </w:r>
            <w:r w:rsidRPr="00C95105">
              <w:rPr>
                <w:rFonts w:asciiTheme="minorHAnsi" w:hAnsiTheme="minorHAnsi" w:cstheme="minorHAnsi"/>
                <w:bCs/>
                <w:sz w:val="22"/>
                <w:szCs w:val="22"/>
              </w:rPr>
              <w:t>outcome of the complaint to the complainant.</w:t>
            </w:r>
            <w:bookmarkEnd w:id="356"/>
            <w:bookmarkEnd w:id="357"/>
            <w:bookmarkEnd w:id="358"/>
          </w:p>
          <w:p w14:paraId="691D9015"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59" w:name="_Toc96866474"/>
            <w:bookmarkStart w:id="360" w:name="_Toc96866676"/>
            <w:bookmarkStart w:id="361" w:name="_Toc96878343"/>
            <w:r w:rsidRPr="00C95105">
              <w:rPr>
                <w:rFonts w:asciiTheme="minorHAnsi" w:hAnsiTheme="minorHAnsi" w:cstheme="minorHAnsi"/>
                <w:bCs/>
                <w:sz w:val="22"/>
                <w:szCs w:val="22"/>
              </w:rPr>
              <w:t>Limiting access to complaint systems (e.g., only managers can access complaint portals) can place subordinates at risk if their manager is the abuser. Multiple avenues of complaint should be available to all employees, regardless of status within the organisation. This may include human resources, adjacent managers, finance, employee representatives.</w:t>
            </w:r>
            <w:bookmarkEnd w:id="359"/>
            <w:bookmarkEnd w:id="360"/>
            <w:bookmarkEnd w:id="361"/>
            <w:r w:rsidRPr="00C95105">
              <w:rPr>
                <w:rFonts w:asciiTheme="minorHAnsi" w:hAnsiTheme="minorHAnsi" w:cstheme="minorHAnsi"/>
                <w:bCs/>
                <w:sz w:val="22"/>
                <w:szCs w:val="22"/>
              </w:rPr>
              <w:t xml:space="preserve"> </w:t>
            </w:r>
          </w:p>
          <w:p w14:paraId="2E2D6CD7" w14:textId="25E84B6C"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62" w:name="_Toc96866475"/>
            <w:bookmarkStart w:id="363" w:name="_Toc96866677"/>
            <w:bookmarkStart w:id="364" w:name="_Toc96878344"/>
            <w:r w:rsidRPr="00C95105">
              <w:rPr>
                <w:rFonts w:asciiTheme="minorHAnsi" w:hAnsiTheme="minorHAnsi" w:cstheme="minorHAnsi"/>
                <w:bCs/>
                <w:sz w:val="22"/>
                <w:szCs w:val="22"/>
              </w:rPr>
              <w:t xml:space="preserve">Involving multiple parties in the review of complaints can prevent backlash against targets of sexual harassment </w:t>
            </w:r>
            <w:r w:rsidRPr="00C95105">
              <w:rPr>
                <w:rFonts w:asciiTheme="minorHAnsi" w:hAnsiTheme="minorHAnsi" w:cstheme="minorHAnsi"/>
                <w:sz w:val="22"/>
                <w:szCs w:val="22"/>
              </w:rPr>
              <w:t>who</w:t>
            </w:r>
            <w:r w:rsidRPr="00C95105">
              <w:rPr>
                <w:rFonts w:asciiTheme="minorHAnsi" w:hAnsiTheme="minorHAnsi" w:cstheme="minorHAnsi"/>
                <w:bCs/>
                <w:sz w:val="22"/>
                <w:szCs w:val="22"/>
              </w:rPr>
              <w:t xml:space="preserve"> come forward, particularly in instances when the direct manager is the abuser.</w:t>
            </w:r>
            <w:bookmarkEnd w:id="362"/>
            <w:bookmarkEnd w:id="363"/>
            <w:bookmarkEnd w:id="364"/>
          </w:p>
          <w:p w14:paraId="1FB54D92" w14:textId="77777777" w:rsidR="00624105" w:rsidRPr="00C95105" w:rsidRDefault="00624105" w:rsidP="0093280F">
            <w:pPr>
              <w:pStyle w:val="ListParagraph"/>
              <w:numPr>
                <w:ilvl w:val="0"/>
                <w:numId w:val="10"/>
              </w:numPr>
              <w:spacing w:after="120"/>
              <w:ind w:left="140" w:hanging="140"/>
              <w:rPr>
                <w:rFonts w:asciiTheme="minorHAnsi" w:hAnsiTheme="minorHAnsi" w:cstheme="minorHAnsi"/>
                <w:bCs/>
                <w:sz w:val="22"/>
                <w:szCs w:val="22"/>
              </w:rPr>
            </w:pPr>
            <w:bookmarkStart w:id="365" w:name="_Toc96866476"/>
            <w:bookmarkStart w:id="366" w:name="_Toc96866678"/>
            <w:bookmarkStart w:id="367" w:name="_Toc96878345"/>
            <w:r w:rsidRPr="00C95105">
              <w:rPr>
                <w:rFonts w:asciiTheme="minorHAnsi" w:hAnsiTheme="minorHAnsi" w:cstheme="minorHAnsi"/>
                <w:bCs/>
                <w:sz w:val="22"/>
                <w:szCs w:val="22"/>
              </w:rPr>
              <w:t xml:space="preserve">Bystander intervention training can prepare all employees to identify and address sexual harassment so that victims do not feel isolated. Bystander training must be hands-on, </w:t>
            </w:r>
            <w:r w:rsidRPr="00C95105">
              <w:rPr>
                <w:rFonts w:asciiTheme="minorHAnsi" w:hAnsiTheme="minorHAnsi" w:cstheme="minorHAnsi"/>
                <w:bCs/>
                <w:sz w:val="22"/>
                <w:szCs w:val="22"/>
              </w:rPr>
              <w:lastRenderedPageBreak/>
              <w:t>interactive and relevant to common experiences at work.</w:t>
            </w:r>
            <w:bookmarkEnd w:id="365"/>
            <w:bookmarkEnd w:id="366"/>
            <w:bookmarkEnd w:id="367"/>
          </w:p>
        </w:tc>
      </w:tr>
      <w:tr w:rsidR="00624105" w:rsidRPr="00C95105" w14:paraId="46267CA2" w14:textId="77777777" w:rsidTr="00532791">
        <w:trPr>
          <w:gridAfter w:val="1"/>
          <w:wAfter w:w="402" w:type="dxa"/>
        </w:trPr>
        <w:tc>
          <w:tcPr>
            <w:tcW w:w="1637" w:type="dxa"/>
            <w:tcBorders>
              <w:top w:val="single" w:sz="4" w:space="0" w:color="auto"/>
              <w:bottom w:val="nil"/>
            </w:tcBorders>
          </w:tcPr>
          <w:p w14:paraId="4FE8586D"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lastRenderedPageBreak/>
              <w:t>Communication and Language</w:t>
            </w:r>
          </w:p>
        </w:tc>
        <w:tc>
          <w:tcPr>
            <w:tcW w:w="3377" w:type="dxa"/>
            <w:tcBorders>
              <w:top w:val="single" w:sz="4" w:space="0" w:color="auto"/>
              <w:bottom w:val="single" w:sz="4" w:space="0" w:color="auto"/>
            </w:tcBorders>
          </w:tcPr>
          <w:p w14:paraId="1F954051"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The language used to communicate about sexual harassment has the potential to inflict harm. Describing some forms of sexual harassment as “less serious” can undermine the experience of victims. However, language which describes sexual assault and other sexual harassment as equal in intensity can reduce sympathy for sexual assault victims. </w:t>
            </w:r>
          </w:p>
        </w:tc>
        <w:tc>
          <w:tcPr>
            <w:tcW w:w="4603" w:type="dxa"/>
            <w:gridSpan w:val="4"/>
            <w:tcBorders>
              <w:top w:val="single" w:sz="4" w:space="0" w:color="auto"/>
              <w:bottom w:val="single" w:sz="4" w:space="0" w:color="auto"/>
            </w:tcBorders>
          </w:tcPr>
          <w:p w14:paraId="3BD11A6C"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w:t>
            </w:r>
          </w:p>
          <w:p w14:paraId="5FEF8783" w14:textId="77777777" w:rsidR="00624105" w:rsidRPr="00C95105" w:rsidRDefault="00624105" w:rsidP="0093280F">
            <w:pPr>
              <w:pStyle w:val="ListParagraph"/>
              <w:numPr>
                <w:ilvl w:val="0"/>
                <w:numId w:val="12"/>
              </w:numPr>
              <w:spacing w:after="120"/>
              <w:ind w:left="142" w:hanging="142"/>
              <w:contextualSpacing w:val="0"/>
              <w:rPr>
                <w:rFonts w:asciiTheme="minorHAnsi" w:hAnsiTheme="minorHAnsi" w:cstheme="minorHAnsi"/>
                <w:bCs/>
                <w:sz w:val="22"/>
                <w:szCs w:val="22"/>
              </w:rPr>
            </w:pPr>
            <w:bookmarkStart w:id="368" w:name="_Toc96866477"/>
            <w:bookmarkStart w:id="369" w:name="_Toc96866679"/>
            <w:bookmarkStart w:id="370" w:name="_Toc96878346"/>
            <w:r w:rsidRPr="00C95105">
              <w:rPr>
                <w:rFonts w:asciiTheme="minorHAnsi" w:hAnsiTheme="minorHAnsi" w:cstheme="minorHAnsi"/>
                <w:bCs/>
                <w:sz w:val="22"/>
                <w:szCs w:val="22"/>
              </w:rPr>
              <w:t>Avoid using terms like “less serious” and “low level” when describing different forms of sexual harassment. Instead, behaviour should be described in terms of intensity and frequency.</w:t>
            </w:r>
            <w:bookmarkEnd w:id="368"/>
            <w:bookmarkEnd w:id="369"/>
            <w:bookmarkEnd w:id="370"/>
          </w:p>
          <w:p w14:paraId="032E841C" w14:textId="77777777" w:rsidR="00624105" w:rsidRPr="00C95105" w:rsidRDefault="00624105" w:rsidP="0093280F">
            <w:pPr>
              <w:pStyle w:val="ListParagraph"/>
              <w:numPr>
                <w:ilvl w:val="0"/>
                <w:numId w:val="12"/>
              </w:numPr>
              <w:spacing w:after="120"/>
              <w:ind w:left="142" w:hanging="142"/>
              <w:contextualSpacing w:val="0"/>
              <w:rPr>
                <w:rFonts w:asciiTheme="minorHAnsi" w:hAnsiTheme="minorHAnsi" w:cstheme="minorHAnsi"/>
                <w:bCs/>
                <w:sz w:val="22"/>
                <w:szCs w:val="22"/>
              </w:rPr>
            </w:pPr>
            <w:bookmarkStart w:id="371" w:name="_Toc96866478"/>
            <w:bookmarkStart w:id="372" w:name="_Toc96866680"/>
            <w:bookmarkStart w:id="373" w:name="_Toc96878347"/>
            <w:r w:rsidRPr="00C95105">
              <w:rPr>
                <w:rFonts w:asciiTheme="minorHAnsi" w:hAnsiTheme="minorHAnsi" w:cstheme="minorHAnsi"/>
                <w:bCs/>
                <w:sz w:val="22"/>
                <w:szCs w:val="22"/>
              </w:rPr>
              <w:t>Intensity and frequency of sexual harassment should be considered when developing policy and responses to abuse. A combination of low intensity and high frequency has the potential to cause similar harm to high intensity and low frequency events in the long term.</w:t>
            </w:r>
            <w:bookmarkEnd w:id="371"/>
            <w:bookmarkEnd w:id="372"/>
            <w:bookmarkEnd w:id="373"/>
          </w:p>
          <w:p w14:paraId="2A8EDFA5" w14:textId="77777777" w:rsidR="00624105" w:rsidRPr="00C95105" w:rsidRDefault="00624105" w:rsidP="0093280F">
            <w:pPr>
              <w:pStyle w:val="ListParagraph"/>
              <w:numPr>
                <w:ilvl w:val="0"/>
                <w:numId w:val="12"/>
              </w:numPr>
              <w:spacing w:after="120"/>
              <w:ind w:left="142" w:hanging="142"/>
              <w:contextualSpacing w:val="0"/>
              <w:rPr>
                <w:rFonts w:asciiTheme="minorHAnsi" w:hAnsiTheme="minorHAnsi" w:cstheme="minorHAnsi"/>
                <w:bCs/>
                <w:sz w:val="22"/>
                <w:szCs w:val="22"/>
              </w:rPr>
            </w:pPr>
            <w:bookmarkStart w:id="374" w:name="_Toc96866479"/>
            <w:bookmarkStart w:id="375" w:name="_Toc96866681"/>
            <w:bookmarkStart w:id="376" w:name="_Toc96878348"/>
            <w:r w:rsidRPr="00C95105">
              <w:rPr>
                <w:rFonts w:asciiTheme="minorHAnsi" w:hAnsiTheme="minorHAnsi" w:cstheme="minorHAnsi"/>
                <w:bCs/>
                <w:sz w:val="22"/>
                <w:szCs w:val="22"/>
              </w:rPr>
              <w:t>The level of intensity should be determined based on the ability for a single experience to cause trauma. Harm can arise when individuals fail to acknowledge the severity of some forms of harassment (e.g., sexual assault).</w:t>
            </w:r>
            <w:bookmarkEnd w:id="374"/>
            <w:bookmarkEnd w:id="375"/>
            <w:bookmarkEnd w:id="376"/>
            <w:r w:rsidRPr="00C95105">
              <w:rPr>
                <w:rFonts w:asciiTheme="minorHAnsi" w:hAnsiTheme="minorHAnsi" w:cstheme="minorHAnsi"/>
                <w:bCs/>
                <w:sz w:val="22"/>
                <w:szCs w:val="22"/>
              </w:rPr>
              <w:t xml:space="preserve"> </w:t>
            </w:r>
          </w:p>
        </w:tc>
      </w:tr>
      <w:tr w:rsidR="00624105" w:rsidRPr="00C95105" w14:paraId="79E75BED" w14:textId="77777777" w:rsidTr="00532791">
        <w:trPr>
          <w:gridAfter w:val="1"/>
          <w:wAfter w:w="402" w:type="dxa"/>
        </w:trPr>
        <w:tc>
          <w:tcPr>
            <w:tcW w:w="1637" w:type="dxa"/>
            <w:tcBorders>
              <w:top w:val="nil"/>
              <w:bottom w:val="single" w:sz="4" w:space="0" w:color="auto"/>
            </w:tcBorders>
          </w:tcPr>
          <w:p w14:paraId="4D882C77" w14:textId="77777777" w:rsidR="00624105" w:rsidRPr="00C95105" w:rsidRDefault="00624105" w:rsidP="00532791">
            <w:pPr>
              <w:spacing w:after="120"/>
              <w:rPr>
                <w:rFonts w:asciiTheme="minorHAnsi" w:hAnsiTheme="minorHAnsi" w:cstheme="minorHAnsi"/>
                <w:bCs/>
                <w:sz w:val="22"/>
                <w:szCs w:val="22"/>
              </w:rPr>
            </w:pPr>
          </w:p>
        </w:tc>
        <w:tc>
          <w:tcPr>
            <w:tcW w:w="3377" w:type="dxa"/>
            <w:tcBorders>
              <w:top w:val="single" w:sz="4" w:space="0" w:color="auto"/>
              <w:bottom w:val="single" w:sz="4" w:space="0" w:color="auto"/>
            </w:tcBorders>
          </w:tcPr>
          <w:p w14:paraId="7C1EB45B" w14:textId="77777777" w:rsidR="00624105" w:rsidRPr="00C95105" w:rsidRDefault="0062410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Tension can form within organisations that promote a firm stance against sexual harassment when actual employment practices do not reflect the messaging. For example, when organisations fail to respond to complaints, language like ‘zero-tolerance’ can give victims and perpetrators doubt about the organisation’s commitment to a safe workplace. Describing sexual harassment policy as ‘zero-tolerance’ can also create barriers for self-reflection, with perpetrators less willing to admit wrongdoing. </w:t>
            </w:r>
          </w:p>
        </w:tc>
        <w:tc>
          <w:tcPr>
            <w:tcW w:w="4603" w:type="dxa"/>
            <w:gridSpan w:val="4"/>
            <w:tcBorders>
              <w:top w:val="single" w:sz="4" w:space="0" w:color="auto"/>
              <w:bottom w:val="single" w:sz="4" w:space="0" w:color="auto"/>
            </w:tcBorders>
          </w:tcPr>
          <w:p w14:paraId="40FA132D" w14:textId="77777777" w:rsidR="00624105" w:rsidRPr="00C95105" w:rsidRDefault="00624105" w:rsidP="00532791">
            <w:pPr>
              <w:spacing w:after="120"/>
              <w:rPr>
                <w:rFonts w:asciiTheme="minorHAnsi" w:hAnsiTheme="minorHAnsi" w:cstheme="minorHAnsi"/>
                <w:bCs/>
                <w:i/>
                <w:iCs/>
                <w:sz w:val="22"/>
                <w:szCs w:val="22"/>
              </w:rPr>
            </w:pPr>
            <w:r w:rsidRPr="00C95105">
              <w:rPr>
                <w:rFonts w:asciiTheme="minorHAnsi" w:hAnsiTheme="minorHAnsi" w:cstheme="minorHAnsi"/>
                <w:bCs/>
                <w:i/>
                <w:iCs/>
                <w:sz w:val="22"/>
                <w:szCs w:val="22"/>
              </w:rPr>
              <w:t>Prevention:</w:t>
            </w:r>
          </w:p>
          <w:p w14:paraId="54BE7299" w14:textId="6A729239" w:rsidR="00624105" w:rsidRPr="00C95105" w:rsidRDefault="00624105" w:rsidP="0093280F">
            <w:pPr>
              <w:pStyle w:val="ListParagraph"/>
              <w:numPr>
                <w:ilvl w:val="0"/>
                <w:numId w:val="12"/>
              </w:numPr>
              <w:spacing w:after="120"/>
              <w:ind w:left="142" w:hanging="142"/>
              <w:contextualSpacing w:val="0"/>
              <w:rPr>
                <w:rFonts w:asciiTheme="minorHAnsi" w:hAnsiTheme="minorHAnsi" w:cstheme="minorHAnsi"/>
                <w:bCs/>
                <w:sz w:val="22"/>
                <w:szCs w:val="22"/>
              </w:rPr>
            </w:pPr>
            <w:bookmarkStart w:id="377" w:name="_Toc96866480"/>
            <w:bookmarkStart w:id="378" w:name="_Toc96866682"/>
            <w:bookmarkStart w:id="379" w:name="_Toc96878349"/>
            <w:r w:rsidRPr="00C95105">
              <w:rPr>
                <w:rFonts w:asciiTheme="minorHAnsi" w:hAnsiTheme="minorHAnsi" w:cstheme="minorHAnsi"/>
                <w:bCs/>
                <w:sz w:val="22"/>
                <w:szCs w:val="22"/>
              </w:rPr>
              <w:t xml:space="preserve">Organisations must explain that ‘zero-tolerance’ means that complaints will be reviewed and addressed. Undesirable behaviour will be explicitly </w:t>
            </w:r>
            <w:r w:rsidR="00AF0189" w:rsidRPr="00C95105">
              <w:rPr>
                <w:rFonts w:asciiTheme="minorHAnsi" w:hAnsiTheme="minorHAnsi" w:cstheme="minorHAnsi"/>
                <w:bCs/>
                <w:sz w:val="22"/>
                <w:szCs w:val="22"/>
              </w:rPr>
              <w:t>acknowledged,</w:t>
            </w:r>
            <w:r w:rsidRPr="00C95105">
              <w:rPr>
                <w:rFonts w:asciiTheme="minorHAnsi" w:hAnsiTheme="minorHAnsi" w:cstheme="minorHAnsi"/>
                <w:bCs/>
                <w:sz w:val="22"/>
                <w:szCs w:val="22"/>
              </w:rPr>
              <w:t xml:space="preserve"> and appropriate actions taken by leadership.</w:t>
            </w:r>
            <w:bookmarkEnd w:id="377"/>
            <w:bookmarkEnd w:id="378"/>
            <w:bookmarkEnd w:id="379"/>
          </w:p>
          <w:p w14:paraId="293F3BD6" w14:textId="7263A119" w:rsidR="00624105" w:rsidRPr="00C95105" w:rsidRDefault="00624105" w:rsidP="56CFDFE6">
            <w:pPr>
              <w:pStyle w:val="ListParagraph"/>
              <w:numPr>
                <w:ilvl w:val="0"/>
                <w:numId w:val="12"/>
              </w:numPr>
              <w:spacing w:after="120"/>
              <w:ind w:left="142" w:hanging="142"/>
              <w:rPr>
                <w:rFonts w:asciiTheme="minorHAnsi" w:hAnsiTheme="minorHAnsi" w:cstheme="minorHAnsi"/>
                <w:bCs/>
                <w:sz w:val="22"/>
                <w:szCs w:val="22"/>
              </w:rPr>
            </w:pPr>
            <w:bookmarkStart w:id="380" w:name="_Toc96866481"/>
            <w:bookmarkStart w:id="381" w:name="_Toc96866683"/>
            <w:bookmarkStart w:id="382" w:name="_Toc96878350"/>
            <w:r w:rsidRPr="00C95105">
              <w:rPr>
                <w:rFonts w:asciiTheme="minorHAnsi" w:hAnsiTheme="minorHAnsi" w:cstheme="minorHAnsi"/>
                <w:bCs/>
                <w:sz w:val="22"/>
                <w:szCs w:val="22"/>
              </w:rPr>
              <w:t xml:space="preserve">‘Zero tolerance’ should not mean that all sexual harassment will be dealt with in an equally severe manner (e.g., suspension, dismissal). Consequences should be appropriately matched with the intensity and frequency of the harassment. This match needs to be clearly </w:t>
            </w:r>
            <w:r w:rsidR="00AF0189" w:rsidRPr="00C95105">
              <w:rPr>
                <w:rFonts w:asciiTheme="minorHAnsi" w:hAnsiTheme="minorHAnsi" w:cstheme="minorHAnsi"/>
                <w:bCs/>
                <w:sz w:val="22"/>
                <w:szCs w:val="22"/>
              </w:rPr>
              <w:t>explained</w:t>
            </w:r>
            <w:r w:rsidRPr="00C95105">
              <w:rPr>
                <w:rFonts w:asciiTheme="minorHAnsi" w:hAnsiTheme="minorHAnsi" w:cstheme="minorHAnsi"/>
                <w:bCs/>
                <w:sz w:val="22"/>
                <w:szCs w:val="22"/>
              </w:rPr>
              <w:t xml:space="preserve"> in organisational p</w:t>
            </w:r>
            <w:bookmarkEnd w:id="380"/>
            <w:bookmarkEnd w:id="381"/>
            <w:r w:rsidR="00AF0189" w:rsidRPr="00C95105">
              <w:rPr>
                <w:rFonts w:asciiTheme="minorHAnsi" w:hAnsiTheme="minorHAnsi" w:cstheme="minorHAnsi"/>
                <w:bCs/>
                <w:sz w:val="22"/>
                <w:szCs w:val="22"/>
              </w:rPr>
              <w:t>olicies.</w:t>
            </w:r>
            <w:bookmarkEnd w:id="382"/>
          </w:p>
        </w:tc>
      </w:tr>
      <w:tr w:rsidR="006120AA" w:rsidRPr="00C95105" w14:paraId="481659FC" w14:textId="77777777" w:rsidTr="00380EDD">
        <w:trPr>
          <w:trHeight w:val="183"/>
        </w:trPr>
        <w:tc>
          <w:tcPr>
            <w:tcW w:w="10019" w:type="dxa"/>
            <w:gridSpan w:val="7"/>
            <w:tcBorders>
              <w:top w:val="single" w:sz="4" w:space="0" w:color="auto"/>
              <w:bottom w:val="nil"/>
            </w:tcBorders>
          </w:tcPr>
          <w:p w14:paraId="56A30C29" w14:textId="77777777" w:rsidR="006120AA" w:rsidRPr="00C95105" w:rsidRDefault="006120AA" w:rsidP="00532791">
            <w:pPr>
              <w:spacing w:after="120"/>
              <w:rPr>
                <w:rFonts w:asciiTheme="minorHAnsi" w:hAnsiTheme="minorHAnsi" w:cstheme="minorHAnsi"/>
                <w:bCs/>
                <w:color w:val="0070C0"/>
                <w:sz w:val="22"/>
                <w:szCs w:val="22"/>
              </w:rPr>
            </w:pPr>
          </w:p>
        </w:tc>
      </w:tr>
    </w:tbl>
    <w:p w14:paraId="1C86F144" w14:textId="77777777" w:rsidR="00624105" w:rsidRDefault="00624105" w:rsidP="00624105">
      <w:pPr>
        <w:spacing w:after="120"/>
        <w:jc w:val="center"/>
        <w:rPr>
          <w:rFonts w:asciiTheme="minorHAnsi" w:hAnsiTheme="minorHAnsi" w:cstheme="minorHAnsi"/>
          <w:b/>
          <w:color w:val="2F5496" w:themeColor="accent1" w:themeShade="BF"/>
        </w:rPr>
      </w:pPr>
    </w:p>
    <w:p w14:paraId="5CA8CBC9" w14:textId="77777777" w:rsidR="00B31996" w:rsidRDefault="00B31996" w:rsidP="00624105">
      <w:pPr>
        <w:spacing w:after="120"/>
        <w:jc w:val="center"/>
        <w:rPr>
          <w:rFonts w:asciiTheme="minorHAnsi" w:hAnsiTheme="minorHAnsi" w:cstheme="minorHAnsi"/>
          <w:b/>
          <w:color w:val="2F5496" w:themeColor="accent1" w:themeShade="BF"/>
        </w:rPr>
      </w:pPr>
    </w:p>
    <w:p w14:paraId="2EE07A82" w14:textId="77777777" w:rsidR="00B31996" w:rsidRDefault="00B31996" w:rsidP="00624105">
      <w:pPr>
        <w:spacing w:after="120"/>
        <w:jc w:val="center"/>
        <w:rPr>
          <w:rFonts w:asciiTheme="minorHAnsi" w:hAnsiTheme="minorHAnsi" w:cstheme="minorHAnsi"/>
          <w:b/>
          <w:color w:val="2F5496" w:themeColor="accent1" w:themeShade="BF"/>
        </w:rPr>
      </w:pPr>
    </w:p>
    <w:p w14:paraId="4C07DE1F" w14:textId="77777777" w:rsidR="00B31996" w:rsidRDefault="00B31996" w:rsidP="00624105">
      <w:pPr>
        <w:spacing w:after="120"/>
        <w:jc w:val="center"/>
        <w:rPr>
          <w:rFonts w:asciiTheme="minorHAnsi" w:hAnsiTheme="minorHAnsi" w:cstheme="minorHAnsi"/>
          <w:b/>
          <w:color w:val="2F5496" w:themeColor="accent1" w:themeShade="BF"/>
        </w:rPr>
      </w:pPr>
    </w:p>
    <w:p w14:paraId="0E9A2E67" w14:textId="77777777" w:rsidR="00B31996" w:rsidRDefault="00B31996" w:rsidP="00624105">
      <w:pPr>
        <w:spacing w:after="120"/>
        <w:jc w:val="center"/>
        <w:rPr>
          <w:rFonts w:asciiTheme="minorHAnsi" w:hAnsiTheme="minorHAnsi" w:cstheme="minorHAnsi"/>
          <w:b/>
          <w:color w:val="2F5496" w:themeColor="accent1" w:themeShade="BF"/>
        </w:rPr>
      </w:pPr>
    </w:p>
    <w:p w14:paraId="7AFF9726" w14:textId="77777777" w:rsidR="00B31996" w:rsidRPr="00C95105" w:rsidRDefault="00B31996" w:rsidP="00624105">
      <w:pPr>
        <w:spacing w:after="120"/>
        <w:jc w:val="center"/>
        <w:rPr>
          <w:rFonts w:asciiTheme="minorHAnsi" w:hAnsiTheme="minorHAnsi" w:cstheme="minorHAnsi"/>
          <w:b/>
          <w:color w:val="2F5496" w:themeColor="accent1" w:themeShade="BF"/>
        </w:rPr>
      </w:pPr>
    </w:p>
    <w:p w14:paraId="7FE27393" w14:textId="31E00EDC" w:rsidR="00624105" w:rsidRPr="00C95105" w:rsidRDefault="00EC4881" w:rsidP="0093280F">
      <w:pPr>
        <w:pStyle w:val="Heading2"/>
        <w:numPr>
          <w:ilvl w:val="1"/>
          <w:numId w:val="20"/>
        </w:numPr>
        <w:spacing w:before="0" w:after="120"/>
        <w:ind w:left="426" w:hanging="426"/>
        <w:rPr>
          <w:rFonts w:asciiTheme="minorHAnsi" w:hAnsiTheme="minorHAnsi" w:cstheme="minorHAnsi"/>
          <w:b/>
          <w:bCs/>
        </w:rPr>
      </w:pPr>
      <w:bookmarkStart w:id="383" w:name="_Toc96957711"/>
      <w:r>
        <w:rPr>
          <w:rFonts w:asciiTheme="minorHAnsi" w:hAnsiTheme="minorHAnsi" w:cstheme="minorHAnsi"/>
          <w:b/>
          <w:bCs/>
        </w:rPr>
        <w:lastRenderedPageBreak/>
        <w:t xml:space="preserve">A </w:t>
      </w:r>
      <w:r w:rsidR="0023466C" w:rsidRPr="00C95105">
        <w:rPr>
          <w:rFonts w:asciiTheme="minorHAnsi" w:hAnsiTheme="minorHAnsi" w:cstheme="minorHAnsi"/>
          <w:b/>
          <w:bCs/>
        </w:rPr>
        <w:t>R</w:t>
      </w:r>
      <w:r w:rsidR="00624105" w:rsidRPr="00C95105">
        <w:rPr>
          <w:rFonts w:asciiTheme="minorHAnsi" w:hAnsiTheme="minorHAnsi" w:cstheme="minorHAnsi"/>
          <w:b/>
          <w:bCs/>
        </w:rPr>
        <w:t xml:space="preserve">oadmap for </w:t>
      </w:r>
      <w:r w:rsidR="0023466C" w:rsidRPr="00C95105">
        <w:rPr>
          <w:rFonts w:asciiTheme="minorHAnsi" w:hAnsiTheme="minorHAnsi" w:cstheme="minorHAnsi"/>
          <w:b/>
          <w:bCs/>
        </w:rPr>
        <w:t>A</w:t>
      </w:r>
      <w:r w:rsidR="00624105" w:rsidRPr="00C95105">
        <w:rPr>
          <w:rFonts w:asciiTheme="minorHAnsi" w:hAnsiTheme="minorHAnsi" w:cstheme="minorHAnsi"/>
          <w:b/>
          <w:bCs/>
        </w:rPr>
        <w:t>ction</w:t>
      </w:r>
      <w:bookmarkEnd w:id="383"/>
    </w:p>
    <w:p w14:paraId="2D78BF3F" w14:textId="6D1DB80C" w:rsidR="00624105" w:rsidRPr="00C95105" w:rsidRDefault="004B7FA2" w:rsidP="009F5D07">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the previous section, we</w:t>
      </w:r>
      <w:r w:rsidR="00624105" w:rsidRPr="00C95105">
        <w:rPr>
          <w:rFonts w:asciiTheme="minorHAnsi" w:hAnsiTheme="minorHAnsi" w:cstheme="minorHAnsi"/>
          <w:sz w:val="22"/>
          <w:szCs w:val="22"/>
        </w:rPr>
        <w:t xml:space="preserve"> identified broad social and organisational factors that drive sexual harassment, in addition to providing recommendations from the academic literature. Below, following consultation with the VPS, we provide a road map to address key areas of concern and opportunities for improvement. In this section, we provide recommendations about where to start and how to scaffold interventions to maximise positive outcomes at the organisation, team and individual level. </w:t>
      </w:r>
    </w:p>
    <w:p w14:paraId="12A18599" w14:textId="77777777" w:rsidR="002E4F0C" w:rsidRPr="00C95105" w:rsidRDefault="00624105" w:rsidP="002E4F0C">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public sector should prioritise preventative measures that stop sexual harassment </w:t>
      </w:r>
      <w:r w:rsidRPr="00C95105">
        <w:rPr>
          <w:rFonts w:asciiTheme="minorHAnsi" w:hAnsiTheme="minorHAnsi" w:cstheme="minorHAnsi"/>
          <w:i/>
          <w:iCs/>
          <w:sz w:val="22"/>
          <w:szCs w:val="22"/>
        </w:rPr>
        <w:t>before</w:t>
      </w:r>
      <w:r w:rsidRPr="00C95105">
        <w:rPr>
          <w:rFonts w:asciiTheme="minorHAnsi" w:hAnsiTheme="minorHAnsi" w:cstheme="minorHAnsi"/>
          <w:sz w:val="22"/>
          <w:szCs w:val="22"/>
        </w:rPr>
        <w:t xml:space="preserve"> it happens. Prevention efforts can be primary or secondary (Vartia &amp; Leka, 2011). Primary interventions prevent the occurrence of harmful phenomena, while secondary interventions slow, reduce or reverse the progression of events, prevent recurrence, and provide individuals with effective coping resources. Prevention should start at the organisation level and move down through the teams and individuals. This allows the structures that drive sexual harassment to be addressed before placing personal responsibility on employees. </w:t>
      </w:r>
    </w:p>
    <w:p w14:paraId="1193506C" w14:textId="77777777" w:rsidR="002E4F0C" w:rsidRPr="00C95105" w:rsidRDefault="00624105" w:rsidP="002E4F0C">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Whilst effective prevention is crucial, sexual harassment is unlikely to ever be completely eliminated; meaning that appropriate management strategies are also necessary. When sexual harassment has been identified in the workplace, tertiary interventions aim to reduce negative impacts and restore health and wellbeing (Vartia &amp; Leka, 2011). As with preventative measures, it is important to improve the management of sexual harassment at the organisational level, before introducing change into teams and individuals. For example, it is impractical to train individuals to identify sexual harassment when the reporting processes are not effective or fair. </w:t>
      </w:r>
    </w:p>
    <w:p w14:paraId="6123F6D7" w14:textId="012F8257" w:rsidR="00624105" w:rsidRPr="00C95105" w:rsidRDefault="00624105" w:rsidP="002E4F0C">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Figure </w:t>
      </w:r>
      <w:r w:rsidR="002E4F0C" w:rsidRPr="00C95105">
        <w:rPr>
          <w:rFonts w:asciiTheme="minorHAnsi" w:hAnsiTheme="minorHAnsi" w:cstheme="minorHAnsi"/>
          <w:sz w:val="22"/>
          <w:szCs w:val="22"/>
        </w:rPr>
        <w:t>4.2</w:t>
      </w:r>
      <w:r w:rsidRPr="00C95105">
        <w:rPr>
          <w:rFonts w:asciiTheme="minorHAnsi" w:hAnsiTheme="minorHAnsi" w:cstheme="minorHAnsi"/>
          <w:sz w:val="22"/>
          <w:szCs w:val="22"/>
        </w:rPr>
        <w:t xml:space="preserve"> denotes two processes – prevention and management – that frame our road map for the VPS. We focus on prevention strategies as the area where the VPS should invest the greatest level of resources. We then outline key management strategies that improve transparency and promotes a culture of equality and fairness. For each process, we move from the organisation to the individual, acknowledging that this linear approach does not accurately represent the reality of organisational life. In many instances, individuals will need to change in order to create change at the organisational level. </w:t>
      </w:r>
    </w:p>
    <w:p w14:paraId="78ECA63B" w14:textId="77777777" w:rsidR="002E4F0C" w:rsidRDefault="002E4F0C" w:rsidP="002E4F0C">
      <w:pPr>
        <w:spacing w:after="120"/>
        <w:ind w:firstLine="567"/>
        <w:rPr>
          <w:rFonts w:asciiTheme="minorHAnsi" w:hAnsiTheme="minorHAnsi" w:cstheme="minorHAnsi"/>
          <w:sz w:val="22"/>
          <w:szCs w:val="22"/>
        </w:rPr>
      </w:pPr>
    </w:p>
    <w:p w14:paraId="2CDF5477" w14:textId="77777777" w:rsidR="00B31996" w:rsidRDefault="00B31996" w:rsidP="002E4F0C">
      <w:pPr>
        <w:spacing w:after="120"/>
        <w:ind w:firstLine="567"/>
        <w:rPr>
          <w:rFonts w:asciiTheme="minorHAnsi" w:hAnsiTheme="minorHAnsi" w:cstheme="minorHAnsi"/>
          <w:sz w:val="22"/>
          <w:szCs w:val="22"/>
        </w:rPr>
      </w:pPr>
    </w:p>
    <w:p w14:paraId="6458A1A4" w14:textId="77777777" w:rsidR="00B31996" w:rsidRDefault="00B31996" w:rsidP="002E4F0C">
      <w:pPr>
        <w:spacing w:after="120"/>
        <w:ind w:firstLine="567"/>
        <w:rPr>
          <w:rFonts w:asciiTheme="minorHAnsi" w:hAnsiTheme="minorHAnsi" w:cstheme="minorHAnsi"/>
          <w:sz w:val="22"/>
          <w:szCs w:val="22"/>
        </w:rPr>
      </w:pPr>
    </w:p>
    <w:p w14:paraId="7ED43657" w14:textId="77777777" w:rsidR="00B31996" w:rsidRDefault="00B31996" w:rsidP="002E4F0C">
      <w:pPr>
        <w:spacing w:after="120"/>
        <w:ind w:firstLine="567"/>
        <w:rPr>
          <w:rFonts w:asciiTheme="minorHAnsi" w:hAnsiTheme="minorHAnsi" w:cstheme="minorHAnsi"/>
          <w:sz w:val="22"/>
          <w:szCs w:val="22"/>
        </w:rPr>
      </w:pPr>
    </w:p>
    <w:p w14:paraId="1C7E8CC0" w14:textId="77777777" w:rsidR="00B31996" w:rsidRDefault="00B31996" w:rsidP="002E4F0C">
      <w:pPr>
        <w:spacing w:after="120"/>
        <w:ind w:firstLine="567"/>
        <w:rPr>
          <w:rFonts w:asciiTheme="minorHAnsi" w:hAnsiTheme="minorHAnsi" w:cstheme="minorHAnsi"/>
          <w:sz w:val="22"/>
          <w:szCs w:val="22"/>
        </w:rPr>
      </w:pPr>
    </w:p>
    <w:p w14:paraId="21347A94" w14:textId="77777777" w:rsidR="00B31996" w:rsidRDefault="00B31996" w:rsidP="002E4F0C">
      <w:pPr>
        <w:spacing w:after="120"/>
        <w:ind w:firstLine="567"/>
        <w:rPr>
          <w:rFonts w:asciiTheme="minorHAnsi" w:hAnsiTheme="minorHAnsi" w:cstheme="minorHAnsi"/>
          <w:sz w:val="22"/>
          <w:szCs w:val="22"/>
        </w:rPr>
      </w:pPr>
    </w:p>
    <w:p w14:paraId="43A294BC" w14:textId="77777777" w:rsidR="00B31996" w:rsidRDefault="00B31996" w:rsidP="002E4F0C">
      <w:pPr>
        <w:spacing w:after="120"/>
        <w:ind w:firstLine="567"/>
        <w:rPr>
          <w:rFonts w:asciiTheme="minorHAnsi" w:hAnsiTheme="minorHAnsi" w:cstheme="minorHAnsi"/>
          <w:sz w:val="22"/>
          <w:szCs w:val="22"/>
        </w:rPr>
      </w:pPr>
    </w:p>
    <w:p w14:paraId="2A7B6D29" w14:textId="77777777" w:rsidR="00B31996" w:rsidRDefault="00B31996" w:rsidP="002E4F0C">
      <w:pPr>
        <w:spacing w:after="120"/>
        <w:ind w:firstLine="567"/>
        <w:rPr>
          <w:rFonts w:asciiTheme="minorHAnsi" w:hAnsiTheme="minorHAnsi" w:cstheme="minorHAnsi"/>
          <w:sz w:val="22"/>
          <w:szCs w:val="22"/>
        </w:rPr>
      </w:pPr>
    </w:p>
    <w:p w14:paraId="621029BC" w14:textId="77777777" w:rsidR="00B31996" w:rsidRDefault="00B31996" w:rsidP="002E4F0C">
      <w:pPr>
        <w:spacing w:after="120"/>
        <w:ind w:firstLine="567"/>
        <w:rPr>
          <w:rFonts w:asciiTheme="minorHAnsi" w:hAnsiTheme="minorHAnsi" w:cstheme="minorHAnsi"/>
          <w:sz w:val="22"/>
          <w:szCs w:val="22"/>
        </w:rPr>
      </w:pPr>
    </w:p>
    <w:p w14:paraId="2F49E822" w14:textId="77777777" w:rsidR="00B31996" w:rsidRDefault="00B31996" w:rsidP="002E4F0C">
      <w:pPr>
        <w:spacing w:after="120"/>
        <w:ind w:firstLine="567"/>
        <w:rPr>
          <w:rFonts w:asciiTheme="minorHAnsi" w:hAnsiTheme="minorHAnsi" w:cstheme="minorHAnsi"/>
          <w:sz w:val="22"/>
          <w:szCs w:val="22"/>
        </w:rPr>
      </w:pPr>
    </w:p>
    <w:p w14:paraId="19A94623" w14:textId="77777777" w:rsidR="00B31996" w:rsidRDefault="00B31996" w:rsidP="002E4F0C">
      <w:pPr>
        <w:spacing w:after="120"/>
        <w:ind w:firstLine="567"/>
        <w:rPr>
          <w:rFonts w:asciiTheme="minorHAnsi" w:hAnsiTheme="minorHAnsi" w:cstheme="minorHAnsi"/>
          <w:sz w:val="22"/>
          <w:szCs w:val="22"/>
        </w:rPr>
      </w:pPr>
    </w:p>
    <w:p w14:paraId="1237ABEF" w14:textId="77777777" w:rsidR="00B31996" w:rsidRDefault="00B31996" w:rsidP="002E4F0C">
      <w:pPr>
        <w:spacing w:after="120"/>
        <w:ind w:firstLine="567"/>
        <w:rPr>
          <w:rFonts w:asciiTheme="minorHAnsi" w:hAnsiTheme="minorHAnsi" w:cstheme="minorHAnsi"/>
          <w:sz w:val="22"/>
          <w:szCs w:val="22"/>
        </w:rPr>
      </w:pPr>
    </w:p>
    <w:p w14:paraId="724CA93A" w14:textId="77777777" w:rsidR="00B31996" w:rsidRDefault="00B31996" w:rsidP="002E4F0C">
      <w:pPr>
        <w:spacing w:after="120"/>
        <w:ind w:firstLine="567"/>
        <w:rPr>
          <w:rFonts w:asciiTheme="minorHAnsi" w:hAnsiTheme="minorHAnsi" w:cstheme="minorHAnsi"/>
          <w:sz w:val="22"/>
          <w:szCs w:val="22"/>
        </w:rPr>
      </w:pPr>
    </w:p>
    <w:p w14:paraId="29DAD078" w14:textId="77777777" w:rsidR="00B31996" w:rsidRDefault="00B31996" w:rsidP="002E4F0C">
      <w:pPr>
        <w:spacing w:after="120"/>
        <w:ind w:firstLine="567"/>
        <w:rPr>
          <w:rFonts w:asciiTheme="minorHAnsi" w:hAnsiTheme="minorHAnsi" w:cstheme="minorHAnsi"/>
          <w:sz w:val="22"/>
          <w:szCs w:val="22"/>
        </w:rPr>
      </w:pPr>
    </w:p>
    <w:p w14:paraId="24AFB473" w14:textId="77777777" w:rsidR="00B31996" w:rsidRPr="00C95105" w:rsidRDefault="00B31996" w:rsidP="002E4F0C">
      <w:pPr>
        <w:spacing w:after="120"/>
        <w:ind w:firstLine="567"/>
        <w:rPr>
          <w:rFonts w:asciiTheme="minorHAnsi" w:hAnsiTheme="minorHAnsi" w:cstheme="minorHAnsi"/>
          <w:sz w:val="22"/>
          <w:szCs w:val="22"/>
        </w:rPr>
      </w:pPr>
    </w:p>
    <w:p w14:paraId="445FD692" w14:textId="54CF4056" w:rsidR="002E4F0C" w:rsidRPr="00C95105" w:rsidRDefault="002E4F0C" w:rsidP="002E4F0C">
      <w:pPr>
        <w:pStyle w:val="ListParagraph"/>
        <w:ind w:left="0"/>
        <w:rPr>
          <w:rFonts w:asciiTheme="minorHAnsi" w:hAnsiTheme="minorHAnsi" w:cstheme="minorHAnsi"/>
          <w:b/>
          <w:bCs/>
          <w:i/>
          <w:iCs/>
        </w:rPr>
      </w:pPr>
      <w:bookmarkStart w:id="384" w:name="_Toc96878351"/>
      <w:r w:rsidRPr="00C95105">
        <w:rPr>
          <w:rFonts w:asciiTheme="minorHAnsi" w:hAnsiTheme="minorHAnsi" w:cstheme="minorHAnsi"/>
          <w:b/>
          <w:bCs/>
          <w:i/>
          <w:iCs/>
        </w:rPr>
        <w:lastRenderedPageBreak/>
        <w:t xml:space="preserve">Figure </w:t>
      </w:r>
      <w:r w:rsidR="00137555" w:rsidRPr="00C95105">
        <w:rPr>
          <w:rFonts w:asciiTheme="minorHAnsi" w:hAnsiTheme="minorHAnsi" w:cstheme="minorHAnsi"/>
          <w:b/>
          <w:bCs/>
          <w:i/>
          <w:iCs/>
        </w:rPr>
        <w:t>4.</w:t>
      </w:r>
      <w:r w:rsidRPr="00C95105">
        <w:rPr>
          <w:rFonts w:asciiTheme="minorHAnsi" w:hAnsiTheme="minorHAnsi" w:cstheme="minorHAnsi"/>
          <w:b/>
          <w:bCs/>
          <w:i/>
          <w:iCs/>
        </w:rPr>
        <w:t xml:space="preserve">2. </w:t>
      </w:r>
      <w:r w:rsidRPr="00C95105">
        <w:rPr>
          <w:rFonts w:asciiTheme="minorHAnsi" w:hAnsiTheme="minorHAnsi" w:cstheme="minorHAnsi"/>
          <w:i/>
          <w:iCs/>
        </w:rPr>
        <w:t>Roadmap of actions to reduce sexual harassment in the public sector</w:t>
      </w:r>
      <w:bookmarkEnd w:id="384"/>
    </w:p>
    <w:p w14:paraId="09A5296C" w14:textId="77777777" w:rsidR="00624105" w:rsidRPr="00C95105" w:rsidRDefault="00624105" w:rsidP="00624105">
      <w:pPr>
        <w:spacing w:after="120"/>
        <w:jc w:val="center"/>
        <w:rPr>
          <w:rFonts w:asciiTheme="minorHAnsi" w:hAnsiTheme="minorHAnsi" w:cstheme="minorHAnsi"/>
          <w:b/>
          <w:color w:val="2F5496" w:themeColor="accent1" w:themeShade="BF"/>
        </w:rPr>
      </w:pPr>
      <w:r w:rsidRPr="00C95105">
        <w:rPr>
          <w:rFonts w:asciiTheme="minorHAnsi" w:hAnsiTheme="minorHAnsi" w:cstheme="minorHAnsi"/>
          <w:b/>
          <w:noProof/>
          <w:color w:val="2F5496" w:themeColor="accent1" w:themeShade="BF"/>
        </w:rPr>
        <w:drawing>
          <wp:inline distT="0" distB="0" distL="0" distR="0" wp14:anchorId="07668BA9" wp14:editId="6F3D1BC8">
            <wp:extent cx="5868035" cy="4216400"/>
            <wp:effectExtent l="38100" t="0" r="0" b="0"/>
            <wp:docPr id="69" name="Diagram 69" descr="Flowchart showing actions under two headings. &#10;Under Prevention, the organisation's actions are to promote culture of equity and respect, diversify leadership and workforce, review SH policy. &#10;The Team actions are to train leaders on preventing and responding to SH, train staff on respectful relations, including diversity and inclusion, utilise innovative and empirical behaviour change interventions.&#10;For the Individual, engage staff to identify and prevent SH.&#10;Under Management column, the actions for the organisation are to eliminate barriers to reporting SH, robust, independent management of reports, introduce relevant flexible working arrangements, transparent review processes.&#10;The actions for the team are to train on Bystander intervention. &#10;For the individual, training for instigator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2032CB89" w14:textId="77777777" w:rsidR="00624105" w:rsidRPr="00C95105" w:rsidRDefault="00624105" w:rsidP="00624105">
      <w:pPr>
        <w:spacing w:after="120"/>
        <w:rPr>
          <w:rFonts w:asciiTheme="minorHAnsi" w:hAnsiTheme="minorHAnsi" w:cstheme="minorHAnsi"/>
          <w:b/>
          <w:color w:val="2F5496" w:themeColor="accent1" w:themeShade="BF"/>
        </w:rPr>
      </w:pPr>
    </w:p>
    <w:p w14:paraId="57B6FC31" w14:textId="77777777"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385" w:name="_Toc96957712"/>
      <w:r w:rsidRPr="00C95105">
        <w:rPr>
          <w:rFonts w:asciiTheme="minorHAnsi" w:hAnsiTheme="minorHAnsi" w:cstheme="minorHAnsi"/>
          <w:b/>
          <w:bCs/>
          <w:i/>
          <w:iCs/>
          <w:color w:val="2F5496" w:themeColor="accent1" w:themeShade="BF"/>
          <w:sz w:val="22"/>
          <w:szCs w:val="22"/>
        </w:rPr>
        <w:t>Prevention – Organisational Level</w:t>
      </w:r>
      <w:bookmarkEnd w:id="385"/>
      <w:r w:rsidRPr="00C95105">
        <w:rPr>
          <w:rFonts w:asciiTheme="minorHAnsi" w:hAnsiTheme="minorHAnsi" w:cstheme="minorHAnsi"/>
          <w:b/>
          <w:bCs/>
          <w:i/>
          <w:iCs/>
          <w:color w:val="2F5496" w:themeColor="accent1" w:themeShade="BF"/>
          <w:sz w:val="22"/>
          <w:szCs w:val="22"/>
        </w:rPr>
        <w:tab/>
      </w:r>
      <w:r w:rsidRPr="00C95105">
        <w:rPr>
          <w:rFonts w:asciiTheme="minorHAnsi" w:hAnsiTheme="minorHAnsi" w:cstheme="minorHAnsi"/>
          <w:b/>
          <w:bCs/>
          <w:i/>
          <w:iCs/>
          <w:color w:val="2F5496" w:themeColor="accent1" w:themeShade="BF"/>
          <w:sz w:val="22"/>
          <w:szCs w:val="22"/>
        </w:rPr>
        <w:tab/>
      </w:r>
    </w:p>
    <w:p w14:paraId="21F5D133" w14:textId="25D0E845"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Promote a culture of respect</w:t>
      </w:r>
    </w:p>
    <w:p w14:paraId="6E674C7E" w14:textId="5922948E"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Promoting a culture of equity and respect is an important primary prevention intervention. </w:t>
      </w:r>
      <w:r w:rsidRPr="00C95105">
        <w:rPr>
          <w:rFonts w:asciiTheme="minorHAnsi" w:hAnsiTheme="minorHAnsi" w:cstheme="minorHAnsi"/>
          <w:i/>
          <w:iCs/>
          <w:sz w:val="22"/>
          <w:szCs w:val="22"/>
        </w:rPr>
        <w:t>Respect</w:t>
      </w:r>
      <w:r w:rsidRPr="00C95105">
        <w:rPr>
          <w:rFonts w:asciiTheme="minorHAnsi" w:hAnsiTheme="minorHAnsi" w:cstheme="minorHAnsi"/>
          <w:sz w:val="22"/>
          <w:szCs w:val="22"/>
        </w:rPr>
        <w:t xml:space="preserve"> is already included as a core value at the VPS, encompassing the principles of fair treatment and freedom from discrimination, harassment and bullying.  The VPS can emphasise and communicate the alignment of this Public Sector Value with the importance of addressing sexual harassment. </w:t>
      </w:r>
    </w:p>
    <w:p w14:paraId="0BEE7C1B"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 xml:space="preserve">Practical recommendations: </w:t>
      </w:r>
    </w:p>
    <w:p w14:paraId="571BD4E0" w14:textId="6A8922D6" w:rsidR="00624105" w:rsidRPr="00C95105" w:rsidRDefault="00624105" w:rsidP="58B98FE0">
      <w:pPr>
        <w:pStyle w:val="ListParagraph"/>
        <w:numPr>
          <w:ilvl w:val="0"/>
          <w:numId w:val="14"/>
        </w:numPr>
        <w:spacing w:after="120"/>
        <w:rPr>
          <w:rFonts w:asciiTheme="minorHAnsi" w:hAnsiTheme="minorHAnsi" w:cstheme="minorHAnsi"/>
          <w:sz w:val="22"/>
          <w:szCs w:val="22"/>
        </w:rPr>
      </w:pPr>
      <w:bookmarkStart w:id="386" w:name="_Toc96866482"/>
      <w:bookmarkStart w:id="387" w:name="_Toc96866684"/>
      <w:bookmarkStart w:id="388" w:name="_Toc96878352"/>
      <w:r w:rsidRPr="00C95105">
        <w:rPr>
          <w:rFonts w:asciiTheme="minorHAnsi" w:hAnsiTheme="minorHAnsi" w:cstheme="minorHAnsi"/>
          <w:sz w:val="22"/>
          <w:szCs w:val="22"/>
        </w:rPr>
        <w:t>Respect should be operationalised through criteria used to recruit, evaluate and reward performance, and promote staff.</w:t>
      </w:r>
      <w:bookmarkEnd w:id="386"/>
      <w:bookmarkEnd w:id="387"/>
      <w:bookmarkEnd w:id="388"/>
      <w:r w:rsidRPr="00C95105">
        <w:rPr>
          <w:rFonts w:asciiTheme="minorHAnsi" w:hAnsiTheme="minorHAnsi" w:cstheme="minorHAnsi"/>
          <w:sz w:val="22"/>
          <w:szCs w:val="22"/>
        </w:rPr>
        <w:t xml:space="preserve"> </w:t>
      </w:r>
    </w:p>
    <w:p w14:paraId="61C270A3" w14:textId="7EA1F214" w:rsidR="00624105" w:rsidRPr="00C95105" w:rsidRDefault="5BB52358" w:rsidP="69AC14A8">
      <w:pPr>
        <w:pStyle w:val="ListParagraph"/>
        <w:numPr>
          <w:ilvl w:val="0"/>
          <w:numId w:val="14"/>
        </w:numPr>
        <w:spacing w:after="120"/>
        <w:rPr>
          <w:rFonts w:asciiTheme="minorHAnsi" w:hAnsiTheme="minorHAnsi" w:cstheme="minorHAnsi"/>
          <w:sz w:val="22"/>
          <w:szCs w:val="22"/>
        </w:rPr>
      </w:pPr>
      <w:bookmarkStart w:id="389" w:name="_Toc96866483"/>
      <w:bookmarkStart w:id="390" w:name="_Toc96866685"/>
      <w:bookmarkStart w:id="391" w:name="_Toc96878353"/>
      <w:r w:rsidRPr="00C95105">
        <w:rPr>
          <w:rFonts w:asciiTheme="minorHAnsi" w:hAnsiTheme="minorHAnsi" w:cstheme="minorHAnsi"/>
          <w:sz w:val="22"/>
          <w:szCs w:val="22"/>
        </w:rPr>
        <w:t>Respect</w:t>
      </w:r>
      <w:r w:rsidR="00624105" w:rsidRPr="00C95105">
        <w:rPr>
          <w:rFonts w:asciiTheme="minorHAnsi" w:hAnsiTheme="minorHAnsi" w:cstheme="minorHAnsi"/>
          <w:sz w:val="22"/>
          <w:szCs w:val="22"/>
        </w:rPr>
        <w:t xml:space="preserve"> should be publicly endorsed by senior management and team leaders. Public endorsements can be simple and cost-effective, such as an email from senior management outlining the steps being taken by the VPS to reduce sexual harassment. Organisation and team meetings are also a great opportunity to efficiently communicate with staff about the processes being undertaken to improve </w:t>
      </w:r>
      <w:r w:rsidRPr="00C95105">
        <w:rPr>
          <w:rFonts w:asciiTheme="minorHAnsi" w:hAnsiTheme="minorHAnsi" w:cstheme="minorHAnsi"/>
          <w:sz w:val="22"/>
          <w:szCs w:val="22"/>
        </w:rPr>
        <w:t>respect</w:t>
      </w:r>
      <w:r w:rsidR="00624105" w:rsidRPr="00C95105">
        <w:rPr>
          <w:rFonts w:asciiTheme="minorHAnsi" w:hAnsiTheme="minorHAnsi" w:cstheme="minorHAnsi"/>
          <w:sz w:val="22"/>
          <w:szCs w:val="22"/>
        </w:rPr>
        <w:t xml:space="preserve"> at work.</w:t>
      </w:r>
      <w:bookmarkEnd w:id="389"/>
      <w:bookmarkEnd w:id="390"/>
      <w:bookmarkEnd w:id="391"/>
      <w:r w:rsidR="00624105" w:rsidRPr="00C95105">
        <w:rPr>
          <w:rFonts w:asciiTheme="minorHAnsi" w:hAnsiTheme="minorHAnsi" w:cstheme="minorHAnsi"/>
          <w:sz w:val="22"/>
          <w:szCs w:val="22"/>
        </w:rPr>
        <w:t xml:space="preserve"> </w:t>
      </w:r>
    </w:p>
    <w:p w14:paraId="7B680031"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Diversify leadership and workforce</w:t>
      </w:r>
    </w:p>
    <w:p w14:paraId="5FDC55FA" w14:textId="77777777"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Leadership diversification and accountability must be prioritised as primary prevention interventions. Power disparities in general and those that fall across gender lines are more likely to drive sexual harassment. Making efforts to create gender balance within organisational units and in leadership is a necessary step to help prevent sexual harassment and make sure that power </w:t>
      </w:r>
      <w:r w:rsidRPr="00C95105">
        <w:rPr>
          <w:rFonts w:asciiTheme="minorHAnsi" w:hAnsiTheme="minorHAnsi" w:cstheme="minorHAnsi"/>
          <w:sz w:val="22"/>
          <w:szCs w:val="22"/>
        </w:rPr>
        <w:lastRenderedPageBreak/>
        <w:t xml:space="preserve">imbalances correlated with protected attributes do not operate as obstacles for speaking up, reporting and addressing sexual harassment. </w:t>
      </w:r>
    </w:p>
    <w:p w14:paraId="22DB5387"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5320379C" w14:textId="77777777" w:rsidR="00624105" w:rsidRPr="00C95105" w:rsidRDefault="00624105" w:rsidP="0093280F">
      <w:pPr>
        <w:pStyle w:val="ListParagraph"/>
        <w:numPr>
          <w:ilvl w:val="0"/>
          <w:numId w:val="15"/>
        </w:numPr>
        <w:spacing w:after="120"/>
        <w:contextualSpacing w:val="0"/>
        <w:rPr>
          <w:rFonts w:asciiTheme="minorHAnsi" w:hAnsiTheme="minorHAnsi" w:cstheme="minorHAnsi"/>
          <w:sz w:val="22"/>
          <w:szCs w:val="22"/>
        </w:rPr>
      </w:pPr>
      <w:bookmarkStart w:id="392" w:name="_Toc96866484"/>
      <w:bookmarkStart w:id="393" w:name="_Toc96866686"/>
      <w:bookmarkStart w:id="394" w:name="_Toc96878354"/>
      <w:r w:rsidRPr="00C95105">
        <w:rPr>
          <w:rFonts w:asciiTheme="minorHAnsi" w:hAnsiTheme="minorHAnsi" w:cstheme="minorHAnsi"/>
          <w:sz w:val="22"/>
          <w:szCs w:val="22"/>
        </w:rPr>
        <w:t>Diversity cannot be achieved overnight. However, the processes that improve diversity (e.g., targeted recruitment) can be implemented rapidly so that future hires and promotions facilitate diversity at all levels of the organisation.</w:t>
      </w:r>
      <w:bookmarkEnd w:id="392"/>
      <w:bookmarkEnd w:id="393"/>
      <w:bookmarkEnd w:id="394"/>
      <w:r w:rsidRPr="00C95105">
        <w:rPr>
          <w:rFonts w:asciiTheme="minorHAnsi" w:hAnsiTheme="minorHAnsi" w:cstheme="minorHAnsi"/>
          <w:sz w:val="22"/>
          <w:szCs w:val="22"/>
        </w:rPr>
        <w:t xml:space="preserve"> </w:t>
      </w:r>
    </w:p>
    <w:p w14:paraId="16024626"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Review sexual harassment policy </w:t>
      </w:r>
    </w:p>
    <w:p w14:paraId="7049D78C" w14:textId="77777777"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Sexual harassment policy should be reviewed and updated. The VPS should adopt an intersectional approach to sexual harassment policies. This means considering the way that people's social identities can overlap and how this may influence a range of factors related to policy, including willingness to report, understanding what constitutes sexual harassment, and compounding experiences of abuse. </w:t>
      </w:r>
    </w:p>
    <w:p w14:paraId="5BDF1B75"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192D2C40" w14:textId="77777777" w:rsidR="00624105" w:rsidRPr="00C95105" w:rsidRDefault="00624105" w:rsidP="0093280F">
      <w:pPr>
        <w:pStyle w:val="ListParagraph"/>
        <w:numPr>
          <w:ilvl w:val="0"/>
          <w:numId w:val="13"/>
        </w:numPr>
        <w:spacing w:after="120"/>
        <w:contextualSpacing w:val="0"/>
        <w:rPr>
          <w:rFonts w:asciiTheme="minorHAnsi" w:hAnsiTheme="minorHAnsi" w:cstheme="minorHAnsi"/>
          <w:sz w:val="22"/>
          <w:szCs w:val="22"/>
        </w:rPr>
      </w:pPr>
      <w:bookmarkStart w:id="395" w:name="_Toc96866485"/>
      <w:bookmarkStart w:id="396" w:name="_Toc96866687"/>
      <w:bookmarkStart w:id="397" w:name="_Toc96878355"/>
      <w:r w:rsidRPr="00C95105">
        <w:rPr>
          <w:rFonts w:asciiTheme="minorHAnsi" w:hAnsiTheme="minorHAnsi" w:cstheme="minorHAnsi"/>
          <w:sz w:val="22"/>
          <w:szCs w:val="22"/>
        </w:rPr>
        <w:t>Enact a taskforce to review existing sexual harassment policy and update according to legislative and research-based recommendations regarding sexual harassment. The taskforce should be made up of employees from diverse departments, positions and demographic factors, instead of relying on the human resource perspective alone.</w:t>
      </w:r>
      <w:bookmarkEnd w:id="395"/>
      <w:bookmarkEnd w:id="396"/>
      <w:bookmarkEnd w:id="397"/>
      <w:r w:rsidRPr="00C95105">
        <w:rPr>
          <w:rFonts w:asciiTheme="minorHAnsi" w:hAnsiTheme="minorHAnsi" w:cstheme="minorHAnsi"/>
          <w:sz w:val="22"/>
          <w:szCs w:val="22"/>
        </w:rPr>
        <w:t xml:space="preserve"> </w:t>
      </w:r>
    </w:p>
    <w:p w14:paraId="7507576F" w14:textId="06A570F2" w:rsidR="00624105" w:rsidRPr="00C95105" w:rsidRDefault="00624105" w:rsidP="03F17500">
      <w:pPr>
        <w:pStyle w:val="ListParagraph"/>
        <w:numPr>
          <w:ilvl w:val="0"/>
          <w:numId w:val="13"/>
        </w:numPr>
        <w:spacing w:after="120"/>
        <w:rPr>
          <w:rFonts w:asciiTheme="minorHAnsi" w:hAnsiTheme="minorHAnsi" w:cstheme="minorHAnsi"/>
          <w:sz w:val="22"/>
          <w:szCs w:val="22"/>
        </w:rPr>
      </w:pPr>
      <w:bookmarkStart w:id="398" w:name="_Toc96866486"/>
      <w:bookmarkStart w:id="399" w:name="_Toc96866688"/>
      <w:bookmarkStart w:id="400" w:name="_Toc96878356"/>
      <w:r w:rsidRPr="00C95105">
        <w:rPr>
          <w:rFonts w:asciiTheme="minorHAnsi" w:hAnsiTheme="minorHAnsi" w:cstheme="minorHAnsi"/>
          <w:sz w:val="22"/>
          <w:szCs w:val="22"/>
        </w:rPr>
        <w:t xml:space="preserve">Consult with employees with diverse social </w:t>
      </w:r>
      <w:r w:rsidR="5C570AA3" w:rsidRPr="00C95105">
        <w:rPr>
          <w:rFonts w:asciiTheme="minorHAnsi" w:hAnsiTheme="minorHAnsi" w:cstheme="minorHAnsi"/>
          <w:sz w:val="22"/>
          <w:szCs w:val="22"/>
        </w:rPr>
        <w:t>identities</w:t>
      </w:r>
      <w:r w:rsidRPr="00C95105">
        <w:rPr>
          <w:rFonts w:asciiTheme="minorHAnsi" w:hAnsiTheme="minorHAnsi" w:cstheme="minorHAnsi"/>
          <w:sz w:val="22"/>
          <w:szCs w:val="22"/>
        </w:rPr>
        <w:t>, including those from a diverse range of ages, races, sexualities, disabilities and genders.</w:t>
      </w:r>
      <w:bookmarkEnd w:id="398"/>
      <w:bookmarkEnd w:id="399"/>
      <w:bookmarkEnd w:id="400"/>
    </w:p>
    <w:p w14:paraId="35B22267" w14:textId="4E91E78B" w:rsidR="00624105" w:rsidRPr="00C95105" w:rsidRDefault="00624105" w:rsidP="798DE5DD">
      <w:pPr>
        <w:pStyle w:val="ListParagraph"/>
        <w:numPr>
          <w:ilvl w:val="0"/>
          <w:numId w:val="13"/>
        </w:numPr>
        <w:spacing w:after="120"/>
        <w:rPr>
          <w:rFonts w:asciiTheme="minorHAnsi" w:hAnsiTheme="minorHAnsi" w:cstheme="minorHAnsi"/>
          <w:sz w:val="22"/>
          <w:szCs w:val="22"/>
        </w:rPr>
      </w:pPr>
      <w:bookmarkStart w:id="401" w:name="_Toc96866487"/>
      <w:bookmarkStart w:id="402" w:name="_Toc96866689"/>
      <w:bookmarkStart w:id="403" w:name="_Toc96878357"/>
      <w:r w:rsidRPr="00C95105">
        <w:rPr>
          <w:rFonts w:asciiTheme="minorHAnsi" w:hAnsiTheme="minorHAnsi" w:cstheme="minorHAnsi"/>
          <w:sz w:val="22"/>
          <w:szCs w:val="22"/>
        </w:rPr>
        <w:t xml:space="preserve">Updates </w:t>
      </w:r>
      <w:r w:rsidR="5C570AA3" w:rsidRPr="00C95105">
        <w:rPr>
          <w:rFonts w:asciiTheme="minorHAnsi" w:hAnsiTheme="minorHAnsi" w:cstheme="minorHAnsi"/>
          <w:sz w:val="22"/>
          <w:szCs w:val="22"/>
        </w:rPr>
        <w:t>to the</w:t>
      </w:r>
      <w:r w:rsidRPr="00C95105">
        <w:rPr>
          <w:rFonts w:asciiTheme="minorHAnsi" w:hAnsiTheme="minorHAnsi" w:cstheme="minorHAnsi"/>
          <w:sz w:val="22"/>
          <w:szCs w:val="22"/>
        </w:rPr>
        <w:t xml:space="preserve"> policy should establish acceptable behavioural expectations that are relevant to the current working environment (e.g., in-person, online, social media use, intimate relationships at work).</w:t>
      </w:r>
      <w:bookmarkEnd w:id="401"/>
      <w:bookmarkEnd w:id="402"/>
      <w:bookmarkEnd w:id="403"/>
      <w:r w:rsidRPr="00C95105">
        <w:rPr>
          <w:rFonts w:asciiTheme="minorHAnsi" w:hAnsiTheme="minorHAnsi" w:cstheme="minorHAnsi"/>
          <w:sz w:val="22"/>
          <w:szCs w:val="22"/>
        </w:rPr>
        <w:t xml:space="preserve"> </w:t>
      </w:r>
    </w:p>
    <w:p w14:paraId="0DDEA49C" w14:textId="77777777" w:rsidR="00624105" w:rsidRPr="00C95105" w:rsidRDefault="00624105" w:rsidP="0093280F">
      <w:pPr>
        <w:pStyle w:val="ListParagraph"/>
        <w:numPr>
          <w:ilvl w:val="0"/>
          <w:numId w:val="13"/>
        </w:numPr>
        <w:spacing w:after="120"/>
        <w:contextualSpacing w:val="0"/>
        <w:rPr>
          <w:rFonts w:asciiTheme="minorHAnsi" w:hAnsiTheme="minorHAnsi" w:cstheme="minorHAnsi"/>
          <w:sz w:val="22"/>
          <w:szCs w:val="22"/>
        </w:rPr>
      </w:pPr>
      <w:bookmarkStart w:id="404" w:name="_Toc96866488"/>
      <w:bookmarkStart w:id="405" w:name="_Toc96866690"/>
      <w:bookmarkStart w:id="406" w:name="_Toc96878358"/>
      <w:r w:rsidRPr="00C95105">
        <w:rPr>
          <w:rFonts w:asciiTheme="minorHAnsi" w:hAnsiTheme="minorHAnsi" w:cstheme="minorHAnsi"/>
          <w:sz w:val="22"/>
          <w:szCs w:val="22"/>
        </w:rPr>
        <w:t>Policies should specify, preferably also with a diagram, different kinds of reporting and support available, how to seek these forms of support and reporting, who will respond to the requests, what process will be followed, what timeline to get a response employees can expect, any other aspect of relevance identified during consultations.</w:t>
      </w:r>
      <w:bookmarkEnd w:id="404"/>
      <w:bookmarkEnd w:id="405"/>
      <w:bookmarkEnd w:id="406"/>
    </w:p>
    <w:p w14:paraId="315DAA52" w14:textId="77777777" w:rsidR="00624105" w:rsidRPr="00C95105" w:rsidRDefault="00624105" w:rsidP="0093280F">
      <w:pPr>
        <w:pStyle w:val="ListParagraph"/>
        <w:numPr>
          <w:ilvl w:val="0"/>
          <w:numId w:val="13"/>
        </w:numPr>
        <w:spacing w:after="120"/>
        <w:contextualSpacing w:val="0"/>
        <w:rPr>
          <w:rFonts w:asciiTheme="minorHAnsi" w:hAnsiTheme="minorHAnsi" w:cstheme="minorHAnsi"/>
          <w:sz w:val="22"/>
          <w:szCs w:val="22"/>
        </w:rPr>
      </w:pPr>
      <w:bookmarkStart w:id="407" w:name="_Toc96866489"/>
      <w:bookmarkStart w:id="408" w:name="_Toc96866691"/>
      <w:bookmarkStart w:id="409" w:name="_Toc96878359"/>
      <w:r w:rsidRPr="00C95105">
        <w:rPr>
          <w:rFonts w:asciiTheme="minorHAnsi" w:hAnsiTheme="minorHAnsi" w:cstheme="minorHAnsi"/>
          <w:sz w:val="22"/>
          <w:szCs w:val="22"/>
        </w:rPr>
        <w:t>Prearrange regular intervals to review and update sexual harassment policy.</w:t>
      </w:r>
      <w:bookmarkEnd w:id="407"/>
      <w:bookmarkEnd w:id="408"/>
      <w:bookmarkEnd w:id="409"/>
      <w:r w:rsidRPr="00C95105">
        <w:rPr>
          <w:rFonts w:asciiTheme="minorHAnsi" w:hAnsiTheme="minorHAnsi" w:cstheme="minorHAnsi"/>
          <w:sz w:val="22"/>
          <w:szCs w:val="22"/>
        </w:rPr>
        <w:t xml:space="preserve"> </w:t>
      </w:r>
    </w:p>
    <w:p w14:paraId="715BE7B9" w14:textId="77777777" w:rsidR="00624105" w:rsidRPr="00C95105" w:rsidRDefault="00624105" w:rsidP="00624105">
      <w:pPr>
        <w:pStyle w:val="ListParagraph"/>
        <w:spacing w:after="120"/>
        <w:rPr>
          <w:rFonts w:asciiTheme="minorHAnsi" w:hAnsiTheme="minorHAnsi" w:cstheme="minorHAnsi"/>
          <w:sz w:val="22"/>
          <w:szCs w:val="22"/>
        </w:rPr>
      </w:pPr>
    </w:p>
    <w:p w14:paraId="6DD59F89" w14:textId="77777777"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410" w:name="_Toc96957713"/>
      <w:r w:rsidRPr="00C95105">
        <w:rPr>
          <w:rFonts w:asciiTheme="minorHAnsi" w:hAnsiTheme="minorHAnsi" w:cstheme="minorHAnsi"/>
          <w:b/>
          <w:bCs/>
          <w:i/>
          <w:iCs/>
          <w:color w:val="2F5496" w:themeColor="accent1" w:themeShade="BF"/>
          <w:sz w:val="22"/>
          <w:szCs w:val="22"/>
        </w:rPr>
        <w:t>Prevention – Team Level</w:t>
      </w:r>
      <w:bookmarkEnd w:id="410"/>
    </w:p>
    <w:p w14:paraId="37564A60"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Train leaders on preventing and responding to sexual harassment</w:t>
      </w:r>
    </w:p>
    <w:p w14:paraId="0470053E" w14:textId="2DE40998"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Employers have a legal responsibility to maintain the safety of their staff, including protecting them from sexual harassment. Training leaders is an important aspect of this responsibility. Managers that fail to effectively deal with complaints create a vulnerability for the perpetuation of sexual harassment.</w:t>
      </w:r>
    </w:p>
    <w:p w14:paraId="5885D01F"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208E22BC" w14:textId="77777777" w:rsidR="00624105" w:rsidRPr="00C95105" w:rsidRDefault="00624105" w:rsidP="0093280F">
      <w:pPr>
        <w:pStyle w:val="ListParagraph"/>
        <w:numPr>
          <w:ilvl w:val="0"/>
          <w:numId w:val="17"/>
        </w:numPr>
        <w:spacing w:after="120"/>
        <w:contextualSpacing w:val="0"/>
        <w:rPr>
          <w:rFonts w:asciiTheme="minorHAnsi" w:hAnsiTheme="minorHAnsi" w:cstheme="minorHAnsi"/>
          <w:sz w:val="22"/>
          <w:szCs w:val="22"/>
        </w:rPr>
      </w:pPr>
      <w:bookmarkStart w:id="411" w:name="_Toc96866490"/>
      <w:bookmarkStart w:id="412" w:name="_Toc96866692"/>
      <w:bookmarkStart w:id="413" w:name="_Toc96878360"/>
      <w:r w:rsidRPr="00C95105">
        <w:rPr>
          <w:rFonts w:asciiTheme="minorHAnsi" w:hAnsiTheme="minorHAnsi" w:cstheme="minorHAnsi"/>
          <w:sz w:val="22"/>
          <w:szCs w:val="22"/>
        </w:rPr>
        <w:t>Management and senior staff should model behaviour by engaging in diversity and inclusion training with employees.</w:t>
      </w:r>
      <w:bookmarkEnd w:id="411"/>
      <w:bookmarkEnd w:id="412"/>
      <w:bookmarkEnd w:id="413"/>
    </w:p>
    <w:p w14:paraId="07D7483D" w14:textId="77777777" w:rsidR="00624105" w:rsidRPr="00C95105" w:rsidRDefault="00624105" w:rsidP="0093280F">
      <w:pPr>
        <w:pStyle w:val="ListParagraph"/>
        <w:numPr>
          <w:ilvl w:val="0"/>
          <w:numId w:val="17"/>
        </w:numPr>
        <w:spacing w:after="120"/>
        <w:ind w:left="714" w:hanging="357"/>
        <w:contextualSpacing w:val="0"/>
        <w:rPr>
          <w:rFonts w:asciiTheme="minorHAnsi" w:hAnsiTheme="minorHAnsi" w:cstheme="minorHAnsi"/>
          <w:sz w:val="22"/>
          <w:szCs w:val="22"/>
        </w:rPr>
      </w:pPr>
      <w:bookmarkStart w:id="414" w:name="_Toc96866491"/>
      <w:bookmarkStart w:id="415" w:name="_Toc96866693"/>
      <w:bookmarkStart w:id="416" w:name="_Toc96878361"/>
      <w:r w:rsidRPr="00C95105">
        <w:rPr>
          <w:rFonts w:asciiTheme="minorHAnsi" w:hAnsiTheme="minorHAnsi" w:cstheme="minorHAnsi"/>
          <w:sz w:val="22"/>
          <w:szCs w:val="22"/>
        </w:rPr>
        <w:t>Management should also receive further training ensure that they understand the legal implications of failing to prevent sexual harassment. There should be clear understanding about what actions are being implemented to create cultures of inclusion and respect, what evidence there is of sexual harassment at work (and especially in their local department), and how incidents are managed.</w:t>
      </w:r>
      <w:bookmarkEnd w:id="414"/>
      <w:bookmarkEnd w:id="415"/>
      <w:bookmarkEnd w:id="416"/>
    </w:p>
    <w:p w14:paraId="68FAF9A4" w14:textId="77777777" w:rsidR="00624105" w:rsidRPr="00C95105" w:rsidRDefault="00624105" w:rsidP="0093280F">
      <w:pPr>
        <w:pStyle w:val="ListParagraph"/>
        <w:numPr>
          <w:ilvl w:val="0"/>
          <w:numId w:val="17"/>
        </w:numPr>
        <w:spacing w:after="120"/>
        <w:contextualSpacing w:val="0"/>
        <w:rPr>
          <w:rFonts w:asciiTheme="minorHAnsi" w:hAnsiTheme="minorHAnsi" w:cstheme="minorHAnsi"/>
          <w:sz w:val="22"/>
          <w:szCs w:val="22"/>
        </w:rPr>
      </w:pPr>
      <w:bookmarkStart w:id="417" w:name="_Toc96866492"/>
      <w:bookmarkStart w:id="418" w:name="_Toc96866694"/>
      <w:bookmarkStart w:id="419" w:name="_Toc96878362"/>
      <w:r w:rsidRPr="00C95105">
        <w:rPr>
          <w:rFonts w:asciiTheme="minorHAnsi" w:hAnsiTheme="minorHAnsi" w:cstheme="minorHAnsi"/>
          <w:sz w:val="22"/>
          <w:szCs w:val="22"/>
        </w:rPr>
        <w:lastRenderedPageBreak/>
        <w:t>Job demand overload and ineffective work systems can increase stress and the risk of sexual harassment. Ensuring managers are equipped with the skills to manage their team can help protect against job stress.</w:t>
      </w:r>
      <w:bookmarkEnd w:id="417"/>
      <w:bookmarkEnd w:id="418"/>
      <w:bookmarkEnd w:id="419"/>
      <w:r w:rsidRPr="00C95105">
        <w:rPr>
          <w:rFonts w:asciiTheme="minorHAnsi" w:hAnsiTheme="minorHAnsi" w:cstheme="minorHAnsi"/>
          <w:sz w:val="22"/>
          <w:szCs w:val="22"/>
        </w:rPr>
        <w:t xml:space="preserve"> </w:t>
      </w:r>
    </w:p>
    <w:p w14:paraId="7F47EC3B" w14:textId="77777777" w:rsidR="00624105" w:rsidRPr="00C95105" w:rsidRDefault="00624105" w:rsidP="00624105">
      <w:pPr>
        <w:spacing w:after="120"/>
        <w:rPr>
          <w:rFonts w:asciiTheme="minorHAnsi" w:hAnsiTheme="minorHAnsi" w:cstheme="minorHAnsi"/>
          <w:i/>
          <w:iCs/>
          <w:sz w:val="22"/>
          <w:szCs w:val="22"/>
        </w:rPr>
      </w:pPr>
    </w:p>
    <w:p w14:paraId="053E839B"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Train staff on respectful relations, including diversity and inclusion</w:t>
      </w:r>
    </w:p>
    <w:p w14:paraId="4A4B81A3" w14:textId="77777777"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Training should not be used as a “fix-all” approach because it is overly reliant on conscious decision making, often overlooking the implicit or non-conscious biases that drive behaviour. However, as part of a holistic approach, training is a valuable tool to educate employees about what diversity and inclusion looks like in day-to-day interactions. It also provides an opportunity to raise awareness about the experience of minority groups within the public sector.</w:t>
      </w:r>
    </w:p>
    <w:p w14:paraId="4DB92A1F"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5391D448" w14:textId="77777777" w:rsidR="00624105" w:rsidRPr="00C95105" w:rsidRDefault="00624105" w:rsidP="0093280F">
      <w:pPr>
        <w:pStyle w:val="ListParagraph"/>
        <w:numPr>
          <w:ilvl w:val="0"/>
          <w:numId w:val="16"/>
        </w:numPr>
        <w:spacing w:after="120"/>
        <w:ind w:left="714" w:hanging="357"/>
        <w:contextualSpacing w:val="0"/>
        <w:rPr>
          <w:rFonts w:asciiTheme="minorHAnsi" w:hAnsiTheme="minorHAnsi" w:cstheme="minorHAnsi"/>
          <w:sz w:val="22"/>
          <w:szCs w:val="22"/>
        </w:rPr>
      </w:pPr>
      <w:bookmarkStart w:id="420" w:name="_Toc96866493"/>
      <w:bookmarkStart w:id="421" w:name="_Toc96866695"/>
      <w:bookmarkStart w:id="422" w:name="_Toc96878363"/>
      <w:r w:rsidRPr="00C95105">
        <w:rPr>
          <w:rFonts w:asciiTheme="minorHAnsi" w:hAnsiTheme="minorHAnsi" w:cstheme="minorHAnsi"/>
          <w:sz w:val="22"/>
          <w:szCs w:val="22"/>
        </w:rPr>
        <w:t>Online modules should be avoided for training that requires deep engagement and interaction with others.</w:t>
      </w:r>
      <w:bookmarkEnd w:id="420"/>
      <w:bookmarkEnd w:id="421"/>
      <w:bookmarkEnd w:id="422"/>
      <w:r w:rsidRPr="00C95105">
        <w:rPr>
          <w:rFonts w:asciiTheme="minorHAnsi" w:hAnsiTheme="minorHAnsi" w:cstheme="minorHAnsi"/>
          <w:sz w:val="22"/>
          <w:szCs w:val="22"/>
        </w:rPr>
        <w:t xml:space="preserve"> </w:t>
      </w:r>
    </w:p>
    <w:p w14:paraId="1C89B303" w14:textId="77777777" w:rsidR="00624105" w:rsidRPr="00C95105" w:rsidRDefault="00624105" w:rsidP="0093280F">
      <w:pPr>
        <w:pStyle w:val="ListParagraph"/>
        <w:numPr>
          <w:ilvl w:val="0"/>
          <w:numId w:val="16"/>
        </w:numPr>
        <w:spacing w:after="120"/>
        <w:ind w:left="714" w:hanging="357"/>
        <w:contextualSpacing w:val="0"/>
        <w:rPr>
          <w:rFonts w:asciiTheme="minorHAnsi" w:hAnsiTheme="minorHAnsi" w:cstheme="minorHAnsi"/>
          <w:sz w:val="22"/>
          <w:szCs w:val="22"/>
        </w:rPr>
      </w:pPr>
      <w:bookmarkStart w:id="423" w:name="_Toc96866494"/>
      <w:bookmarkStart w:id="424" w:name="_Toc96866696"/>
      <w:bookmarkStart w:id="425" w:name="_Toc96878364"/>
      <w:r w:rsidRPr="00C95105">
        <w:rPr>
          <w:rFonts w:asciiTheme="minorHAnsi" w:hAnsiTheme="minorHAnsi" w:cstheme="minorHAnsi"/>
          <w:sz w:val="22"/>
          <w:szCs w:val="22"/>
        </w:rPr>
        <w:t>To reduce the cost of in-person training across the entire organisation, resource heavy training should be reserved for teams and/or departments where sexual harassment is most prevalent.</w:t>
      </w:r>
      <w:bookmarkEnd w:id="423"/>
      <w:bookmarkEnd w:id="424"/>
      <w:bookmarkEnd w:id="425"/>
      <w:r w:rsidRPr="00C95105">
        <w:rPr>
          <w:rFonts w:asciiTheme="minorHAnsi" w:hAnsiTheme="minorHAnsi" w:cstheme="minorHAnsi"/>
          <w:sz w:val="22"/>
          <w:szCs w:val="22"/>
        </w:rPr>
        <w:t xml:space="preserve"> </w:t>
      </w:r>
    </w:p>
    <w:p w14:paraId="69A5404C" w14:textId="77777777" w:rsidR="00624105" w:rsidRPr="00C95105" w:rsidRDefault="00624105" w:rsidP="0093280F">
      <w:pPr>
        <w:pStyle w:val="ListParagraph"/>
        <w:numPr>
          <w:ilvl w:val="0"/>
          <w:numId w:val="16"/>
        </w:numPr>
        <w:spacing w:after="120"/>
        <w:ind w:left="714" w:hanging="357"/>
        <w:contextualSpacing w:val="0"/>
        <w:rPr>
          <w:rFonts w:asciiTheme="minorHAnsi" w:hAnsiTheme="minorHAnsi" w:cstheme="minorHAnsi"/>
          <w:sz w:val="22"/>
          <w:szCs w:val="22"/>
        </w:rPr>
      </w:pPr>
      <w:bookmarkStart w:id="426" w:name="_Toc96866495"/>
      <w:bookmarkStart w:id="427" w:name="_Toc96866697"/>
      <w:bookmarkStart w:id="428" w:name="_Toc96878365"/>
      <w:r w:rsidRPr="00C95105">
        <w:rPr>
          <w:rFonts w:asciiTheme="minorHAnsi" w:hAnsiTheme="minorHAnsi" w:cstheme="minorHAnsi"/>
          <w:sz w:val="22"/>
          <w:szCs w:val="22"/>
        </w:rPr>
        <w:t>Team leaders and managers should conduct a training needs analysis to determine which teams and departments demonstrate the greatest need for training. This analysis can shape the skills and learning objectives that drive each training session. A third-party member (e.g., Human Resources) may conduct the training needs analysis so that direct managers do not boycott this process in an attempt to minimise time away from job demands.</w:t>
      </w:r>
      <w:bookmarkEnd w:id="426"/>
      <w:bookmarkEnd w:id="427"/>
      <w:bookmarkEnd w:id="428"/>
      <w:r w:rsidRPr="00C95105">
        <w:rPr>
          <w:rFonts w:asciiTheme="minorHAnsi" w:hAnsiTheme="minorHAnsi" w:cstheme="minorHAnsi"/>
          <w:sz w:val="22"/>
          <w:szCs w:val="22"/>
        </w:rPr>
        <w:t xml:space="preserve"> </w:t>
      </w:r>
    </w:p>
    <w:p w14:paraId="03A08505" w14:textId="77777777" w:rsidR="00624105" w:rsidRPr="00C95105" w:rsidRDefault="00624105" w:rsidP="0093280F">
      <w:pPr>
        <w:pStyle w:val="ListParagraph"/>
        <w:numPr>
          <w:ilvl w:val="0"/>
          <w:numId w:val="16"/>
        </w:numPr>
        <w:spacing w:after="120"/>
        <w:ind w:left="714" w:hanging="357"/>
        <w:contextualSpacing w:val="0"/>
        <w:rPr>
          <w:rFonts w:asciiTheme="minorHAnsi" w:hAnsiTheme="minorHAnsi" w:cstheme="minorHAnsi"/>
          <w:sz w:val="22"/>
          <w:szCs w:val="22"/>
        </w:rPr>
      </w:pPr>
      <w:bookmarkStart w:id="429" w:name="_Toc96866496"/>
      <w:bookmarkStart w:id="430" w:name="_Toc96866698"/>
      <w:bookmarkStart w:id="431" w:name="_Toc96878366"/>
      <w:r w:rsidRPr="00C95105">
        <w:rPr>
          <w:rFonts w:asciiTheme="minorHAnsi" w:hAnsiTheme="minorHAnsi" w:cstheme="minorHAnsi"/>
          <w:sz w:val="22"/>
          <w:szCs w:val="22"/>
        </w:rPr>
        <w:t>Provide incentives for engaging in training that reduce the tendency for instigators to self-select out of training opportunities. For examples, promotions may only be awarded to people who participated in training. To ensure equal access to training opportunities, training sessions should be offered across multiple days and times, avoiding time-periods that are systematically disadvantageous for some employees (e.g., school pick-up times which may disadvantage young mothers).</w:t>
      </w:r>
      <w:bookmarkEnd w:id="429"/>
      <w:bookmarkEnd w:id="430"/>
      <w:bookmarkEnd w:id="431"/>
    </w:p>
    <w:p w14:paraId="0509BA21" w14:textId="622D66AE" w:rsidR="00624105" w:rsidRPr="00C95105" w:rsidRDefault="00624105" w:rsidP="0093280F">
      <w:pPr>
        <w:pStyle w:val="ListParagraph"/>
        <w:numPr>
          <w:ilvl w:val="0"/>
          <w:numId w:val="16"/>
        </w:numPr>
        <w:spacing w:after="120"/>
        <w:ind w:left="714" w:hanging="357"/>
        <w:contextualSpacing w:val="0"/>
        <w:rPr>
          <w:rFonts w:asciiTheme="minorHAnsi" w:hAnsiTheme="minorHAnsi" w:cstheme="minorHAnsi"/>
          <w:sz w:val="22"/>
          <w:szCs w:val="22"/>
        </w:rPr>
      </w:pPr>
      <w:bookmarkStart w:id="432" w:name="_Toc96866497"/>
      <w:bookmarkStart w:id="433" w:name="_Toc96866699"/>
      <w:bookmarkStart w:id="434" w:name="_Toc96878367"/>
      <w:r w:rsidRPr="00C95105">
        <w:rPr>
          <w:rFonts w:asciiTheme="minorHAnsi" w:hAnsiTheme="minorHAnsi" w:cstheme="minorHAnsi"/>
          <w:sz w:val="22"/>
          <w:szCs w:val="22"/>
        </w:rPr>
        <w:t>Individual job demands can hinder engagement with training. Timing of training workshops is therefore crucial in this process, so consultation with individuals and teams regarding the timing of training can maximise engagement.</w:t>
      </w:r>
      <w:bookmarkEnd w:id="432"/>
      <w:bookmarkEnd w:id="433"/>
      <w:bookmarkEnd w:id="434"/>
    </w:p>
    <w:p w14:paraId="61362B53" w14:textId="77777777" w:rsidR="00624105" w:rsidRPr="00C95105" w:rsidRDefault="00624105" w:rsidP="00624105">
      <w:pPr>
        <w:spacing w:after="120"/>
        <w:rPr>
          <w:rFonts w:asciiTheme="minorHAnsi" w:hAnsiTheme="minorHAnsi" w:cstheme="minorHAnsi"/>
          <w:sz w:val="22"/>
          <w:szCs w:val="22"/>
        </w:rPr>
      </w:pPr>
    </w:p>
    <w:p w14:paraId="7628F6DA"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Utilise innovative and empirical behaviour change interventions</w:t>
      </w:r>
    </w:p>
    <w:p w14:paraId="1C92F206" w14:textId="77777777"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‘Nudges’ are behaviour change interventions that are designed to encourage positive behaviour through non-conscious and automatic processes. Unlike bias training, nudges are used to shape behaviour without the reliance on conscious decisions making. </w:t>
      </w:r>
    </w:p>
    <w:p w14:paraId="4C5B8827"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6E830DF1" w14:textId="77777777" w:rsidR="00624105" w:rsidRPr="00C95105" w:rsidRDefault="00624105" w:rsidP="0093280F">
      <w:pPr>
        <w:pStyle w:val="ListParagraph"/>
        <w:numPr>
          <w:ilvl w:val="0"/>
          <w:numId w:val="18"/>
        </w:numPr>
        <w:spacing w:after="120"/>
        <w:contextualSpacing w:val="0"/>
        <w:rPr>
          <w:rFonts w:asciiTheme="minorHAnsi" w:hAnsiTheme="minorHAnsi" w:cstheme="minorHAnsi"/>
          <w:sz w:val="22"/>
          <w:szCs w:val="22"/>
        </w:rPr>
      </w:pPr>
      <w:bookmarkStart w:id="435" w:name="_Toc96866498"/>
      <w:bookmarkStart w:id="436" w:name="_Toc96866700"/>
      <w:bookmarkStart w:id="437" w:name="_Toc96878368"/>
      <w:r w:rsidRPr="00C95105">
        <w:rPr>
          <w:rFonts w:asciiTheme="minorHAnsi" w:hAnsiTheme="minorHAnsi" w:cstheme="minorHAnsi"/>
          <w:sz w:val="22"/>
          <w:szCs w:val="22"/>
        </w:rPr>
        <w:t>Posters placed in common areas can provide information in a clear or simple way. For example, animations and infographics can carry information about what is considered inappropriate behaviour and how to react if you witness sexual harassment at work. By increasing the visibility of behavioural expectations and reporting options, these simple and cost-effective posters can reinforce what is acceptable and increase saliency of sanctions.</w:t>
      </w:r>
      <w:bookmarkEnd w:id="435"/>
      <w:bookmarkEnd w:id="436"/>
      <w:bookmarkEnd w:id="437"/>
    </w:p>
    <w:p w14:paraId="34BAC539" w14:textId="57363532" w:rsidR="00624105" w:rsidRPr="00C95105" w:rsidRDefault="00624105" w:rsidP="2CB8192C">
      <w:pPr>
        <w:pStyle w:val="ListParagraph"/>
        <w:numPr>
          <w:ilvl w:val="0"/>
          <w:numId w:val="18"/>
        </w:numPr>
        <w:spacing w:after="120"/>
        <w:rPr>
          <w:rFonts w:asciiTheme="minorHAnsi" w:hAnsiTheme="minorHAnsi" w:cstheme="minorHAnsi"/>
          <w:sz w:val="22"/>
          <w:szCs w:val="22"/>
        </w:rPr>
      </w:pPr>
      <w:bookmarkStart w:id="438" w:name="_Toc96866499"/>
      <w:bookmarkStart w:id="439" w:name="_Toc96866701"/>
      <w:bookmarkStart w:id="440" w:name="_Toc96878369"/>
      <w:r w:rsidRPr="00C95105">
        <w:rPr>
          <w:rFonts w:asciiTheme="minorHAnsi" w:hAnsiTheme="minorHAnsi" w:cstheme="minorHAnsi"/>
          <w:sz w:val="22"/>
          <w:szCs w:val="22"/>
        </w:rPr>
        <w:t xml:space="preserve">Pre-commitments are another form of nudge, requiring individuals to commit (often publicly) to a set of behaviours or goals. Asking managers and staff to commit to respectful workplace behaviour makes it easier to hold them accountable for their behaviour. Identity </w:t>
      </w:r>
      <w:r w:rsidRPr="00C95105">
        <w:rPr>
          <w:rFonts w:asciiTheme="minorHAnsi" w:hAnsiTheme="minorHAnsi" w:cstheme="minorHAnsi"/>
          <w:sz w:val="22"/>
          <w:szCs w:val="22"/>
        </w:rPr>
        <w:lastRenderedPageBreak/>
        <w:t>research suggests that most people prefer to hold a self-image that is consistent across time, which makes precommitments an innovative way to motivate desirable behaviour.</w:t>
      </w:r>
      <w:bookmarkEnd w:id="438"/>
      <w:bookmarkEnd w:id="439"/>
      <w:bookmarkEnd w:id="440"/>
      <w:r w:rsidRPr="00C95105">
        <w:rPr>
          <w:rFonts w:asciiTheme="minorHAnsi" w:hAnsiTheme="minorHAnsi" w:cstheme="minorHAnsi"/>
          <w:sz w:val="22"/>
          <w:szCs w:val="22"/>
        </w:rPr>
        <w:t xml:space="preserve"> </w:t>
      </w:r>
    </w:p>
    <w:p w14:paraId="7C2CDA1E" w14:textId="77777777" w:rsidR="00624105" w:rsidRPr="00C95105" w:rsidRDefault="00624105" w:rsidP="0093280F">
      <w:pPr>
        <w:pStyle w:val="ListParagraph"/>
        <w:numPr>
          <w:ilvl w:val="0"/>
          <w:numId w:val="18"/>
        </w:numPr>
        <w:spacing w:after="120"/>
        <w:contextualSpacing w:val="0"/>
        <w:rPr>
          <w:rFonts w:asciiTheme="minorHAnsi" w:hAnsiTheme="minorHAnsi" w:cstheme="minorHAnsi"/>
          <w:sz w:val="22"/>
          <w:szCs w:val="22"/>
        </w:rPr>
      </w:pPr>
      <w:bookmarkStart w:id="441" w:name="_Toc96866500"/>
      <w:bookmarkStart w:id="442" w:name="_Toc96866702"/>
      <w:bookmarkStart w:id="443" w:name="_Toc96878370"/>
      <w:r w:rsidRPr="00C95105">
        <w:rPr>
          <w:rFonts w:asciiTheme="minorHAnsi" w:hAnsiTheme="minorHAnsi" w:cstheme="minorHAnsi"/>
          <w:sz w:val="22"/>
          <w:szCs w:val="22"/>
        </w:rPr>
        <w:t>Descriptive and injunctive norms are a nudging technique that can have a significant impact on reducing sexual harassment. For example, emphasising that sexual harassment is rare and that most people behave in accordance with policy reduces the perspective that sexual harassment is common and therefore accepted. Similarly, empowering critical members of the organisation (e.g., powerful male allies) to speak out against sexual harassment and gender norms can influence target groups that identify with the messenger (e.g., other male employees).</w:t>
      </w:r>
      <w:bookmarkEnd w:id="441"/>
      <w:bookmarkEnd w:id="442"/>
      <w:bookmarkEnd w:id="443"/>
    </w:p>
    <w:p w14:paraId="5FB8BCDD" w14:textId="77777777" w:rsidR="00624105" w:rsidRPr="00C95105" w:rsidRDefault="00624105" w:rsidP="00624105">
      <w:pPr>
        <w:spacing w:after="120"/>
        <w:rPr>
          <w:rFonts w:asciiTheme="minorHAnsi" w:hAnsiTheme="minorHAnsi" w:cstheme="minorHAnsi"/>
          <w:sz w:val="22"/>
          <w:szCs w:val="22"/>
        </w:rPr>
      </w:pPr>
    </w:p>
    <w:p w14:paraId="4D324FD0" w14:textId="77777777"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444" w:name="_Toc96957714"/>
      <w:r w:rsidRPr="00C95105">
        <w:rPr>
          <w:rFonts w:asciiTheme="minorHAnsi" w:hAnsiTheme="minorHAnsi" w:cstheme="minorHAnsi"/>
          <w:b/>
          <w:bCs/>
          <w:i/>
          <w:iCs/>
          <w:color w:val="2F5496" w:themeColor="accent1" w:themeShade="BF"/>
          <w:sz w:val="22"/>
          <w:szCs w:val="22"/>
        </w:rPr>
        <w:t>Prevention – Individual Level</w:t>
      </w:r>
      <w:bookmarkEnd w:id="444"/>
    </w:p>
    <w:p w14:paraId="1E2CBD20"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Engage staff to identify and prevent sexual harassment</w:t>
      </w:r>
    </w:p>
    <w:p w14:paraId="356030F1" w14:textId="77777777"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Changes made at the organisational or team level can lead to significant attitude change within individuals. Even so, to reduce sexual harassment, individuals must feel committed to the organisation’s values. </w:t>
      </w:r>
    </w:p>
    <w:p w14:paraId="46426FDB"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7DCA0A62"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45" w:name="_Toc96866501"/>
      <w:bookmarkStart w:id="446" w:name="_Toc96866703"/>
      <w:bookmarkStart w:id="447" w:name="_Toc96878371"/>
      <w:r w:rsidRPr="00C95105">
        <w:rPr>
          <w:rFonts w:asciiTheme="minorHAnsi" w:hAnsiTheme="minorHAnsi" w:cstheme="minorHAnsi"/>
          <w:sz w:val="22"/>
          <w:szCs w:val="22"/>
        </w:rPr>
        <w:t>Engage with staff to understand what they perceive as risk factors driving sexual harassment. Consulting with a diverse demographic will provide insights that are unavailable to a homogenous group.</w:t>
      </w:r>
      <w:bookmarkEnd w:id="445"/>
      <w:bookmarkEnd w:id="446"/>
      <w:bookmarkEnd w:id="447"/>
      <w:r w:rsidRPr="00C95105">
        <w:rPr>
          <w:rFonts w:asciiTheme="minorHAnsi" w:hAnsiTheme="minorHAnsi" w:cstheme="minorHAnsi"/>
          <w:sz w:val="22"/>
          <w:szCs w:val="22"/>
        </w:rPr>
        <w:t xml:space="preserve"> </w:t>
      </w:r>
    </w:p>
    <w:p w14:paraId="4AFD4C09"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48" w:name="_Toc96866502"/>
      <w:bookmarkStart w:id="449" w:name="_Toc96866704"/>
      <w:bookmarkStart w:id="450" w:name="_Toc96878372"/>
      <w:r w:rsidRPr="00C95105">
        <w:rPr>
          <w:rFonts w:asciiTheme="minorHAnsi" w:hAnsiTheme="minorHAnsi" w:cstheme="minorHAnsi"/>
          <w:sz w:val="22"/>
          <w:szCs w:val="22"/>
        </w:rPr>
        <w:t xml:space="preserve">An organisation wide </w:t>
      </w:r>
      <w:r w:rsidRPr="00C95105">
        <w:rPr>
          <w:rFonts w:asciiTheme="minorHAnsi" w:hAnsiTheme="minorHAnsi" w:cstheme="minorHAnsi"/>
          <w:i/>
          <w:iCs/>
          <w:sz w:val="22"/>
          <w:szCs w:val="22"/>
        </w:rPr>
        <w:t>Code of Conduct</w:t>
      </w:r>
      <w:r w:rsidRPr="00C95105">
        <w:rPr>
          <w:rFonts w:asciiTheme="minorHAnsi" w:hAnsiTheme="minorHAnsi" w:cstheme="minorHAnsi"/>
          <w:sz w:val="22"/>
          <w:szCs w:val="22"/>
        </w:rPr>
        <w:t xml:space="preserve"> can communicate what is behaviour is expected. Requiring employees to sign in agreement of the code can nudge behaviour as a form of precommitment.</w:t>
      </w:r>
      <w:bookmarkEnd w:id="448"/>
      <w:bookmarkEnd w:id="449"/>
      <w:bookmarkEnd w:id="450"/>
      <w:r w:rsidRPr="00C95105">
        <w:rPr>
          <w:rFonts w:asciiTheme="minorHAnsi" w:hAnsiTheme="minorHAnsi" w:cstheme="minorHAnsi"/>
          <w:sz w:val="22"/>
          <w:szCs w:val="22"/>
        </w:rPr>
        <w:t xml:space="preserve"> </w:t>
      </w:r>
    </w:p>
    <w:p w14:paraId="725AC79D" w14:textId="76CF6366" w:rsidR="00624105" w:rsidRPr="00C95105" w:rsidRDefault="00624105" w:rsidP="39BC11D2">
      <w:pPr>
        <w:pStyle w:val="ListParagraph"/>
        <w:numPr>
          <w:ilvl w:val="0"/>
          <w:numId w:val="19"/>
        </w:numPr>
        <w:spacing w:after="120"/>
        <w:rPr>
          <w:rFonts w:asciiTheme="minorHAnsi" w:hAnsiTheme="minorHAnsi" w:cstheme="minorHAnsi"/>
          <w:sz w:val="22"/>
          <w:szCs w:val="22"/>
        </w:rPr>
      </w:pPr>
      <w:bookmarkStart w:id="451" w:name="_Toc96866503"/>
      <w:bookmarkStart w:id="452" w:name="_Toc96866705"/>
      <w:bookmarkStart w:id="453" w:name="_Toc96878373"/>
      <w:r w:rsidRPr="00C95105">
        <w:rPr>
          <w:rFonts w:asciiTheme="minorHAnsi" w:hAnsiTheme="minorHAnsi" w:cstheme="minorHAnsi"/>
          <w:sz w:val="22"/>
          <w:szCs w:val="22"/>
        </w:rPr>
        <w:t>A voluntary call for feedback and suggestions about preventing sexual harassment can increase individual commitment to future interventions. Requesting input from others demonstrates that the VPS is open to listening to staff experiences.</w:t>
      </w:r>
      <w:bookmarkEnd w:id="451"/>
      <w:bookmarkEnd w:id="452"/>
      <w:bookmarkEnd w:id="453"/>
      <w:r w:rsidRPr="00C95105">
        <w:rPr>
          <w:rFonts w:asciiTheme="minorHAnsi" w:hAnsiTheme="minorHAnsi" w:cstheme="minorHAnsi"/>
          <w:sz w:val="22"/>
          <w:szCs w:val="22"/>
        </w:rPr>
        <w:t xml:space="preserve"> </w:t>
      </w:r>
    </w:p>
    <w:p w14:paraId="1FA8C3C7" w14:textId="77777777" w:rsidR="00624105" w:rsidRPr="00C95105" w:rsidRDefault="00624105" w:rsidP="00624105">
      <w:pPr>
        <w:spacing w:after="120"/>
        <w:rPr>
          <w:rFonts w:asciiTheme="minorHAnsi" w:hAnsiTheme="minorHAnsi" w:cstheme="minorHAnsi"/>
          <w:sz w:val="22"/>
          <w:szCs w:val="22"/>
        </w:rPr>
      </w:pPr>
    </w:p>
    <w:p w14:paraId="286B78F2" w14:textId="77777777"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454" w:name="_Toc96957715"/>
      <w:r w:rsidRPr="00C95105">
        <w:rPr>
          <w:rFonts w:asciiTheme="minorHAnsi" w:hAnsiTheme="minorHAnsi" w:cstheme="minorHAnsi"/>
          <w:b/>
          <w:bCs/>
          <w:i/>
          <w:iCs/>
          <w:color w:val="2F5496" w:themeColor="accent1" w:themeShade="BF"/>
          <w:sz w:val="22"/>
          <w:szCs w:val="22"/>
        </w:rPr>
        <w:t>Management – Organisational Level</w:t>
      </w:r>
      <w:bookmarkEnd w:id="454"/>
    </w:p>
    <w:p w14:paraId="3E0B929D"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Eliminate barriers to reporting sexual harassment</w:t>
      </w:r>
    </w:p>
    <w:p w14:paraId="5D045B70" w14:textId="02C90219"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There are many reasons that people choose not to report sexual harassment at work. The most common reasons include power imbalances, fear of losing future promotion opportunities, and fear of backlash or victim blaming. Minimising or eliminating these barriers is an important step towards a fairer workplace. </w:t>
      </w:r>
    </w:p>
    <w:p w14:paraId="0B34BFB1"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01AAA147" w14:textId="7F4550A1"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55" w:name="_Toc96866504"/>
      <w:bookmarkStart w:id="456" w:name="_Toc96866706"/>
      <w:bookmarkStart w:id="457" w:name="_Toc96878374"/>
      <w:r w:rsidRPr="00C95105">
        <w:rPr>
          <w:rFonts w:asciiTheme="minorHAnsi" w:hAnsiTheme="minorHAnsi" w:cstheme="minorHAnsi"/>
          <w:sz w:val="22"/>
          <w:szCs w:val="22"/>
        </w:rPr>
        <w:t xml:space="preserve">The VPS must invest in a reliable and secure reporting system. A VPS specific infrastructure may be </w:t>
      </w:r>
      <w:r w:rsidR="00D47FF6" w:rsidRPr="00C95105">
        <w:rPr>
          <w:rFonts w:asciiTheme="minorHAnsi" w:hAnsiTheme="minorHAnsi" w:cstheme="minorHAnsi"/>
          <w:sz w:val="22"/>
          <w:szCs w:val="22"/>
        </w:rPr>
        <w:t>designed,</w:t>
      </w:r>
      <w:r w:rsidRPr="00C95105">
        <w:rPr>
          <w:rFonts w:asciiTheme="minorHAnsi" w:hAnsiTheme="minorHAnsi" w:cstheme="minorHAnsi"/>
          <w:sz w:val="22"/>
          <w:szCs w:val="22"/>
        </w:rPr>
        <w:t xml:space="preserve"> or new technologies can be purchased from software companies that specialise in reporting software. The infrastructure should be piloted before being released to staff so that any problems can be identified.</w:t>
      </w:r>
      <w:bookmarkEnd w:id="455"/>
      <w:bookmarkEnd w:id="456"/>
      <w:bookmarkEnd w:id="457"/>
      <w:r w:rsidRPr="00C95105">
        <w:rPr>
          <w:rFonts w:asciiTheme="minorHAnsi" w:hAnsiTheme="minorHAnsi" w:cstheme="minorHAnsi"/>
          <w:sz w:val="22"/>
          <w:szCs w:val="22"/>
        </w:rPr>
        <w:t xml:space="preserve"> </w:t>
      </w:r>
    </w:p>
    <w:p w14:paraId="09F9C835"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58" w:name="_Toc96866505"/>
      <w:bookmarkStart w:id="459" w:name="_Toc96866707"/>
      <w:bookmarkStart w:id="460" w:name="_Toc96878375"/>
      <w:r w:rsidRPr="00C95105">
        <w:rPr>
          <w:rFonts w:asciiTheme="minorHAnsi" w:hAnsiTheme="minorHAnsi" w:cstheme="minorHAnsi"/>
          <w:sz w:val="22"/>
          <w:szCs w:val="22"/>
        </w:rPr>
        <w:t>Reporting systems should include an option to report external personnel, including clients, customers and contractors.</w:t>
      </w:r>
      <w:bookmarkEnd w:id="458"/>
      <w:bookmarkEnd w:id="459"/>
      <w:bookmarkEnd w:id="460"/>
      <w:r w:rsidRPr="00C95105">
        <w:rPr>
          <w:rFonts w:asciiTheme="minorHAnsi" w:hAnsiTheme="minorHAnsi" w:cstheme="minorHAnsi"/>
          <w:sz w:val="22"/>
          <w:szCs w:val="22"/>
        </w:rPr>
        <w:t xml:space="preserve"> </w:t>
      </w:r>
    </w:p>
    <w:p w14:paraId="4E826190"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61" w:name="_Toc96866506"/>
      <w:bookmarkStart w:id="462" w:name="_Toc96866708"/>
      <w:bookmarkStart w:id="463" w:name="_Toc96878376"/>
      <w:r w:rsidRPr="00C95105">
        <w:rPr>
          <w:rFonts w:asciiTheme="minorHAnsi" w:hAnsiTheme="minorHAnsi" w:cstheme="minorHAnsi"/>
          <w:sz w:val="22"/>
          <w:szCs w:val="22"/>
        </w:rPr>
        <w:t>Sexual harassment reporting should not be restricted to specific team or management hierarchies. Instead, employees should be able to lodge a report with any manager or team leader that they feel comfortable speaking to.</w:t>
      </w:r>
      <w:bookmarkEnd w:id="461"/>
      <w:bookmarkEnd w:id="462"/>
      <w:bookmarkEnd w:id="463"/>
      <w:r w:rsidRPr="00C95105">
        <w:rPr>
          <w:rFonts w:asciiTheme="minorHAnsi" w:hAnsiTheme="minorHAnsi" w:cstheme="minorHAnsi"/>
          <w:sz w:val="22"/>
          <w:szCs w:val="22"/>
        </w:rPr>
        <w:t xml:space="preserve"> </w:t>
      </w:r>
    </w:p>
    <w:p w14:paraId="7AE5A6A5" w14:textId="217A914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64" w:name="_Toc96866507"/>
      <w:bookmarkStart w:id="465" w:name="_Toc96866709"/>
      <w:bookmarkStart w:id="466" w:name="_Toc96878377"/>
      <w:r w:rsidRPr="00C95105">
        <w:rPr>
          <w:rFonts w:asciiTheme="minorHAnsi" w:hAnsiTheme="minorHAnsi" w:cstheme="minorHAnsi"/>
          <w:sz w:val="22"/>
          <w:szCs w:val="22"/>
        </w:rPr>
        <w:t xml:space="preserve">Anonymous reporting systems can also be used to encourage disclosures and identify problem areas. As an unintended consequence, anonymous reporting is potentially </w:t>
      </w:r>
      <w:r w:rsidRPr="00C95105">
        <w:rPr>
          <w:rFonts w:asciiTheme="minorHAnsi" w:hAnsiTheme="minorHAnsi" w:cstheme="minorHAnsi"/>
          <w:sz w:val="22"/>
          <w:szCs w:val="22"/>
        </w:rPr>
        <w:lastRenderedPageBreak/>
        <w:t xml:space="preserve">vulnerable to false complaints. As a harm minimisation strategy, evidence should be </w:t>
      </w:r>
      <w:r w:rsidR="00A66BAE" w:rsidRPr="00C95105">
        <w:rPr>
          <w:rFonts w:asciiTheme="minorHAnsi" w:hAnsiTheme="minorHAnsi" w:cstheme="minorHAnsi"/>
          <w:sz w:val="22"/>
          <w:szCs w:val="22"/>
        </w:rPr>
        <w:t>reviewed,</w:t>
      </w:r>
      <w:r w:rsidRPr="00C95105">
        <w:rPr>
          <w:rFonts w:asciiTheme="minorHAnsi" w:hAnsiTheme="minorHAnsi" w:cstheme="minorHAnsi"/>
          <w:sz w:val="22"/>
          <w:szCs w:val="22"/>
        </w:rPr>
        <w:t xml:space="preserve"> and the alleged instigator should be given an opportunity to respond to the claims.</w:t>
      </w:r>
      <w:bookmarkEnd w:id="464"/>
      <w:bookmarkEnd w:id="465"/>
      <w:bookmarkEnd w:id="466"/>
      <w:r w:rsidRPr="00C95105">
        <w:rPr>
          <w:rFonts w:asciiTheme="minorHAnsi" w:hAnsiTheme="minorHAnsi" w:cstheme="minorHAnsi"/>
          <w:sz w:val="22"/>
          <w:szCs w:val="22"/>
        </w:rPr>
        <w:t xml:space="preserve"> </w:t>
      </w:r>
    </w:p>
    <w:p w14:paraId="5736F496" w14:textId="44CCE45E" w:rsidR="00624105" w:rsidRPr="00C95105" w:rsidRDefault="00624105" w:rsidP="39BC11D2">
      <w:pPr>
        <w:pStyle w:val="ListParagraph"/>
        <w:numPr>
          <w:ilvl w:val="0"/>
          <w:numId w:val="19"/>
        </w:numPr>
        <w:spacing w:after="120"/>
        <w:rPr>
          <w:rFonts w:asciiTheme="minorHAnsi" w:hAnsiTheme="minorHAnsi" w:cstheme="minorHAnsi"/>
          <w:sz w:val="22"/>
          <w:szCs w:val="22"/>
        </w:rPr>
      </w:pPr>
      <w:bookmarkStart w:id="467" w:name="_Toc96866508"/>
      <w:bookmarkStart w:id="468" w:name="_Toc96866710"/>
      <w:bookmarkStart w:id="469" w:name="_Toc96878378"/>
      <w:r w:rsidRPr="00C95105">
        <w:rPr>
          <w:rFonts w:asciiTheme="minorHAnsi" w:hAnsiTheme="minorHAnsi" w:cstheme="minorHAnsi"/>
          <w:sz w:val="22"/>
          <w:szCs w:val="22"/>
        </w:rPr>
        <w:t>Wherever possible, language translations for reporting systems improves access for employees who are not native English speakers.</w:t>
      </w:r>
      <w:bookmarkEnd w:id="467"/>
      <w:bookmarkEnd w:id="468"/>
      <w:bookmarkEnd w:id="469"/>
      <w:r w:rsidRPr="00C95105">
        <w:rPr>
          <w:rFonts w:asciiTheme="minorHAnsi" w:hAnsiTheme="minorHAnsi" w:cstheme="minorHAnsi"/>
          <w:sz w:val="22"/>
          <w:szCs w:val="22"/>
        </w:rPr>
        <w:t xml:space="preserve"> </w:t>
      </w:r>
    </w:p>
    <w:p w14:paraId="72520704" w14:textId="77777777" w:rsidR="00624105" w:rsidRPr="00C95105" w:rsidRDefault="00624105" w:rsidP="00624105">
      <w:pPr>
        <w:spacing w:after="120"/>
        <w:rPr>
          <w:rFonts w:asciiTheme="minorHAnsi" w:hAnsiTheme="minorHAnsi" w:cstheme="minorHAnsi"/>
          <w:sz w:val="22"/>
          <w:szCs w:val="22"/>
        </w:rPr>
      </w:pPr>
    </w:p>
    <w:p w14:paraId="4FE40D34"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Robust, independent management of reports</w:t>
      </w:r>
    </w:p>
    <w:p w14:paraId="7ADB5B54" w14:textId="7462273C"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general, the lack of clarity about what processes exist and whether they are standardised across the VPS was very salient for the VPS. While this may be a communications problem, it is likely a problem of disparate and idiosyncratic policies and practices across departments. Moving forward, reports of sexual harassment should be managed using a universal process to enhance clarity and transparency. </w:t>
      </w:r>
    </w:p>
    <w:p w14:paraId="4C4BA4BE"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0CFBF75A"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70" w:name="_Toc96866509"/>
      <w:bookmarkStart w:id="471" w:name="_Toc96866711"/>
      <w:bookmarkStart w:id="472" w:name="_Toc96878379"/>
      <w:r w:rsidRPr="00C95105">
        <w:rPr>
          <w:rFonts w:asciiTheme="minorHAnsi" w:hAnsiTheme="minorHAnsi" w:cstheme="minorHAnsi"/>
          <w:sz w:val="22"/>
          <w:szCs w:val="22"/>
        </w:rPr>
        <w:t>In the case of senior management or sensitive claims, sexual harassment should be handled independently. Third-party groups can be employed to mediate complaints. Independent complaint systems can also be used to avoid formal power interfering with the reporting process.</w:t>
      </w:r>
      <w:bookmarkEnd w:id="470"/>
      <w:bookmarkEnd w:id="471"/>
      <w:bookmarkEnd w:id="472"/>
    </w:p>
    <w:p w14:paraId="394CE182"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73" w:name="_Toc96866510"/>
      <w:bookmarkStart w:id="474" w:name="_Toc96866712"/>
      <w:bookmarkStart w:id="475" w:name="_Toc96878380"/>
      <w:r w:rsidRPr="00C95105">
        <w:rPr>
          <w:rFonts w:asciiTheme="minorHAnsi" w:hAnsiTheme="minorHAnsi" w:cstheme="minorHAnsi"/>
          <w:sz w:val="22"/>
          <w:szCs w:val="22"/>
        </w:rPr>
        <w:t>Multiple, independent parties should review sexual harassment claims so that consequences are decided objectively and not determined based on personal or professional relationships.</w:t>
      </w:r>
      <w:bookmarkEnd w:id="473"/>
      <w:bookmarkEnd w:id="474"/>
      <w:bookmarkEnd w:id="475"/>
    </w:p>
    <w:p w14:paraId="5573F957"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76" w:name="_Toc96866511"/>
      <w:bookmarkStart w:id="477" w:name="_Toc96866713"/>
      <w:bookmarkStart w:id="478" w:name="_Toc96878381"/>
      <w:r w:rsidRPr="00C95105">
        <w:rPr>
          <w:rFonts w:asciiTheme="minorHAnsi" w:hAnsiTheme="minorHAnsi" w:cstheme="minorHAnsi"/>
          <w:sz w:val="22"/>
          <w:szCs w:val="22"/>
        </w:rPr>
        <w:t>Keeping a record of all complaints and punishments ensures that sanctions are uniform and consistent across time and individuals. This process is often overlooked and can lead to bias. Minority group members are most at risk of disproportionate punishments when compared to majority group members.</w:t>
      </w:r>
      <w:bookmarkEnd w:id="476"/>
      <w:bookmarkEnd w:id="477"/>
      <w:bookmarkEnd w:id="478"/>
    </w:p>
    <w:p w14:paraId="5D315286" w14:textId="77777777" w:rsidR="00624105" w:rsidRPr="00C95105" w:rsidRDefault="00624105" w:rsidP="00624105">
      <w:pPr>
        <w:spacing w:after="120"/>
        <w:rPr>
          <w:rFonts w:asciiTheme="minorHAnsi" w:hAnsiTheme="minorHAnsi" w:cstheme="minorHAnsi"/>
          <w:b/>
          <w:bCs/>
          <w:i/>
          <w:iCs/>
          <w:sz w:val="22"/>
          <w:szCs w:val="22"/>
        </w:rPr>
      </w:pPr>
    </w:p>
    <w:p w14:paraId="4837C94D"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Introduce relevant flexible working arrangements</w:t>
      </w:r>
    </w:p>
    <w:p w14:paraId="1F327B06" w14:textId="748824CD"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Flexible work arrangements are often granted at the discretion of direct managers. Due to caring responsibilities, women are often disproportionately disadvantaged by non-flexible work. </w:t>
      </w:r>
    </w:p>
    <w:p w14:paraId="6EA645CE"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7BD0EB9D"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79" w:name="_Toc96866512"/>
      <w:bookmarkStart w:id="480" w:name="_Toc96866714"/>
      <w:bookmarkStart w:id="481" w:name="_Toc96878382"/>
      <w:r w:rsidRPr="00C95105">
        <w:rPr>
          <w:rFonts w:asciiTheme="minorHAnsi" w:hAnsiTheme="minorHAnsi" w:cstheme="minorHAnsi"/>
          <w:sz w:val="22"/>
          <w:szCs w:val="22"/>
        </w:rPr>
        <w:t>Create universal policies that facilitate flexible work options as standard. This can give employees an increased capacity to negotiate their own working conditions within a framework outlined by the organisation, rather than the manager.</w:t>
      </w:r>
      <w:bookmarkEnd w:id="479"/>
      <w:bookmarkEnd w:id="480"/>
      <w:bookmarkEnd w:id="481"/>
      <w:r w:rsidRPr="00C95105">
        <w:rPr>
          <w:rFonts w:asciiTheme="minorHAnsi" w:hAnsiTheme="minorHAnsi" w:cstheme="minorHAnsi"/>
          <w:sz w:val="22"/>
          <w:szCs w:val="22"/>
        </w:rPr>
        <w:t xml:space="preserve"> </w:t>
      </w:r>
    </w:p>
    <w:p w14:paraId="18EBE8F0" w14:textId="242CE91E" w:rsidR="00624105" w:rsidRPr="00C95105" w:rsidRDefault="00624105" w:rsidP="6AB2D8DA">
      <w:pPr>
        <w:pStyle w:val="ListParagraph"/>
        <w:numPr>
          <w:ilvl w:val="0"/>
          <w:numId w:val="19"/>
        </w:numPr>
        <w:spacing w:after="120"/>
        <w:rPr>
          <w:rFonts w:asciiTheme="minorHAnsi" w:hAnsiTheme="minorHAnsi" w:cstheme="minorHAnsi"/>
          <w:sz w:val="22"/>
          <w:szCs w:val="22"/>
        </w:rPr>
      </w:pPr>
      <w:bookmarkStart w:id="482" w:name="_Toc96866513"/>
      <w:bookmarkStart w:id="483" w:name="_Toc96866715"/>
      <w:bookmarkStart w:id="484" w:name="_Toc96878383"/>
      <w:r w:rsidRPr="00C95105">
        <w:rPr>
          <w:rFonts w:asciiTheme="minorHAnsi" w:hAnsiTheme="minorHAnsi" w:cstheme="minorHAnsi"/>
          <w:sz w:val="22"/>
          <w:szCs w:val="22"/>
        </w:rPr>
        <w:t>The VPS should focus on maximising good flexible work arrangements; meaning those that make employment accessible for the greatest number of people. For example, flexible hours allow young parents to work around school schedules and working from home can assist workers with physical disabilities who are otherwise unable to travel into the office.</w:t>
      </w:r>
      <w:bookmarkEnd w:id="482"/>
      <w:bookmarkEnd w:id="483"/>
      <w:bookmarkEnd w:id="484"/>
      <w:r w:rsidRPr="00C95105">
        <w:rPr>
          <w:rFonts w:asciiTheme="minorHAnsi" w:hAnsiTheme="minorHAnsi" w:cstheme="minorHAnsi"/>
          <w:sz w:val="22"/>
          <w:szCs w:val="22"/>
        </w:rPr>
        <w:t xml:space="preserve"> </w:t>
      </w:r>
    </w:p>
    <w:p w14:paraId="2D53FF41"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b/>
          <w:bCs/>
          <w:sz w:val="22"/>
          <w:szCs w:val="22"/>
        </w:rPr>
      </w:pPr>
      <w:bookmarkStart w:id="485" w:name="_Toc96866514"/>
      <w:bookmarkStart w:id="486" w:name="_Toc96866716"/>
      <w:bookmarkStart w:id="487" w:name="_Toc96878384"/>
      <w:r w:rsidRPr="00C95105">
        <w:rPr>
          <w:rFonts w:asciiTheme="minorHAnsi" w:hAnsiTheme="minorHAnsi" w:cstheme="minorHAnsi"/>
          <w:sz w:val="22"/>
          <w:szCs w:val="22"/>
        </w:rPr>
        <w:t>However, casual contracts are flexible work arrangements that are precarious and offer no security or benefits (e.g., sick leave) to employees. Casual employment is a risk factor for sexual harassment and should be avoided where possible.</w:t>
      </w:r>
      <w:bookmarkEnd w:id="485"/>
      <w:bookmarkEnd w:id="486"/>
      <w:bookmarkEnd w:id="487"/>
      <w:r w:rsidRPr="00C95105">
        <w:rPr>
          <w:rFonts w:asciiTheme="minorHAnsi" w:hAnsiTheme="minorHAnsi" w:cstheme="minorHAnsi"/>
          <w:sz w:val="22"/>
          <w:szCs w:val="22"/>
        </w:rPr>
        <w:t xml:space="preserve"> </w:t>
      </w:r>
    </w:p>
    <w:p w14:paraId="0A741FB5" w14:textId="77777777" w:rsidR="00624105" w:rsidRDefault="00624105" w:rsidP="00624105">
      <w:pPr>
        <w:spacing w:after="120"/>
        <w:rPr>
          <w:rFonts w:asciiTheme="minorHAnsi" w:hAnsiTheme="minorHAnsi" w:cstheme="minorHAnsi"/>
          <w:b/>
          <w:bCs/>
          <w:i/>
          <w:iCs/>
          <w:sz w:val="22"/>
          <w:szCs w:val="22"/>
        </w:rPr>
      </w:pPr>
    </w:p>
    <w:p w14:paraId="01028C86" w14:textId="77777777" w:rsidR="00B31996" w:rsidRDefault="00B31996" w:rsidP="00624105">
      <w:pPr>
        <w:spacing w:after="120"/>
        <w:rPr>
          <w:rFonts w:asciiTheme="minorHAnsi" w:hAnsiTheme="minorHAnsi" w:cstheme="minorHAnsi"/>
          <w:b/>
          <w:bCs/>
          <w:i/>
          <w:iCs/>
          <w:sz w:val="22"/>
          <w:szCs w:val="22"/>
        </w:rPr>
      </w:pPr>
    </w:p>
    <w:p w14:paraId="629880AB" w14:textId="77777777" w:rsidR="00B31996" w:rsidRDefault="00B31996" w:rsidP="00624105">
      <w:pPr>
        <w:spacing w:after="120"/>
        <w:rPr>
          <w:rFonts w:asciiTheme="minorHAnsi" w:hAnsiTheme="minorHAnsi" w:cstheme="minorHAnsi"/>
          <w:b/>
          <w:bCs/>
          <w:i/>
          <w:iCs/>
          <w:sz w:val="22"/>
          <w:szCs w:val="22"/>
        </w:rPr>
      </w:pPr>
    </w:p>
    <w:p w14:paraId="3015F041" w14:textId="77777777" w:rsidR="00B31996" w:rsidRDefault="00B31996" w:rsidP="00624105">
      <w:pPr>
        <w:spacing w:after="120"/>
        <w:rPr>
          <w:rFonts w:asciiTheme="minorHAnsi" w:hAnsiTheme="minorHAnsi" w:cstheme="minorHAnsi"/>
          <w:b/>
          <w:bCs/>
          <w:i/>
          <w:iCs/>
          <w:sz w:val="22"/>
          <w:szCs w:val="22"/>
        </w:rPr>
      </w:pPr>
    </w:p>
    <w:p w14:paraId="4D943C6D" w14:textId="77777777" w:rsidR="00B31996" w:rsidRPr="00C95105" w:rsidRDefault="00B31996" w:rsidP="00624105">
      <w:pPr>
        <w:spacing w:after="120"/>
        <w:rPr>
          <w:rFonts w:asciiTheme="minorHAnsi" w:hAnsiTheme="minorHAnsi" w:cstheme="minorHAnsi"/>
          <w:b/>
          <w:bCs/>
          <w:i/>
          <w:iCs/>
          <w:sz w:val="22"/>
          <w:szCs w:val="22"/>
        </w:rPr>
      </w:pPr>
    </w:p>
    <w:p w14:paraId="23F113FC"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lastRenderedPageBreak/>
        <w:t>Transparent review processes</w:t>
      </w:r>
    </w:p>
    <w:p w14:paraId="72986AFC" w14:textId="25F8D4EB"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Power imbalances are inherent in review processes because the employee under review is vulnerable to their supervisor’s feedback. Still, steps can be taken to improve transparency and reduce power imbalances. </w:t>
      </w:r>
    </w:p>
    <w:p w14:paraId="5C4D277A"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16F05CBF"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88" w:name="_Toc96866515"/>
      <w:bookmarkStart w:id="489" w:name="_Toc96866717"/>
      <w:bookmarkStart w:id="490" w:name="_Toc96878385"/>
      <w:r w:rsidRPr="00C95105">
        <w:rPr>
          <w:rFonts w:asciiTheme="minorHAnsi" w:hAnsiTheme="minorHAnsi" w:cstheme="minorHAnsi"/>
          <w:sz w:val="22"/>
          <w:szCs w:val="22"/>
        </w:rPr>
        <w:t>In place of one-on-one review processes, formal performance review processes that involve multiple perspectives (i.e., 360 reviews with subordinates, peers and supervisors) can improve the transparency of rewards and sanctions.</w:t>
      </w:r>
      <w:bookmarkEnd w:id="488"/>
      <w:bookmarkEnd w:id="489"/>
      <w:bookmarkEnd w:id="490"/>
      <w:r w:rsidRPr="00C95105">
        <w:rPr>
          <w:rFonts w:asciiTheme="minorHAnsi" w:hAnsiTheme="minorHAnsi" w:cstheme="minorHAnsi"/>
          <w:sz w:val="22"/>
          <w:szCs w:val="22"/>
        </w:rPr>
        <w:t xml:space="preserve"> </w:t>
      </w:r>
    </w:p>
    <w:p w14:paraId="1E22D4AB"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91" w:name="_Toc96866516"/>
      <w:bookmarkStart w:id="492" w:name="_Toc96866718"/>
      <w:bookmarkStart w:id="493" w:name="_Toc96878386"/>
      <w:r w:rsidRPr="00C95105">
        <w:rPr>
          <w:rFonts w:asciiTheme="minorHAnsi" w:hAnsiTheme="minorHAnsi" w:cstheme="minorHAnsi"/>
          <w:sz w:val="22"/>
          <w:szCs w:val="22"/>
        </w:rPr>
        <w:t>Human resources should complete a secondary review of feedback from the different groups and independently identify discrepancies. Discrepancies between perceptions of subordinates, peers and supervisors may signal poor professional relationships that should be investigated further.</w:t>
      </w:r>
      <w:bookmarkEnd w:id="491"/>
      <w:bookmarkEnd w:id="492"/>
      <w:bookmarkEnd w:id="493"/>
      <w:r w:rsidRPr="00C95105">
        <w:rPr>
          <w:rFonts w:asciiTheme="minorHAnsi" w:hAnsiTheme="minorHAnsi" w:cstheme="minorHAnsi"/>
          <w:sz w:val="22"/>
          <w:szCs w:val="22"/>
        </w:rPr>
        <w:t xml:space="preserve"> </w:t>
      </w:r>
    </w:p>
    <w:p w14:paraId="39457053"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94" w:name="_Toc96866517"/>
      <w:bookmarkStart w:id="495" w:name="_Toc96866719"/>
      <w:bookmarkStart w:id="496" w:name="_Toc96878387"/>
      <w:r w:rsidRPr="00C95105">
        <w:rPr>
          <w:rFonts w:asciiTheme="minorHAnsi" w:hAnsiTheme="minorHAnsi" w:cstheme="minorHAnsi"/>
          <w:sz w:val="22"/>
          <w:szCs w:val="22"/>
        </w:rPr>
        <w:t>An unintended consequence of including multiple people in a single review meeting (e.g., manager and human resource personnel) is that this can further increase the power imbalance away from the employee under review. In the case of sexual harassment there is minimal risk that senior staff will collude to sexually harass the employee, though harm may be minimised through a process of piloting and evaluating the effectiveness of this recommendation at the VPS.</w:t>
      </w:r>
      <w:bookmarkEnd w:id="494"/>
      <w:bookmarkEnd w:id="495"/>
      <w:bookmarkEnd w:id="496"/>
      <w:r w:rsidRPr="00C95105">
        <w:rPr>
          <w:rFonts w:asciiTheme="minorHAnsi" w:hAnsiTheme="minorHAnsi" w:cstheme="minorHAnsi"/>
          <w:sz w:val="22"/>
          <w:szCs w:val="22"/>
        </w:rPr>
        <w:t xml:space="preserve"> </w:t>
      </w:r>
    </w:p>
    <w:p w14:paraId="37F2EF94" w14:textId="77777777" w:rsidR="00624105" w:rsidRPr="00C95105" w:rsidRDefault="00624105" w:rsidP="00624105">
      <w:pPr>
        <w:spacing w:after="120"/>
        <w:rPr>
          <w:rFonts w:asciiTheme="minorHAnsi" w:hAnsiTheme="minorHAnsi" w:cstheme="minorHAnsi"/>
          <w:sz w:val="22"/>
          <w:szCs w:val="22"/>
        </w:rPr>
      </w:pPr>
    </w:p>
    <w:p w14:paraId="7DDDC8EB" w14:textId="77777777"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497" w:name="_Toc96957716"/>
      <w:r w:rsidRPr="00C95105">
        <w:rPr>
          <w:rFonts w:asciiTheme="minorHAnsi" w:hAnsiTheme="minorHAnsi" w:cstheme="minorHAnsi"/>
          <w:b/>
          <w:bCs/>
          <w:i/>
          <w:iCs/>
          <w:color w:val="2F5496" w:themeColor="accent1" w:themeShade="BF"/>
          <w:sz w:val="22"/>
          <w:szCs w:val="22"/>
        </w:rPr>
        <w:t>Management – Team Level</w:t>
      </w:r>
      <w:bookmarkEnd w:id="497"/>
    </w:p>
    <w:p w14:paraId="4071DC80"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Train on Bystander intervention</w:t>
      </w:r>
    </w:p>
    <w:p w14:paraId="6B250186" w14:textId="560D0C5E"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Bystander training gives employees the tools needed to identify, report and (if appropriate and safe) stop sexual harassment. Bystander training should also provide the tools to deliver emotional and instrumental support for colleagues who are the targets of sexual harassment.</w:t>
      </w:r>
    </w:p>
    <w:p w14:paraId="05B86885"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0E8E6D18"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498" w:name="_Toc96866518"/>
      <w:bookmarkStart w:id="499" w:name="_Toc96866720"/>
      <w:bookmarkStart w:id="500" w:name="_Toc96878388"/>
      <w:r w:rsidRPr="00C95105">
        <w:rPr>
          <w:rFonts w:asciiTheme="minorHAnsi" w:hAnsiTheme="minorHAnsi" w:cstheme="minorHAnsi"/>
          <w:sz w:val="22"/>
          <w:szCs w:val="22"/>
        </w:rPr>
        <w:t>Bystander intervention training needs to be hands-on, interactive, experiential and relevant to the common experiences of sexual harassment people face at work.</w:t>
      </w:r>
      <w:bookmarkEnd w:id="498"/>
      <w:bookmarkEnd w:id="499"/>
      <w:bookmarkEnd w:id="500"/>
    </w:p>
    <w:p w14:paraId="08FBDCBB"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501" w:name="_Toc96866519"/>
      <w:bookmarkStart w:id="502" w:name="_Toc96866721"/>
      <w:bookmarkStart w:id="503" w:name="_Toc96878389"/>
      <w:r w:rsidRPr="00C95105">
        <w:rPr>
          <w:rFonts w:asciiTheme="minorHAnsi" w:hAnsiTheme="minorHAnsi" w:cstheme="minorHAnsi"/>
          <w:sz w:val="22"/>
          <w:szCs w:val="22"/>
        </w:rPr>
        <w:t>Bystander interventions should also clarify the importance of not “going along” with sexist or sexual jokes.</w:t>
      </w:r>
      <w:bookmarkEnd w:id="501"/>
      <w:bookmarkEnd w:id="502"/>
      <w:bookmarkEnd w:id="503"/>
      <w:r w:rsidRPr="00C95105">
        <w:rPr>
          <w:rFonts w:asciiTheme="minorHAnsi" w:hAnsiTheme="minorHAnsi" w:cstheme="minorHAnsi"/>
          <w:sz w:val="22"/>
          <w:szCs w:val="22"/>
        </w:rPr>
        <w:t xml:space="preserve"> </w:t>
      </w:r>
    </w:p>
    <w:p w14:paraId="414FAF73" w14:textId="77777777" w:rsidR="00624105" w:rsidRPr="00C95105" w:rsidRDefault="00624105" w:rsidP="00137555">
      <w:pPr>
        <w:spacing w:after="120"/>
        <w:ind w:left="360"/>
        <w:rPr>
          <w:rFonts w:asciiTheme="minorHAnsi" w:hAnsiTheme="minorHAnsi" w:cstheme="minorHAnsi"/>
          <w:sz w:val="22"/>
          <w:szCs w:val="22"/>
        </w:rPr>
      </w:pPr>
    </w:p>
    <w:p w14:paraId="290AAD7D" w14:textId="77777777"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504" w:name="_Toc96957717"/>
      <w:r w:rsidRPr="00C95105">
        <w:rPr>
          <w:rFonts w:asciiTheme="minorHAnsi" w:hAnsiTheme="minorHAnsi" w:cstheme="minorHAnsi"/>
          <w:b/>
          <w:bCs/>
          <w:i/>
          <w:iCs/>
          <w:color w:val="2F5496" w:themeColor="accent1" w:themeShade="BF"/>
          <w:sz w:val="22"/>
          <w:szCs w:val="22"/>
        </w:rPr>
        <w:t>Management – Individual Level</w:t>
      </w:r>
      <w:bookmarkEnd w:id="504"/>
    </w:p>
    <w:p w14:paraId="19AE5EAB" w14:textId="77777777" w:rsidR="00624105" w:rsidRPr="00C95105" w:rsidRDefault="00624105" w:rsidP="00624105">
      <w:pPr>
        <w:spacing w:after="120"/>
        <w:rPr>
          <w:rFonts w:asciiTheme="minorHAnsi" w:hAnsiTheme="minorHAnsi" w:cstheme="minorHAnsi"/>
          <w:b/>
          <w:bCs/>
          <w:i/>
          <w:iCs/>
          <w:sz w:val="22"/>
          <w:szCs w:val="22"/>
        </w:rPr>
      </w:pPr>
      <w:r w:rsidRPr="00C95105">
        <w:rPr>
          <w:rFonts w:asciiTheme="minorHAnsi" w:hAnsiTheme="minorHAnsi" w:cstheme="minorHAnsi"/>
          <w:b/>
          <w:bCs/>
          <w:i/>
          <w:iCs/>
          <w:sz w:val="22"/>
          <w:szCs w:val="22"/>
        </w:rPr>
        <w:t>Training for instigators</w:t>
      </w:r>
    </w:p>
    <w:p w14:paraId="517279D2" w14:textId="05D3684C"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Completely eliminating sexual harassment is unlikely, so interventions should be provided to instigators of sexual harassment. </w:t>
      </w:r>
    </w:p>
    <w:p w14:paraId="2FB853DE" w14:textId="77777777" w:rsidR="00624105" w:rsidRPr="00C95105" w:rsidRDefault="00624105" w:rsidP="00624105">
      <w:pPr>
        <w:spacing w:after="120"/>
        <w:rPr>
          <w:rFonts w:asciiTheme="minorHAnsi" w:hAnsiTheme="minorHAnsi" w:cstheme="minorHAnsi"/>
          <w:i/>
          <w:iCs/>
          <w:sz w:val="22"/>
          <w:szCs w:val="22"/>
        </w:rPr>
      </w:pPr>
      <w:r w:rsidRPr="00C95105">
        <w:rPr>
          <w:rFonts w:asciiTheme="minorHAnsi" w:hAnsiTheme="minorHAnsi" w:cstheme="minorHAnsi"/>
          <w:i/>
          <w:iCs/>
          <w:sz w:val="22"/>
          <w:szCs w:val="22"/>
        </w:rPr>
        <w:t>Practical recommendations:</w:t>
      </w:r>
    </w:p>
    <w:p w14:paraId="4D7638AD"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505" w:name="_Toc96866520"/>
      <w:bookmarkStart w:id="506" w:name="_Toc96866722"/>
      <w:bookmarkStart w:id="507" w:name="_Toc96878390"/>
      <w:r w:rsidRPr="00C95105">
        <w:rPr>
          <w:rFonts w:asciiTheme="minorHAnsi" w:hAnsiTheme="minorHAnsi" w:cstheme="minorHAnsi"/>
          <w:sz w:val="22"/>
          <w:szCs w:val="22"/>
        </w:rPr>
        <w:t>Depending on the intensity and frequency of the sexual harassment, it might be necessary to implement individual education for the instigators of abuse.</w:t>
      </w:r>
      <w:bookmarkEnd w:id="505"/>
      <w:bookmarkEnd w:id="506"/>
      <w:bookmarkEnd w:id="507"/>
    </w:p>
    <w:p w14:paraId="4B691432" w14:textId="77777777" w:rsidR="00624105" w:rsidRPr="00C95105" w:rsidRDefault="00624105" w:rsidP="0093280F">
      <w:pPr>
        <w:pStyle w:val="ListParagraph"/>
        <w:numPr>
          <w:ilvl w:val="0"/>
          <w:numId w:val="19"/>
        </w:numPr>
        <w:spacing w:after="120"/>
        <w:contextualSpacing w:val="0"/>
        <w:rPr>
          <w:rFonts w:asciiTheme="minorHAnsi" w:hAnsiTheme="minorHAnsi" w:cstheme="minorHAnsi"/>
          <w:sz w:val="22"/>
          <w:szCs w:val="22"/>
        </w:rPr>
      </w:pPr>
      <w:bookmarkStart w:id="508" w:name="_Toc96866521"/>
      <w:bookmarkStart w:id="509" w:name="_Toc96866723"/>
      <w:bookmarkStart w:id="510" w:name="_Toc96878391"/>
      <w:r w:rsidRPr="00C95105">
        <w:rPr>
          <w:rFonts w:asciiTheme="minorHAnsi" w:hAnsiTheme="minorHAnsi" w:cstheme="minorHAnsi"/>
          <w:sz w:val="22"/>
          <w:szCs w:val="22"/>
        </w:rPr>
        <w:t>An unintended risk associated with diversity is that the meaning of sexual harassment may differ for different demographics of workers. Instead of diminishing diversity, additional education may be required for employees from different cultural backgrounds, where behavioural standards differ from the VPS.</w:t>
      </w:r>
      <w:bookmarkEnd w:id="508"/>
      <w:bookmarkEnd w:id="509"/>
      <w:bookmarkEnd w:id="510"/>
    </w:p>
    <w:p w14:paraId="1938A9B8" w14:textId="77777777" w:rsidR="00624105" w:rsidRDefault="00624105" w:rsidP="00624105">
      <w:pPr>
        <w:spacing w:after="120"/>
        <w:rPr>
          <w:rFonts w:asciiTheme="minorHAnsi" w:hAnsiTheme="minorHAnsi" w:cstheme="minorHAnsi"/>
          <w:sz w:val="22"/>
          <w:szCs w:val="22"/>
        </w:rPr>
      </w:pPr>
    </w:p>
    <w:p w14:paraId="2DD3AC5F" w14:textId="603D374B" w:rsidR="00624105" w:rsidRPr="00C95105" w:rsidRDefault="00624105" w:rsidP="0093280F">
      <w:pPr>
        <w:pStyle w:val="Heading2"/>
        <w:numPr>
          <w:ilvl w:val="1"/>
          <w:numId w:val="20"/>
        </w:numPr>
        <w:spacing w:before="0" w:after="120"/>
        <w:ind w:left="426" w:hanging="426"/>
        <w:rPr>
          <w:rFonts w:asciiTheme="minorHAnsi" w:hAnsiTheme="minorHAnsi" w:cstheme="minorHAnsi"/>
          <w:b/>
          <w:bCs/>
        </w:rPr>
      </w:pPr>
      <w:bookmarkStart w:id="511" w:name="_Toc96957718"/>
      <w:r w:rsidRPr="00C95105">
        <w:rPr>
          <w:rFonts w:asciiTheme="minorHAnsi" w:hAnsiTheme="minorHAnsi" w:cstheme="minorHAnsi"/>
          <w:b/>
          <w:bCs/>
        </w:rPr>
        <w:lastRenderedPageBreak/>
        <w:t xml:space="preserve">Final </w:t>
      </w:r>
      <w:r w:rsidR="00137555" w:rsidRPr="00C95105">
        <w:rPr>
          <w:rFonts w:asciiTheme="minorHAnsi" w:hAnsiTheme="minorHAnsi" w:cstheme="minorHAnsi"/>
          <w:b/>
          <w:bCs/>
        </w:rPr>
        <w:t>Considerations</w:t>
      </w:r>
      <w:bookmarkEnd w:id="511"/>
      <w:r w:rsidRPr="00C95105">
        <w:rPr>
          <w:rFonts w:asciiTheme="minorHAnsi" w:hAnsiTheme="minorHAnsi" w:cstheme="minorHAnsi"/>
          <w:b/>
          <w:bCs/>
        </w:rPr>
        <w:t xml:space="preserve"> </w:t>
      </w:r>
    </w:p>
    <w:p w14:paraId="2C8878A7" w14:textId="77777777"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512" w:name="_Toc96957719"/>
      <w:r w:rsidRPr="00C95105">
        <w:rPr>
          <w:rFonts w:asciiTheme="minorHAnsi" w:hAnsiTheme="minorHAnsi" w:cstheme="minorHAnsi"/>
          <w:b/>
          <w:bCs/>
          <w:i/>
          <w:iCs/>
          <w:color w:val="2F5496" w:themeColor="accent1" w:themeShade="BF"/>
          <w:sz w:val="22"/>
          <w:szCs w:val="22"/>
        </w:rPr>
        <w:t>Intersectional Approach</w:t>
      </w:r>
      <w:bookmarkEnd w:id="512"/>
    </w:p>
    <w:p w14:paraId="0A8964BB" w14:textId="1A54DFE9"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VPS needs to adopt an intersectional approach to managing sexual harassment at work. To be truly intersectional, the VPS must consider the way that people's social identities can overlap, creating confusing or compounding experiences of sexual harassment. Social identities can vary based on a multitude of characteristics, including age, race, sexuality, disability and gender. Many researchers argue that sexual harassment is driven by power differentials and that people in positions of power are more likely to perpetrate harassment. However, the intersectional lens proports that other individual differences (including those listed above) must be recognised to discern what individuals understand sexual harassment to be (both in kind and frequency). </w:t>
      </w:r>
    </w:p>
    <w:p w14:paraId="53EA070A" w14:textId="77777777" w:rsidR="00624105" w:rsidRPr="00C95105" w:rsidRDefault="00624105" w:rsidP="00624105">
      <w:pPr>
        <w:spacing w:after="120"/>
        <w:ind w:firstLine="720"/>
        <w:rPr>
          <w:rFonts w:asciiTheme="minorHAnsi" w:hAnsiTheme="minorHAnsi" w:cstheme="minorHAnsi"/>
          <w:sz w:val="22"/>
          <w:szCs w:val="22"/>
        </w:rPr>
      </w:pPr>
    </w:p>
    <w:p w14:paraId="541CF1CF" w14:textId="776E2A15" w:rsidR="00624105" w:rsidRPr="00C95105" w:rsidRDefault="00624105" w:rsidP="0093280F">
      <w:pPr>
        <w:pStyle w:val="Heading3"/>
        <w:numPr>
          <w:ilvl w:val="2"/>
          <w:numId w:val="20"/>
        </w:numPr>
        <w:spacing w:before="0" w:after="120"/>
        <w:ind w:left="567" w:hanging="567"/>
        <w:rPr>
          <w:rFonts w:asciiTheme="minorHAnsi" w:hAnsiTheme="minorHAnsi" w:cstheme="minorHAnsi"/>
          <w:b/>
          <w:bCs/>
          <w:i/>
          <w:iCs/>
          <w:color w:val="2F5496" w:themeColor="accent1" w:themeShade="BF"/>
          <w:sz w:val="22"/>
          <w:szCs w:val="22"/>
        </w:rPr>
      </w:pPr>
      <w:bookmarkStart w:id="513" w:name="_Toc96957720"/>
      <w:r w:rsidRPr="00C95105">
        <w:rPr>
          <w:rFonts w:asciiTheme="minorHAnsi" w:hAnsiTheme="minorHAnsi" w:cstheme="minorHAnsi"/>
          <w:b/>
          <w:bCs/>
          <w:i/>
          <w:iCs/>
          <w:color w:val="2F5496" w:themeColor="accent1" w:themeShade="BF"/>
          <w:sz w:val="22"/>
          <w:szCs w:val="22"/>
        </w:rPr>
        <w:t>Implications</w:t>
      </w:r>
      <w:r w:rsidR="00137555" w:rsidRPr="00C95105">
        <w:rPr>
          <w:rFonts w:asciiTheme="minorHAnsi" w:hAnsiTheme="minorHAnsi" w:cstheme="minorHAnsi"/>
          <w:b/>
          <w:bCs/>
          <w:i/>
          <w:iCs/>
          <w:color w:val="2F5496" w:themeColor="accent1" w:themeShade="BF"/>
          <w:sz w:val="22"/>
          <w:szCs w:val="22"/>
        </w:rPr>
        <w:t xml:space="preserve"> of Public Sector Actions</w:t>
      </w:r>
      <w:bookmarkEnd w:id="513"/>
    </w:p>
    <w:p w14:paraId="7575709B" w14:textId="487F4E80"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Australian adults spend a substantial portion of their waking hours at work (~ 37.5 hours a week), many of whom work within the public sector. The VPS is the second largest employer in Australia, employing over 340,000 people across more than 1800 departments (Victorian Public Sector Commission, 2022). Preventing sexual harassment in the VPS thus provides an opportunity to </w:t>
      </w:r>
      <w:r w:rsidR="00343387" w:rsidRPr="00C95105">
        <w:rPr>
          <w:rFonts w:asciiTheme="minorHAnsi" w:hAnsiTheme="minorHAnsi" w:cstheme="minorHAnsi"/>
          <w:sz w:val="22"/>
          <w:szCs w:val="22"/>
        </w:rPr>
        <w:t>create substantial positive change</w:t>
      </w:r>
      <w:r w:rsidRPr="00C95105">
        <w:rPr>
          <w:rFonts w:asciiTheme="minorHAnsi" w:hAnsiTheme="minorHAnsi" w:cstheme="minorHAnsi"/>
          <w:sz w:val="22"/>
          <w:szCs w:val="22"/>
        </w:rPr>
        <w:t xml:space="preserve">. Successfully reducing sexual harassment in the public sector also lends weight to the persuasion of private organisations, who may otherwise by resistant to adopt equitable and inclusive practices. Leading by example allows the public sector to encourage respectful practices in the wider community. </w:t>
      </w:r>
    </w:p>
    <w:p w14:paraId="356DE56B" w14:textId="77777777" w:rsidR="00624105" w:rsidRPr="00C95105" w:rsidRDefault="00624105" w:rsidP="00624105">
      <w:pPr>
        <w:spacing w:after="120"/>
        <w:rPr>
          <w:rFonts w:asciiTheme="minorHAnsi" w:hAnsiTheme="minorHAnsi" w:cstheme="minorHAnsi"/>
          <w:sz w:val="22"/>
          <w:szCs w:val="22"/>
        </w:rPr>
      </w:pPr>
    </w:p>
    <w:p w14:paraId="5406FE21" w14:textId="77777777" w:rsidR="00624105" w:rsidRPr="00C95105" w:rsidRDefault="00624105" w:rsidP="0093280F">
      <w:pPr>
        <w:pStyle w:val="Heading2"/>
        <w:numPr>
          <w:ilvl w:val="1"/>
          <w:numId w:val="20"/>
        </w:numPr>
        <w:spacing w:before="0" w:after="120"/>
        <w:ind w:left="426" w:hanging="426"/>
        <w:rPr>
          <w:rFonts w:asciiTheme="minorHAnsi" w:hAnsiTheme="minorHAnsi" w:cstheme="minorHAnsi"/>
          <w:b/>
          <w:bCs/>
        </w:rPr>
      </w:pPr>
      <w:bookmarkStart w:id="514" w:name="_Toc96957721"/>
      <w:r w:rsidRPr="00C95105">
        <w:rPr>
          <w:rFonts w:asciiTheme="minorHAnsi" w:hAnsiTheme="minorHAnsi" w:cstheme="minorHAnsi"/>
          <w:b/>
          <w:bCs/>
        </w:rPr>
        <w:t>Conclusions</w:t>
      </w:r>
      <w:bookmarkEnd w:id="514"/>
    </w:p>
    <w:p w14:paraId="2B502409" w14:textId="07B8BCB7" w:rsidR="00624105" w:rsidRPr="00C95105" w:rsidRDefault="00624105" w:rsidP="001375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recommendations presented here have been developed through review of the academic literature and consultations with the VPS. Although no single intervention is likely to eliminate sexual harassment, a combination of these recommendations can lead to meaningful reductions in the incidence of sexual harassment within the VPS. Wherever possible, our interventions have been designed to addresses structural and systemic drivers of harassment. However, we also recommend introducing interventions that facilitate fair and equitable behaviour, </w:t>
      </w:r>
      <w:r w:rsidR="000E2D1A" w:rsidRPr="00C95105">
        <w:rPr>
          <w:rFonts w:asciiTheme="minorHAnsi" w:hAnsiTheme="minorHAnsi" w:cstheme="minorHAnsi"/>
          <w:sz w:val="22"/>
          <w:szCs w:val="22"/>
        </w:rPr>
        <w:t>including</w:t>
      </w:r>
      <w:r w:rsidRPr="00C95105">
        <w:rPr>
          <w:rFonts w:asciiTheme="minorHAnsi" w:hAnsiTheme="minorHAnsi" w:cstheme="minorHAnsi"/>
          <w:sz w:val="22"/>
          <w:szCs w:val="22"/>
        </w:rPr>
        <w:t xml:space="preserve"> outcomes for perpetrators. Creating lasting change is a slow process that requires persistent effort from individuals, organisations and society at large. Nevertheless, this process is important for the wellbeing of everyone at work and should continue to be a priority for all involved. </w:t>
      </w:r>
    </w:p>
    <w:p w14:paraId="12DE93C3" w14:textId="77777777" w:rsidR="00624105" w:rsidRPr="00C95105" w:rsidRDefault="00624105" w:rsidP="00624105">
      <w:pPr>
        <w:spacing w:after="120"/>
        <w:rPr>
          <w:rFonts w:asciiTheme="minorHAnsi" w:hAnsiTheme="minorHAnsi" w:cstheme="minorHAnsi"/>
          <w:sz w:val="22"/>
          <w:szCs w:val="22"/>
        </w:rPr>
      </w:pPr>
    </w:p>
    <w:p w14:paraId="7FD75602" w14:textId="77777777" w:rsidR="00624105" w:rsidRPr="00C95105" w:rsidRDefault="00624105" w:rsidP="0093280F">
      <w:pPr>
        <w:pStyle w:val="Heading2"/>
        <w:numPr>
          <w:ilvl w:val="1"/>
          <w:numId w:val="20"/>
        </w:numPr>
        <w:spacing w:before="0" w:after="120"/>
        <w:ind w:left="426" w:hanging="426"/>
        <w:rPr>
          <w:rFonts w:asciiTheme="minorHAnsi" w:hAnsiTheme="minorHAnsi" w:cstheme="minorHAnsi"/>
          <w:b/>
          <w:bCs/>
        </w:rPr>
      </w:pPr>
      <w:bookmarkStart w:id="515" w:name="_Toc96957722"/>
      <w:r w:rsidRPr="00C95105">
        <w:rPr>
          <w:rFonts w:asciiTheme="minorHAnsi" w:hAnsiTheme="minorHAnsi" w:cstheme="minorHAnsi"/>
          <w:b/>
          <w:bCs/>
        </w:rPr>
        <w:t>Cited References</w:t>
      </w:r>
      <w:bookmarkEnd w:id="515"/>
    </w:p>
    <w:p w14:paraId="030B9772"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Abrami, P. C., Borokhovski, E., Bernard, R. M., Wade, C. A., Tamim, R., Persson, T., Bethel, E. C., Hanz, K., &amp; Surkes, M. A. (2010). Issues in conducting and disseminating brief reviews of evidence. </w:t>
      </w:r>
      <w:r w:rsidRPr="00C95105">
        <w:rPr>
          <w:rFonts w:asciiTheme="minorHAnsi" w:hAnsiTheme="minorHAnsi" w:cstheme="minorHAnsi"/>
          <w:i/>
          <w:iCs/>
          <w:sz w:val="22"/>
          <w:szCs w:val="22"/>
          <w:lang w:val="en-AU"/>
        </w:rPr>
        <w:t>Evidence &amp; Policy: A Journal of Research, Debate and Practice</w:t>
      </w:r>
      <w:r w:rsidRPr="00C95105">
        <w:rPr>
          <w:rFonts w:asciiTheme="minorHAnsi" w:hAnsiTheme="minorHAnsi" w:cstheme="minorHAnsi"/>
          <w:sz w:val="22"/>
          <w:szCs w:val="22"/>
          <w:lang w:val="en-AU"/>
        </w:rPr>
        <w:t xml:space="preserve">, </w:t>
      </w:r>
      <w:r w:rsidRPr="00C95105">
        <w:rPr>
          <w:rFonts w:asciiTheme="minorHAnsi" w:hAnsiTheme="minorHAnsi" w:cstheme="minorHAnsi"/>
          <w:i/>
          <w:iCs/>
          <w:sz w:val="22"/>
          <w:szCs w:val="22"/>
          <w:lang w:val="en-AU"/>
        </w:rPr>
        <w:t>6</w:t>
      </w:r>
      <w:r w:rsidRPr="00C95105">
        <w:rPr>
          <w:rFonts w:asciiTheme="minorHAnsi" w:hAnsiTheme="minorHAnsi" w:cstheme="minorHAnsi"/>
          <w:sz w:val="22"/>
          <w:szCs w:val="22"/>
          <w:lang w:val="en-AU"/>
        </w:rPr>
        <w:t>(3), 371-389.</w:t>
      </w:r>
    </w:p>
    <w:p w14:paraId="6EBDA8AF"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Australian Human Rights Commission (2018). Everyone’s Business: Fourth National Survey on Sexual Harassment in Australian Workplaces. Sydney, Australia: Author. Retrieved from https://humanrights.gov.au/sites/default/files/document/publication/AHRC_WORKPLACE_SH_2018.pdf</w:t>
      </w:r>
    </w:p>
    <w:p w14:paraId="7CFD2B39"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Australian Human Rights Commission (2021). </w:t>
      </w:r>
      <w:r w:rsidRPr="00C95105">
        <w:rPr>
          <w:rFonts w:asciiTheme="minorHAnsi" w:hAnsiTheme="minorHAnsi" w:cstheme="minorHAnsi"/>
          <w:i/>
          <w:iCs/>
          <w:sz w:val="22"/>
          <w:szCs w:val="22"/>
        </w:rPr>
        <w:t>Set the Standard: Report on the Independent Review into Commonwealth Parliamentary Workplaces</w:t>
      </w:r>
      <w:r w:rsidRPr="00C95105">
        <w:rPr>
          <w:rFonts w:asciiTheme="minorHAnsi" w:hAnsiTheme="minorHAnsi" w:cstheme="minorHAnsi"/>
          <w:sz w:val="22"/>
          <w:szCs w:val="22"/>
        </w:rPr>
        <w:t>. Sydney, Australia: Author. Retrieved from https://humanrights.gov.au/sites/default/files/document/publication/ahrc_set_the_standard_2021.pdf</w:t>
      </w:r>
    </w:p>
    <w:p w14:paraId="17701EF9"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lastRenderedPageBreak/>
        <w:t>Bowling, N. A., &amp; Beehr, T. A. (2006). Workplace harassment from the victim’s perspective: A theoretical model and meta-analysis</w:t>
      </w:r>
      <w:r w:rsidRPr="00C95105">
        <w:rPr>
          <w:rFonts w:asciiTheme="minorHAnsi" w:hAnsiTheme="minorHAnsi" w:cstheme="minorHAnsi"/>
          <w:i/>
          <w:iCs/>
          <w:sz w:val="22"/>
          <w:szCs w:val="22"/>
        </w:rPr>
        <w:t>. Journal of Applied Psychology</w:t>
      </w:r>
      <w:r w:rsidRPr="00C95105">
        <w:rPr>
          <w:rFonts w:asciiTheme="minorHAnsi" w:hAnsiTheme="minorHAnsi" w:cstheme="minorHAnsi"/>
          <w:sz w:val="22"/>
          <w:szCs w:val="22"/>
        </w:rPr>
        <w:t>, 91, 998–1012. doi:10.1037/0021-9010.91.5.998</w:t>
      </w:r>
    </w:p>
    <w:p w14:paraId="4360F446"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Boyne, G., &amp; Dahya, J. (2002). Executive succession and the performance of public organizations. </w:t>
      </w:r>
      <w:r w:rsidRPr="00C95105">
        <w:rPr>
          <w:rFonts w:asciiTheme="minorHAnsi" w:hAnsiTheme="minorHAnsi" w:cstheme="minorHAnsi"/>
          <w:i/>
          <w:iCs/>
          <w:sz w:val="22"/>
          <w:szCs w:val="22"/>
        </w:rPr>
        <w:t>Public administration</w:t>
      </w:r>
      <w:r w:rsidRPr="00C95105">
        <w:rPr>
          <w:rFonts w:asciiTheme="minorHAnsi" w:hAnsiTheme="minorHAnsi" w:cstheme="minorHAnsi"/>
          <w:sz w:val="22"/>
          <w:szCs w:val="22"/>
        </w:rPr>
        <w:t>, 80(1), 179-200.</w:t>
      </w:r>
    </w:p>
    <w:p w14:paraId="7987F5A5"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Cooper, H., Hedges, L. V., &amp; Valentine, J. C. (Eds.). (2009). </w:t>
      </w:r>
      <w:r w:rsidRPr="00C95105">
        <w:rPr>
          <w:rFonts w:asciiTheme="minorHAnsi" w:hAnsiTheme="minorHAnsi" w:cstheme="minorHAnsi"/>
          <w:i/>
          <w:iCs/>
          <w:sz w:val="22"/>
          <w:szCs w:val="22"/>
        </w:rPr>
        <w:t>Handbook of Research Synthesis and Meta-Analysis</w:t>
      </w:r>
      <w:r w:rsidRPr="00C95105">
        <w:rPr>
          <w:rFonts w:asciiTheme="minorHAnsi" w:hAnsiTheme="minorHAnsi" w:cstheme="minorHAnsi"/>
          <w:sz w:val="22"/>
          <w:szCs w:val="22"/>
        </w:rPr>
        <w:t xml:space="preserve">. New York: The Russell Sage Foundation. </w:t>
      </w:r>
      <w:hyperlink r:id="rId111" w:history="1">
        <w:r w:rsidRPr="00C95105">
          <w:rPr>
            <w:rFonts w:asciiTheme="minorHAnsi" w:hAnsiTheme="minorHAnsi" w:cstheme="minorHAnsi"/>
            <w:sz w:val="22"/>
            <w:szCs w:val="22"/>
          </w:rPr>
          <w:t>doi: 10.7758/9781610441384</w:t>
        </w:r>
      </w:hyperlink>
    </w:p>
    <w:p w14:paraId="6FE7C16F"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i/>
          <w:iCs/>
          <w:sz w:val="22"/>
          <w:szCs w:val="22"/>
          <w:lang w:val="en-AU"/>
        </w:rPr>
        <w:t>Crimes Act 1958</w:t>
      </w:r>
      <w:r w:rsidRPr="00C95105">
        <w:rPr>
          <w:rFonts w:asciiTheme="minorHAnsi" w:hAnsiTheme="minorHAnsi" w:cstheme="minorHAnsi"/>
          <w:sz w:val="22"/>
          <w:szCs w:val="22"/>
          <w:lang w:val="en-AU"/>
        </w:rPr>
        <w:t xml:space="preserve"> (Vic) Part I (40). Retrieved from </w:t>
      </w:r>
      <w:hyperlink r:id="rId112" w:history="1">
        <w:r w:rsidRPr="00C95105">
          <w:rPr>
            <w:rFonts w:asciiTheme="minorHAnsi" w:hAnsiTheme="minorHAnsi" w:cstheme="minorHAnsi"/>
            <w:lang w:val="en-AU"/>
          </w:rPr>
          <w:t>https://www.legislation.vic.gov.au/in-force/acts/crimes-act-1958/294</w:t>
        </w:r>
      </w:hyperlink>
    </w:p>
    <w:p w14:paraId="28F4C154"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Crimp, H. (2017). </w:t>
      </w:r>
      <w:r w:rsidRPr="00C95105">
        <w:rPr>
          <w:rFonts w:asciiTheme="minorHAnsi" w:hAnsiTheme="minorHAnsi" w:cstheme="minorHAnsi"/>
          <w:i/>
          <w:iCs/>
          <w:sz w:val="22"/>
          <w:szCs w:val="22"/>
        </w:rPr>
        <w:t>Insights into effective interventions for the prevention and management of workplace bullying in the New Zealand Public Service</w:t>
      </w:r>
      <w:r w:rsidRPr="00C95105">
        <w:rPr>
          <w:rFonts w:asciiTheme="minorHAnsi" w:hAnsiTheme="minorHAnsi" w:cstheme="minorHAnsi"/>
          <w:sz w:val="22"/>
          <w:szCs w:val="22"/>
        </w:rPr>
        <w:t>. Master Thesis. Victoria University of Wellington</w:t>
      </w:r>
    </w:p>
    <w:p w14:paraId="50A96CAF"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Gahan, P., Sojo, V., Ghin, P., &amp; Vargas-Saenz, A. (2019). </w:t>
      </w:r>
      <w:r w:rsidRPr="00C95105">
        <w:rPr>
          <w:rFonts w:asciiTheme="minorHAnsi" w:hAnsiTheme="minorHAnsi" w:cstheme="minorHAnsi"/>
          <w:i/>
          <w:iCs/>
          <w:sz w:val="22"/>
          <w:szCs w:val="22"/>
        </w:rPr>
        <w:t>Leadership development in the public sector. An examination of the research evidence and trends in practice report.</w:t>
      </w:r>
      <w:r w:rsidRPr="00C95105">
        <w:rPr>
          <w:rFonts w:asciiTheme="minorHAnsi" w:hAnsiTheme="minorHAnsi" w:cstheme="minorHAnsi"/>
          <w:sz w:val="22"/>
          <w:szCs w:val="22"/>
        </w:rPr>
        <w:t xml:space="preserve"> Melbourne: Centre for Workplace Leadership and the Victorian Leadership Academy – VPSC.</w:t>
      </w:r>
    </w:p>
    <w:p w14:paraId="0EBB661F"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Jackson, R. A., &amp; Newman, M. A. (2004). Sexual Harassment in the Federal Workplace Revisited: Influences on Sexual Harassment by Gender. Public Administration Review, 64(6), 705-717. </w:t>
      </w:r>
    </w:p>
    <w:p w14:paraId="46495FFE"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Kirk, B. A., Schutte, N. S., &amp; Hine, D. W. (2011). The effect of an expressive-writing intervention for employees on emotional self-efficacy, emotional intelligence, affect, and workplace incivility. </w:t>
      </w:r>
      <w:r w:rsidRPr="00C95105">
        <w:rPr>
          <w:rFonts w:asciiTheme="minorHAnsi" w:hAnsiTheme="minorHAnsi" w:cstheme="minorHAnsi"/>
          <w:i/>
          <w:iCs/>
          <w:sz w:val="22"/>
          <w:szCs w:val="22"/>
        </w:rPr>
        <w:t>Journal of Applied Social Psychology</w:t>
      </w:r>
      <w:r w:rsidRPr="00C95105">
        <w:rPr>
          <w:rFonts w:asciiTheme="minorHAnsi" w:hAnsiTheme="minorHAnsi" w:cstheme="minorHAnsi"/>
          <w:sz w:val="22"/>
          <w:szCs w:val="22"/>
        </w:rPr>
        <w:t>, 41, 179-195.</w:t>
      </w:r>
    </w:p>
    <w:p w14:paraId="07F47DFA"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Krook, M. L. (2018). Westminster Too: On Sexual Harassment in British Politics. Political Quarterly, 89(1), 65-72. doi:10.1111/1467-923X.12458</w:t>
      </w:r>
    </w:p>
    <w:p w14:paraId="4991861C"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Moher, D., Liberati, A., Tetzlaff, J., Altman, D. G., &amp; The Prisma Group, (2009). Preferred reporting items for systematic reviews and meta-analyses: The PRISMA statement. </w:t>
      </w:r>
      <w:r w:rsidRPr="00C95105">
        <w:rPr>
          <w:rFonts w:asciiTheme="minorHAnsi" w:hAnsiTheme="minorHAnsi" w:cstheme="minorHAnsi"/>
          <w:i/>
          <w:iCs/>
          <w:sz w:val="22"/>
          <w:szCs w:val="22"/>
        </w:rPr>
        <w:t>PLoS Medicine, 6e1000097</w:t>
      </w:r>
      <w:r w:rsidRPr="00C95105">
        <w:rPr>
          <w:rFonts w:asciiTheme="minorHAnsi" w:hAnsiTheme="minorHAnsi" w:cstheme="minorHAnsi"/>
          <w:sz w:val="22"/>
          <w:szCs w:val="22"/>
        </w:rPr>
        <w:t>. doi:10.1371/journal.pmed.1000097.</w:t>
      </w:r>
    </w:p>
    <w:p w14:paraId="6ED2B30A"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O’Neil, A., Sojo, V., Fileborn, B., Scovelle, A., &amp; Milner, A. (2018). The #MeToo movement: an opportunity in public health? </w:t>
      </w:r>
      <w:r w:rsidRPr="00C95105">
        <w:rPr>
          <w:rFonts w:asciiTheme="minorHAnsi" w:hAnsiTheme="minorHAnsi" w:cstheme="minorHAnsi"/>
          <w:i/>
          <w:iCs/>
          <w:sz w:val="22"/>
          <w:szCs w:val="22"/>
        </w:rPr>
        <w:t>The Lancet, 391</w:t>
      </w:r>
      <w:r w:rsidRPr="00C95105">
        <w:rPr>
          <w:rFonts w:asciiTheme="minorHAnsi" w:hAnsiTheme="minorHAnsi" w:cstheme="minorHAnsi"/>
          <w:sz w:val="22"/>
          <w:szCs w:val="22"/>
        </w:rPr>
        <w:t xml:space="preserve"> (10140), 2587-2589. doi: 10.1016/S0140-6736(18)30991-7</w:t>
      </w:r>
    </w:p>
    <w:p w14:paraId="4F721D40" w14:textId="1EA0BBB2" w:rsidR="00A21AD3" w:rsidRPr="00C95105" w:rsidRDefault="00A21AD3" w:rsidP="00A21AD3">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Roberts, V., Sojo, V., Grant F. (2020). Organisational factors and non-accidental violence in sport: A systematic review. </w:t>
      </w:r>
      <w:r w:rsidRPr="00C95105">
        <w:rPr>
          <w:rFonts w:asciiTheme="minorHAnsi" w:hAnsiTheme="minorHAnsi" w:cstheme="minorHAnsi"/>
          <w:i/>
          <w:iCs/>
          <w:sz w:val="22"/>
          <w:szCs w:val="22"/>
        </w:rPr>
        <w:t>Sport Management Review, 23</w:t>
      </w:r>
      <w:r w:rsidRPr="00C95105">
        <w:rPr>
          <w:rFonts w:asciiTheme="minorHAnsi" w:hAnsiTheme="minorHAnsi" w:cstheme="minorHAnsi"/>
          <w:sz w:val="22"/>
          <w:szCs w:val="22"/>
        </w:rPr>
        <w:t xml:space="preserve"> (1 - Special Issue: Managing Abuse and Integrity in Sport), 8-27. doi: 10.1016/j.smr.2019.03.001</w:t>
      </w:r>
    </w:p>
    <w:p w14:paraId="7333A07C" w14:textId="174D5EE1" w:rsidR="00A21AD3" w:rsidRPr="00C95105" w:rsidRDefault="00A21AD3" w:rsidP="00A21AD3">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Roberts, V. L., &amp; Sojo, V. E. (2019). To strive is human, to abuse malign: discrimination and non-accidental violence of professional athletes without employee-style statutory protection. </w:t>
      </w:r>
      <w:r w:rsidRPr="00C95105">
        <w:rPr>
          <w:rFonts w:asciiTheme="minorHAnsi" w:hAnsiTheme="minorHAnsi" w:cstheme="minorHAnsi"/>
          <w:i/>
          <w:iCs/>
          <w:sz w:val="22"/>
          <w:szCs w:val="22"/>
        </w:rPr>
        <w:t>British Journal of Sports Medicine, 54</w:t>
      </w:r>
      <w:r w:rsidRPr="00C95105">
        <w:rPr>
          <w:rFonts w:asciiTheme="minorHAnsi" w:hAnsiTheme="minorHAnsi" w:cstheme="minorHAnsi"/>
          <w:sz w:val="22"/>
          <w:szCs w:val="22"/>
        </w:rPr>
        <w:t>, 253-254. bjsports-2019-100693. doi:10.1136/bjsports-2019-100693</w:t>
      </w:r>
    </w:p>
    <w:p w14:paraId="242B82CB" w14:textId="0971F0E8" w:rsidR="00624105" w:rsidRPr="00C95105" w:rsidRDefault="00624105" w:rsidP="00A21AD3">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Safe Work Australia (2019). </w:t>
      </w:r>
      <w:r w:rsidRPr="00C95105">
        <w:rPr>
          <w:rFonts w:asciiTheme="minorHAnsi" w:hAnsiTheme="minorHAnsi" w:cstheme="minorHAnsi"/>
          <w:i/>
          <w:iCs/>
          <w:sz w:val="22"/>
          <w:szCs w:val="22"/>
        </w:rPr>
        <w:t>Infographic: Work-related mental health</w:t>
      </w:r>
      <w:r w:rsidRPr="00C95105">
        <w:rPr>
          <w:rFonts w:asciiTheme="minorHAnsi" w:hAnsiTheme="minorHAnsi" w:cstheme="minorHAnsi"/>
          <w:sz w:val="22"/>
          <w:szCs w:val="22"/>
        </w:rPr>
        <w:t>. Retrieved from https://www.safeworkaustralia.gov.au/doc/infographic-workplace-mental-health</w:t>
      </w:r>
    </w:p>
    <w:p w14:paraId="34455879"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Sojo, V. &amp; Roberts, V. L. (2019). From apples and cases to barrels and orchards: Macro-level drivers of workplace abuse. </w:t>
      </w:r>
      <w:r w:rsidRPr="00C95105">
        <w:rPr>
          <w:rFonts w:asciiTheme="minorHAnsi" w:hAnsiTheme="minorHAnsi" w:cstheme="minorHAnsi"/>
          <w:i/>
          <w:iCs/>
          <w:sz w:val="22"/>
          <w:szCs w:val="22"/>
        </w:rPr>
        <w:t>Proceedings of the Academy of Management Annual Meeting 2019</w:t>
      </w:r>
      <w:r w:rsidRPr="00C95105">
        <w:rPr>
          <w:rFonts w:asciiTheme="minorHAnsi" w:hAnsiTheme="minorHAnsi" w:cstheme="minorHAnsi"/>
          <w:sz w:val="22"/>
          <w:szCs w:val="22"/>
        </w:rPr>
        <w:t xml:space="preserve">. Boston, USA. </w:t>
      </w:r>
    </w:p>
    <w:p w14:paraId="635FF2AC"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Thomas, J., Newman, M., &amp; Oliver, S. (2013). Rapid evidence assessments of research to inform social policy: taking stock and moving forward. </w:t>
      </w:r>
      <w:r w:rsidRPr="00C95105">
        <w:rPr>
          <w:rFonts w:asciiTheme="minorHAnsi" w:hAnsiTheme="minorHAnsi" w:cstheme="minorHAnsi"/>
          <w:i/>
          <w:iCs/>
          <w:sz w:val="22"/>
          <w:szCs w:val="22"/>
        </w:rPr>
        <w:t>Evidence &amp; Policy: A Journal of Research</w:t>
      </w:r>
      <w:r w:rsidRPr="00C95105">
        <w:rPr>
          <w:rFonts w:asciiTheme="minorHAnsi" w:hAnsiTheme="minorHAnsi" w:cstheme="minorHAnsi"/>
          <w:sz w:val="22"/>
          <w:szCs w:val="22"/>
        </w:rPr>
        <w:t xml:space="preserve">, </w:t>
      </w:r>
      <w:r w:rsidRPr="00C95105">
        <w:rPr>
          <w:rFonts w:asciiTheme="minorHAnsi" w:hAnsiTheme="minorHAnsi" w:cstheme="minorHAnsi"/>
          <w:i/>
          <w:iCs/>
          <w:sz w:val="22"/>
          <w:szCs w:val="22"/>
        </w:rPr>
        <w:t>Debate and Practice</w:t>
      </w:r>
      <w:r w:rsidRPr="00C95105">
        <w:rPr>
          <w:rFonts w:asciiTheme="minorHAnsi" w:hAnsiTheme="minorHAnsi" w:cstheme="minorHAnsi"/>
          <w:sz w:val="22"/>
          <w:szCs w:val="22"/>
        </w:rPr>
        <w:t>, 9(1), 5-27. https://doi.org/10.1332/174426413x662572</w:t>
      </w:r>
    </w:p>
    <w:p w14:paraId="72ED8CB8"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lastRenderedPageBreak/>
        <w:t xml:space="preserve">Vartia, M., &amp; Leka, S. (2011). Interventions for the prevention and management of bullying at work. In S. Einarsen, H. Hoel, D. Zapf, &amp; C. Cooper (Eds.), </w:t>
      </w:r>
      <w:r w:rsidRPr="00C95105">
        <w:rPr>
          <w:rFonts w:asciiTheme="minorHAnsi" w:hAnsiTheme="minorHAnsi" w:cstheme="minorHAnsi"/>
          <w:i/>
          <w:iCs/>
          <w:sz w:val="22"/>
          <w:szCs w:val="22"/>
        </w:rPr>
        <w:t>Bullying and harassment in the workplace: Developments in theory, research, and practice</w:t>
      </w:r>
      <w:r w:rsidRPr="00C95105">
        <w:rPr>
          <w:rFonts w:asciiTheme="minorHAnsi" w:hAnsiTheme="minorHAnsi" w:cstheme="minorHAnsi"/>
          <w:sz w:val="22"/>
          <w:szCs w:val="22"/>
        </w:rPr>
        <w:t xml:space="preserve"> (2nd ed.359-379). Boca Raton, FL: CRC Press.</w:t>
      </w:r>
    </w:p>
    <w:p w14:paraId="1E3C5FB0"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i/>
          <w:iCs/>
          <w:sz w:val="22"/>
          <w:szCs w:val="22"/>
          <w:lang w:val="en-AU"/>
        </w:rPr>
        <w:t xml:space="preserve">Victorian Equal Opportunity Act 2010 </w:t>
      </w:r>
      <w:r w:rsidRPr="00C95105">
        <w:rPr>
          <w:rFonts w:asciiTheme="minorHAnsi" w:hAnsiTheme="minorHAnsi" w:cstheme="minorHAnsi"/>
          <w:sz w:val="22"/>
          <w:szCs w:val="22"/>
          <w:lang w:val="en-AU"/>
        </w:rPr>
        <w:t>(Vic) section 92. Retrieved from https://www.legislation.vic.gov.au/in-force/acts/equal-opportunity-act-2010/020</w:t>
      </w:r>
    </w:p>
    <w:p w14:paraId="0D2FABB2"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Victorian Public Sector Commission. (2022). </w:t>
      </w:r>
      <w:r w:rsidRPr="00C95105">
        <w:rPr>
          <w:rFonts w:asciiTheme="minorHAnsi" w:hAnsiTheme="minorHAnsi" w:cstheme="minorHAnsi"/>
          <w:i/>
          <w:iCs/>
          <w:sz w:val="22"/>
          <w:szCs w:val="22"/>
        </w:rPr>
        <w:t>Employee numbers.</w:t>
      </w:r>
      <w:r w:rsidRPr="00C95105">
        <w:rPr>
          <w:rFonts w:asciiTheme="minorHAnsi" w:hAnsiTheme="minorHAnsi" w:cstheme="minorHAnsi"/>
          <w:sz w:val="22"/>
          <w:szCs w:val="22"/>
        </w:rPr>
        <w:t xml:space="preserve"> Retrieved 24 February 2022, from https://vpsc.vic.gov.au/data-and-research/data-facts-visuals-state-of-the-sector/employee-numbers/</w:t>
      </w:r>
    </w:p>
    <w:p w14:paraId="78DA8D73" w14:textId="77777777" w:rsidR="00624105" w:rsidRPr="00C95105" w:rsidRDefault="00624105" w:rsidP="00137555">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Willness, C. A., Steel, P., &amp; Lee, K. (2007). A meta-analysis of the antecedents and consequences of workplace sexual harassment. </w:t>
      </w:r>
      <w:r w:rsidRPr="00C95105">
        <w:rPr>
          <w:rFonts w:asciiTheme="minorHAnsi" w:hAnsiTheme="minorHAnsi" w:cstheme="minorHAnsi"/>
          <w:i/>
          <w:iCs/>
          <w:sz w:val="22"/>
          <w:szCs w:val="22"/>
        </w:rPr>
        <w:t>Personnel Psychology, 60</w:t>
      </w:r>
      <w:r w:rsidRPr="00C95105">
        <w:rPr>
          <w:rFonts w:asciiTheme="minorHAnsi" w:hAnsiTheme="minorHAnsi" w:cstheme="minorHAnsi"/>
          <w:sz w:val="22"/>
          <w:szCs w:val="22"/>
        </w:rPr>
        <w:t>, 127–162. doi:10.1111/j.1744-6570.2007.00067.x</w:t>
      </w:r>
    </w:p>
    <w:p w14:paraId="5FA4F554" w14:textId="77777777" w:rsidR="00624105" w:rsidRPr="00C95105" w:rsidRDefault="00624105" w:rsidP="00137555">
      <w:pPr>
        <w:spacing w:after="120"/>
        <w:rPr>
          <w:rFonts w:asciiTheme="minorHAnsi" w:hAnsiTheme="minorHAnsi" w:cstheme="minorHAnsi"/>
          <w:sz w:val="22"/>
          <w:szCs w:val="22"/>
        </w:rPr>
      </w:pPr>
    </w:p>
    <w:p w14:paraId="56648DFA" w14:textId="77777777" w:rsidR="00624105" w:rsidRPr="00C95105" w:rsidRDefault="00624105" w:rsidP="0093280F">
      <w:pPr>
        <w:pStyle w:val="Heading2"/>
        <w:numPr>
          <w:ilvl w:val="1"/>
          <w:numId w:val="20"/>
        </w:numPr>
        <w:spacing w:before="0" w:after="120"/>
        <w:ind w:left="426" w:hanging="426"/>
        <w:rPr>
          <w:rFonts w:asciiTheme="minorHAnsi" w:hAnsiTheme="minorHAnsi" w:cstheme="minorHAnsi"/>
          <w:b/>
          <w:bCs/>
        </w:rPr>
      </w:pPr>
      <w:bookmarkStart w:id="516" w:name="_Toc96957723"/>
      <w:r w:rsidRPr="00C95105">
        <w:rPr>
          <w:rFonts w:asciiTheme="minorHAnsi" w:hAnsiTheme="minorHAnsi" w:cstheme="minorHAnsi"/>
          <w:b/>
          <w:bCs/>
        </w:rPr>
        <w:t>Reviewed References</w:t>
      </w:r>
      <w:bookmarkEnd w:id="516"/>
    </w:p>
    <w:p w14:paraId="6AA79053"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bookmarkStart w:id="517" w:name="_Hlk92559911"/>
      <w:r w:rsidRPr="00C95105">
        <w:rPr>
          <w:rFonts w:asciiTheme="minorHAnsi" w:hAnsiTheme="minorHAnsi" w:cstheme="minorHAnsi"/>
          <w:sz w:val="22"/>
          <w:szCs w:val="22"/>
          <w:lang w:val="en-AU"/>
        </w:rPr>
        <w:t xml:space="preserve">Antecol, H., &amp; Cobb‐clark, D. (2003). Does Sexual Harassment Training Change Attitudes? A View from the Federal Level. </w:t>
      </w:r>
      <w:r w:rsidRPr="00C95105">
        <w:rPr>
          <w:rFonts w:asciiTheme="minorHAnsi" w:hAnsiTheme="minorHAnsi" w:cstheme="minorHAnsi"/>
          <w:i/>
          <w:sz w:val="22"/>
          <w:szCs w:val="22"/>
          <w:lang w:val="en-AU"/>
        </w:rPr>
        <w:t>Social Science Quarterly (Wiley-Blackwell), 84</w:t>
      </w:r>
      <w:r w:rsidRPr="00C95105">
        <w:rPr>
          <w:rFonts w:asciiTheme="minorHAnsi" w:hAnsiTheme="minorHAnsi" w:cstheme="minorHAnsi"/>
          <w:sz w:val="22"/>
          <w:szCs w:val="22"/>
          <w:lang w:val="en-AU"/>
        </w:rPr>
        <w:t>(4), 826-842. doi:10.1046/j.0038-4941.2003.08404001.x</w:t>
      </w:r>
    </w:p>
    <w:p w14:paraId="3958BE8F"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Brewis, J. (2005). How does it feel? Women managers, embodiment and changing public-sector cultures. In </w:t>
      </w:r>
      <w:r w:rsidRPr="00C95105">
        <w:rPr>
          <w:rFonts w:asciiTheme="minorHAnsi" w:hAnsiTheme="minorHAnsi" w:cstheme="minorHAnsi"/>
          <w:i/>
          <w:sz w:val="22"/>
          <w:szCs w:val="22"/>
          <w:lang w:val="en-AU"/>
        </w:rPr>
        <w:t>Transforming Managers</w:t>
      </w:r>
      <w:r w:rsidRPr="00C95105">
        <w:rPr>
          <w:rFonts w:asciiTheme="minorHAnsi" w:hAnsiTheme="minorHAnsi" w:cstheme="minorHAnsi"/>
          <w:sz w:val="22"/>
          <w:szCs w:val="22"/>
          <w:lang w:val="en-AU"/>
        </w:rPr>
        <w:t xml:space="preserve"> (pp. 99-122): Routledge.</w:t>
      </w:r>
    </w:p>
    <w:p w14:paraId="1C9337D6"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Brunner, L. K., &amp; Dever, M. (2014). Work, bodies and boundaries: Talking sexual harassment in the new economy. </w:t>
      </w:r>
      <w:r w:rsidRPr="00C95105">
        <w:rPr>
          <w:rFonts w:asciiTheme="minorHAnsi" w:hAnsiTheme="minorHAnsi" w:cstheme="minorHAnsi"/>
          <w:i/>
          <w:sz w:val="22"/>
          <w:szCs w:val="22"/>
          <w:lang w:val="en-AU"/>
        </w:rPr>
        <w:t>Gender, Work &amp; Organization, 21</w:t>
      </w:r>
      <w:r w:rsidRPr="00C95105">
        <w:rPr>
          <w:rFonts w:asciiTheme="minorHAnsi" w:hAnsiTheme="minorHAnsi" w:cstheme="minorHAnsi"/>
          <w:sz w:val="22"/>
          <w:szCs w:val="22"/>
          <w:lang w:val="en-AU"/>
        </w:rPr>
        <w:t xml:space="preserve">(5), 459-471. </w:t>
      </w:r>
    </w:p>
    <w:p w14:paraId="56D1D5F2"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Byron, R. A. (2010). Discrimination, complexity, and the public/private sector question. </w:t>
      </w:r>
      <w:r w:rsidRPr="00C95105">
        <w:rPr>
          <w:rFonts w:asciiTheme="minorHAnsi" w:hAnsiTheme="minorHAnsi" w:cstheme="minorHAnsi"/>
          <w:i/>
          <w:sz w:val="22"/>
          <w:szCs w:val="22"/>
          <w:lang w:val="en-AU"/>
        </w:rPr>
        <w:t>Work and occupations, 37</w:t>
      </w:r>
      <w:r w:rsidRPr="00C95105">
        <w:rPr>
          <w:rFonts w:asciiTheme="minorHAnsi" w:hAnsiTheme="minorHAnsi" w:cstheme="minorHAnsi"/>
          <w:sz w:val="22"/>
          <w:szCs w:val="22"/>
          <w:lang w:val="en-AU"/>
        </w:rPr>
        <w:t xml:space="preserve">(4), 435-475. </w:t>
      </w:r>
    </w:p>
    <w:p w14:paraId="4B099083"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Cortina, L. M., &amp; Magley, V. J. (2003). Raising voice, risking retaliation: Events following interpersonal mistreatment in the workplace. </w:t>
      </w:r>
      <w:r w:rsidRPr="00C95105">
        <w:rPr>
          <w:rFonts w:asciiTheme="minorHAnsi" w:hAnsiTheme="minorHAnsi" w:cstheme="minorHAnsi"/>
          <w:i/>
          <w:sz w:val="22"/>
          <w:szCs w:val="22"/>
          <w:lang w:val="en-AU"/>
        </w:rPr>
        <w:t>Journal of Occupational Health Psychology, 8</w:t>
      </w:r>
      <w:r w:rsidRPr="00C95105">
        <w:rPr>
          <w:rFonts w:asciiTheme="minorHAnsi" w:hAnsiTheme="minorHAnsi" w:cstheme="minorHAnsi"/>
          <w:sz w:val="22"/>
          <w:szCs w:val="22"/>
          <w:lang w:val="en-AU"/>
        </w:rPr>
        <w:t xml:space="preserve">(4), 247. </w:t>
      </w:r>
    </w:p>
    <w:p w14:paraId="48F9C522"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Cortina, L. M., Magley, V. J., Williams, J. H., &amp; Langhout, R. D. (2001). Incivility in the workplace: incidence and impact. </w:t>
      </w:r>
      <w:r w:rsidRPr="00C95105">
        <w:rPr>
          <w:rFonts w:asciiTheme="minorHAnsi" w:hAnsiTheme="minorHAnsi" w:cstheme="minorHAnsi"/>
          <w:i/>
          <w:sz w:val="22"/>
          <w:szCs w:val="22"/>
          <w:lang w:val="en-AU"/>
        </w:rPr>
        <w:t>Journal of Occupational Health Psychology, 6</w:t>
      </w:r>
      <w:r w:rsidRPr="00C95105">
        <w:rPr>
          <w:rFonts w:asciiTheme="minorHAnsi" w:hAnsiTheme="minorHAnsi" w:cstheme="minorHAnsi"/>
          <w:sz w:val="22"/>
          <w:szCs w:val="22"/>
          <w:lang w:val="en-AU"/>
        </w:rPr>
        <w:t xml:space="preserve">(1), 64. </w:t>
      </w:r>
    </w:p>
    <w:p w14:paraId="310C977F"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Cullen, L., &amp; Christopher, T. (2012). Career progression of female accountants in the state public sector. </w:t>
      </w:r>
      <w:r w:rsidRPr="00C95105">
        <w:rPr>
          <w:rFonts w:asciiTheme="minorHAnsi" w:hAnsiTheme="minorHAnsi" w:cstheme="minorHAnsi"/>
          <w:i/>
          <w:sz w:val="22"/>
          <w:szCs w:val="22"/>
          <w:lang w:val="en-AU"/>
        </w:rPr>
        <w:t>Australian Accounting Review, 22</w:t>
      </w:r>
      <w:r w:rsidRPr="00C95105">
        <w:rPr>
          <w:rFonts w:asciiTheme="minorHAnsi" w:hAnsiTheme="minorHAnsi" w:cstheme="minorHAnsi"/>
          <w:sz w:val="22"/>
          <w:szCs w:val="22"/>
          <w:lang w:val="en-AU"/>
        </w:rPr>
        <w:t xml:space="preserve">(1), 68-85. </w:t>
      </w:r>
    </w:p>
    <w:p w14:paraId="4B1CBD6D"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Eberhardt, B. J., Moser, S. B., &amp; McFadden, D. (1999). Sexual harassment in small government units: An investigation of policies and attitudes. </w:t>
      </w:r>
      <w:r w:rsidRPr="00C95105">
        <w:rPr>
          <w:rFonts w:asciiTheme="minorHAnsi" w:hAnsiTheme="minorHAnsi" w:cstheme="minorHAnsi"/>
          <w:i/>
          <w:sz w:val="22"/>
          <w:szCs w:val="22"/>
          <w:lang w:val="en-AU"/>
        </w:rPr>
        <w:t>Public Personnel Management, 28</w:t>
      </w:r>
      <w:r w:rsidRPr="00C95105">
        <w:rPr>
          <w:rFonts w:asciiTheme="minorHAnsi" w:hAnsiTheme="minorHAnsi" w:cstheme="minorHAnsi"/>
          <w:sz w:val="22"/>
          <w:szCs w:val="22"/>
          <w:lang w:val="en-AU"/>
        </w:rPr>
        <w:t xml:space="preserve">(3), 351-364. </w:t>
      </w:r>
    </w:p>
    <w:p w14:paraId="289BD3B8"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Fitzgerald, L. F., Gelfand, M. J., &amp; Drasgow, F. (1995). Measuring sexual harassment: Theoretical and psychometric advances. </w:t>
      </w:r>
      <w:r w:rsidRPr="00C95105">
        <w:rPr>
          <w:rFonts w:asciiTheme="minorHAnsi" w:hAnsiTheme="minorHAnsi" w:cstheme="minorHAnsi"/>
          <w:i/>
          <w:iCs/>
          <w:sz w:val="22"/>
          <w:szCs w:val="22"/>
          <w:lang w:val="en-AU"/>
        </w:rPr>
        <w:t>Basic and Applied Social Psychology, 17</w:t>
      </w:r>
      <w:r w:rsidRPr="00C95105">
        <w:rPr>
          <w:rFonts w:asciiTheme="minorHAnsi" w:hAnsiTheme="minorHAnsi" w:cstheme="minorHAnsi"/>
          <w:sz w:val="22"/>
          <w:szCs w:val="22"/>
          <w:lang w:val="en-AU"/>
        </w:rPr>
        <w:t>, 425–427. doi:10.1207/s15324834basp1704_2</w:t>
      </w:r>
    </w:p>
    <w:p w14:paraId="7D15FA81"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Frías, S. M. (2011). Hostigamiento, acoso sexual y discriminación laboral por embarazo en México (Harassment, Sexual Molestation, and Pregnancy Discrimination at Work in Mexico.).</w:t>
      </w:r>
      <w:r w:rsidRPr="00C95105">
        <w:rPr>
          <w:rFonts w:asciiTheme="minorHAnsi" w:hAnsiTheme="minorHAnsi" w:cstheme="minorHAnsi"/>
          <w:i/>
          <w:sz w:val="22"/>
          <w:szCs w:val="22"/>
          <w:lang w:val="en-AU"/>
        </w:rPr>
        <w:t xml:space="preserve"> 73</w:t>
      </w:r>
      <w:r w:rsidRPr="00C95105">
        <w:rPr>
          <w:rFonts w:asciiTheme="minorHAnsi" w:hAnsiTheme="minorHAnsi" w:cstheme="minorHAnsi"/>
          <w:sz w:val="22"/>
          <w:szCs w:val="22"/>
          <w:lang w:val="en-AU"/>
        </w:rPr>
        <w:t xml:space="preserve">(2), 329-365. </w:t>
      </w:r>
    </w:p>
    <w:p w14:paraId="4F381DB3"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Jackson, R. A., &amp; Newman, M. A. (2004). Sexual Harassment in the Federal Workplace Revisited: Influences on Sexual Harassment by Gender. </w:t>
      </w:r>
      <w:r w:rsidRPr="00C95105">
        <w:rPr>
          <w:rFonts w:asciiTheme="minorHAnsi" w:hAnsiTheme="minorHAnsi" w:cstheme="minorHAnsi"/>
          <w:i/>
          <w:sz w:val="22"/>
          <w:szCs w:val="22"/>
          <w:lang w:val="en-AU"/>
        </w:rPr>
        <w:t>Public Administration Review, 64</w:t>
      </w:r>
      <w:r w:rsidRPr="00C95105">
        <w:rPr>
          <w:rFonts w:asciiTheme="minorHAnsi" w:hAnsiTheme="minorHAnsi" w:cstheme="minorHAnsi"/>
          <w:sz w:val="22"/>
          <w:szCs w:val="22"/>
          <w:lang w:val="en-AU"/>
        </w:rPr>
        <w:t xml:space="preserve">(6), 705-717. </w:t>
      </w:r>
    </w:p>
    <w:p w14:paraId="36D8392A"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Kamberi, F., &amp; Gollopeni, B. (2015). The phenomenon of sexual harassment at the workplace in Republic of Kosovo. </w:t>
      </w:r>
      <w:r w:rsidRPr="00C95105">
        <w:rPr>
          <w:rFonts w:asciiTheme="minorHAnsi" w:hAnsiTheme="minorHAnsi" w:cstheme="minorHAnsi"/>
          <w:i/>
          <w:sz w:val="22"/>
          <w:szCs w:val="22"/>
          <w:lang w:val="en-AU"/>
        </w:rPr>
        <w:t>International Journal of Social Sciences, 3</w:t>
      </w:r>
      <w:r w:rsidRPr="00C95105">
        <w:rPr>
          <w:rFonts w:asciiTheme="minorHAnsi" w:hAnsiTheme="minorHAnsi" w:cstheme="minorHAnsi"/>
          <w:sz w:val="22"/>
          <w:szCs w:val="22"/>
          <w:lang w:val="en-AU"/>
        </w:rPr>
        <w:t xml:space="preserve">(12), 580-592. </w:t>
      </w:r>
    </w:p>
    <w:p w14:paraId="2015D1A2"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Krook, M. L. (2018). Westminster Too: On Sexual Harassment in British Politics. </w:t>
      </w:r>
      <w:r w:rsidRPr="00C95105">
        <w:rPr>
          <w:rFonts w:asciiTheme="minorHAnsi" w:hAnsiTheme="minorHAnsi" w:cstheme="minorHAnsi"/>
          <w:i/>
          <w:sz w:val="22"/>
          <w:szCs w:val="22"/>
          <w:lang w:val="en-AU"/>
        </w:rPr>
        <w:t>Political Quarterly, 89</w:t>
      </w:r>
      <w:r w:rsidRPr="00C95105">
        <w:rPr>
          <w:rFonts w:asciiTheme="minorHAnsi" w:hAnsiTheme="minorHAnsi" w:cstheme="minorHAnsi"/>
          <w:sz w:val="22"/>
          <w:szCs w:val="22"/>
          <w:lang w:val="en-AU"/>
        </w:rPr>
        <w:t>(1), 65-72. doi:10.1111/1467-923X.12458</w:t>
      </w:r>
    </w:p>
    <w:p w14:paraId="0017F15F"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Manley, W. (1993). Sexual harassment by patrons: Part three. </w:t>
      </w:r>
      <w:r w:rsidRPr="00C95105">
        <w:rPr>
          <w:rFonts w:asciiTheme="minorHAnsi" w:hAnsiTheme="minorHAnsi" w:cstheme="minorHAnsi"/>
          <w:i/>
          <w:sz w:val="22"/>
          <w:szCs w:val="22"/>
          <w:lang w:val="en-AU"/>
        </w:rPr>
        <w:t>American Libraries, 24</w:t>
      </w:r>
      <w:r w:rsidRPr="00C95105">
        <w:rPr>
          <w:rFonts w:asciiTheme="minorHAnsi" w:hAnsiTheme="minorHAnsi" w:cstheme="minorHAnsi"/>
          <w:sz w:val="22"/>
          <w:szCs w:val="22"/>
          <w:lang w:val="en-AU"/>
        </w:rPr>
        <w:t xml:space="preserve">(8), 756. </w:t>
      </w:r>
    </w:p>
    <w:p w14:paraId="319381DC"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lastRenderedPageBreak/>
        <w:t xml:space="preserve">Naidu, S., Pandaram, A., Chand, A., &amp; Patel, A. (2021). Sexual Harassment at Work and E-government: An Assessment of the Thirteen Pacific Island Countries. </w:t>
      </w:r>
      <w:r w:rsidRPr="00C95105">
        <w:rPr>
          <w:rFonts w:asciiTheme="minorHAnsi" w:hAnsiTheme="minorHAnsi" w:cstheme="minorHAnsi"/>
          <w:i/>
          <w:sz w:val="22"/>
          <w:szCs w:val="22"/>
          <w:lang w:val="en-AU"/>
        </w:rPr>
        <w:t>Sexuality &amp; Culture, 25</w:t>
      </w:r>
      <w:r w:rsidRPr="00C95105">
        <w:rPr>
          <w:rFonts w:asciiTheme="minorHAnsi" w:hAnsiTheme="minorHAnsi" w:cstheme="minorHAnsi"/>
          <w:sz w:val="22"/>
          <w:szCs w:val="22"/>
          <w:lang w:val="en-AU"/>
        </w:rPr>
        <w:t>(5), 1824-1851. doi:10.1007/s12119-021-09853-6</w:t>
      </w:r>
    </w:p>
    <w:p w14:paraId="02E99F2E"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Newman, M. A., Jackson, R. A., &amp; Baker, D. D. (2003). Sexual harassment in the federal workplace. </w:t>
      </w:r>
      <w:r w:rsidRPr="00C95105">
        <w:rPr>
          <w:rFonts w:asciiTheme="minorHAnsi" w:hAnsiTheme="minorHAnsi" w:cstheme="minorHAnsi"/>
          <w:i/>
          <w:sz w:val="22"/>
          <w:szCs w:val="22"/>
          <w:lang w:val="en-AU"/>
        </w:rPr>
        <w:t>Public Administration Review, 63</w:t>
      </w:r>
      <w:r w:rsidRPr="00C95105">
        <w:rPr>
          <w:rFonts w:asciiTheme="minorHAnsi" w:hAnsiTheme="minorHAnsi" w:cstheme="minorHAnsi"/>
          <w:sz w:val="22"/>
          <w:szCs w:val="22"/>
          <w:lang w:val="en-AU"/>
        </w:rPr>
        <w:t>(4), 472-483. doi:http://dx.doi.org/10.1111/1540-6210.00309</w:t>
      </w:r>
    </w:p>
    <w:p w14:paraId="578C690C"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Niriella, M. A. D. S. J. S. (2015). Sexual Harassment against Women in the Workplace: A Critical Study on the Regulatory Framework in Sri Lanka. </w:t>
      </w:r>
      <w:r w:rsidRPr="00C95105">
        <w:rPr>
          <w:rFonts w:asciiTheme="minorHAnsi" w:hAnsiTheme="minorHAnsi" w:cstheme="minorHAnsi"/>
          <w:i/>
          <w:sz w:val="22"/>
          <w:szCs w:val="22"/>
          <w:lang w:val="en-AU"/>
        </w:rPr>
        <w:t>Research in Political Sociology, 23</w:t>
      </w:r>
      <w:r w:rsidRPr="00C95105">
        <w:rPr>
          <w:rFonts w:asciiTheme="minorHAnsi" w:hAnsiTheme="minorHAnsi" w:cstheme="minorHAnsi"/>
          <w:sz w:val="22"/>
          <w:szCs w:val="22"/>
          <w:lang w:val="en-AU"/>
        </w:rPr>
        <w:t>, 41-55. doi:10.1108/S0895-993520150000023003</w:t>
      </w:r>
    </w:p>
    <w:p w14:paraId="40A6DA30"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Oche, O. M., Adamu, H., Mallam, S. A., Oluwashola, R. A., &amp; Muhammad, A. S. (2020). Assessment of Knowledge, Attitude and Experience of Sexual Violence among Female Employees in Sokoto Metropolis, Northwest Nigeria. </w:t>
      </w:r>
      <w:r w:rsidRPr="00C95105">
        <w:rPr>
          <w:rFonts w:asciiTheme="minorHAnsi" w:hAnsiTheme="minorHAnsi" w:cstheme="minorHAnsi"/>
          <w:i/>
          <w:sz w:val="22"/>
          <w:szCs w:val="22"/>
          <w:lang w:val="en-AU"/>
        </w:rPr>
        <w:t>African Journal of Reproductive Health, 24</w:t>
      </w:r>
      <w:r w:rsidRPr="00C95105">
        <w:rPr>
          <w:rFonts w:asciiTheme="minorHAnsi" w:hAnsiTheme="minorHAnsi" w:cstheme="minorHAnsi"/>
          <w:sz w:val="22"/>
          <w:szCs w:val="22"/>
          <w:lang w:val="en-AU"/>
        </w:rPr>
        <w:t>(2), 164-175. doi:http://dx.doi.org/10.29063/ajrh2020/v24i2.16</w:t>
      </w:r>
    </w:p>
    <w:p w14:paraId="5C0D3256"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Ragins, B. R. (1995). Antecedents and work-related correlates of reported sexual harassment: An empirical investigation. </w:t>
      </w:r>
      <w:r w:rsidRPr="00C95105">
        <w:rPr>
          <w:rFonts w:asciiTheme="minorHAnsi" w:hAnsiTheme="minorHAnsi" w:cstheme="minorHAnsi"/>
          <w:i/>
          <w:sz w:val="22"/>
          <w:szCs w:val="22"/>
          <w:lang w:val="en-AU"/>
        </w:rPr>
        <w:t>Sex roles, 32</w:t>
      </w:r>
      <w:r w:rsidRPr="00C95105">
        <w:rPr>
          <w:rFonts w:asciiTheme="minorHAnsi" w:hAnsiTheme="minorHAnsi" w:cstheme="minorHAnsi"/>
          <w:sz w:val="22"/>
          <w:szCs w:val="22"/>
          <w:lang w:val="en-AU"/>
        </w:rPr>
        <w:t>(7-8), 429-455. doi:10.1007/BF01544181</w:t>
      </w:r>
    </w:p>
    <w:p w14:paraId="0150F15A"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Reese, L. A., &amp; Lindenberg, K. E. (1997). " Victimhood" and the Implementation of Sexual Harassment Policy. </w:t>
      </w:r>
      <w:r w:rsidRPr="00C95105">
        <w:rPr>
          <w:rFonts w:asciiTheme="minorHAnsi" w:hAnsiTheme="minorHAnsi" w:cstheme="minorHAnsi"/>
          <w:i/>
          <w:sz w:val="22"/>
          <w:szCs w:val="22"/>
          <w:lang w:val="en-AU"/>
        </w:rPr>
        <w:t>Review of Public Personnel Administration, 17</w:t>
      </w:r>
      <w:r w:rsidRPr="00C95105">
        <w:rPr>
          <w:rFonts w:asciiTheme="minorHAnsi" w:hAnsiTheme="minorHAnsi" w:cstheme="minorHAnsi"/>
          <w:sz w:val="22"/>
          <w:szCs w:val="22"/>
          <w:lang w:val="en-AU"/>
        </w:rPr>
        <w:t xml:space="preserve">(1), 37-57. </w:t>
      </w:r>
    </w:p>
    <w:p w14:paraId="1947B096"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Reese, L. A., &amp; Lindenberg, K. E. (2003). The importance of training on sexual harassment policy outcomes. </w:t>
      </w:r>
      <w:r w:rsidRPr="00C95105">
        <w:rPr>
          <w:rFonts w:asciiTheme="minorHAnsi" w:hAnsiTheme="minorHAnsi" w:cstheme="minorHAnsi"/>
          <w:i/>
          <w:sz w:val="22"/>
          <w:szCs w:val="22"/>
          <w:lang w:val="en-AU"/>
        </w:rPr>
        <w:t>Review of Public Personnel Administration, 23</w:t>
      </w:r>
      <w:r w:rsidRPr="00C95105">
        <w:rPr>
          <w:rFonts w:asciiTheme="minorHAnsi" w:hAnsiTheme="minorHAnsi" w:cstheme="minorHAnsi"/>
          <w:sz w:val="22"/>
          <w:szCs w:val="22"/>
          <w:lang w:val="en-AU"/>
        </w:rPr>
        <w:t xml:space="preserve">(3), 175-191. </w:t>
      </w:r>
    </w:p>
    <w:p w14:paraId="6E4E2862"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Sabitha, M. (2008). Sexual harassment awareness training at workplace: Can it effect administrators' perception. </w:t>
      </w:r>
      <w:r w:rsidRPr="00C95105">
        <w:rPr>
          <w:rFonts w:asciiTheme="minorHAnsi" w:hAnsiTheme="minorHAnsi" w:cstheme="minorHAnsi"/>
          <w:i/>
          <w:sz w:val="22"/>
          <w:szCs w:val="22"/>
          <w:lang w:val="en-AU"/>
        </w:rPr>
        <w:t>JOAAG, 3</w:t>
      </w:r>
      <w:r w:rsidRPr="00C95105">
        <w:rPr>
          <w:rFonts w:asciiTheme="minorHAnsi" w:hAnsiTheme="minorHAnsi" w:cstheme="minorHAnsi"/>
          <w:sz w:val="22"/>
          <w:szCs w:val="22"/>
          <w:lang w:val="en-AU"/>
        </w:rPr>
        <w:t xml:space="preserve">(2). </w:t>
      </w:r>
    </w:p>
    <w:p w14:paraId="47701E4A"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Sangwan, D., &amp; Thakre, A. (2019). Sexual Harassment at the Workplace in Public and Private Sectors in India: A Study at National Capital Region of Delhi. </w:t>
      </w:r>
      <w:r w:rsidRPr="00C95105">
        <w:rPr>
          <w:rFonts w:asciiTheme="minorHAnsi" w:hAnsiTheme="minorHAnsi" w:cstheme="minorHAnsi"/>
          <w:i/>
          <w:sz w:val="22"/>
          <w:szCs w:val="22"/>
          <w:lang w:val="en-AU"/>
        </w:rPr>
        <w:t>International Journal of Criminal Justice Sciences, 14</w:t>
      </w:r>
      <w:r w:rsidRPr="00C95105">
        <w:rPr>
          <w:rFonts w:asciiTheme="minorHAnsi" w:hAnsiTheme="minorHAnsi" w:cstheme="minorHAnsi"/>
          <w:sz w:val="22"/>
          <w:szCs w:val="22"/>
          <w:lang w:val="en-AU"/>
        </w:rPr>
        <w:t>(2), 29-43. doi:10.5281/zenodo.1403380</w:t>
      </w:r>
    </w:p>
    <w:p w14:paraId="3346E7A8"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Serepca, B. (1995). Sexual harassment. </w:t>
      </w:r>
      <w:r w:rsidRPr="00C95105">
        <w:rPr>
          <w:rFonts w:asciiTheme="minorHAnsi" w:hAnsiTheme="minorHAnsi" w:cstheme="minorHAnsi"/>
          <w:i/>
          <w:sz w:val="22"/>
          <w:szCs w:val="22"/>
          <w:lang w:val="en-AU"/>
        </w:rPr>
        <w:t>The Internal Auditor, 52</w:t>
      </w:r>
      <w:r w:rsidRPr="00C95105">
        <w:rPr>
          <w:rFonts w:asciiTheme="minorHAnsi" w:hAnsiTheme="minorHAnsi" w:cstheme="minorHAnsi"/>
          <w:sz w:val="22"/>
          <w:szCs w:val="22"/>
          <w:lang w:val="en-AU"/>
        </w:rPr>
        <w:t xml:space="preserve">(5), 60. </w:t>
      </w:r>
    </w:p>
    <w:p w14:paraId="4231EBA7"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Sojo, V., Wood, R., Genat, A. (2016). Harmful workplace experiences and women’s occupational well-being: A meta-analysis. </w:t>
      </w:r>
      <w:r w:rsidRPr="00C95105">
        <w:rPr>
          <w:rFonts w:asciiTheme="minorHAnsi" w:hAnsiTheme="minorHAnsi" w:cstheme="minorHAnsi"/>
          <w:i/>
          <w:iCs/>
          <w:sz w:val="22"/>
          <w:szCs w:val="22"/>
          <w:lang w:val="en-AU"/>
        </w:rPr>
        <w:t>Psychology of Women Quarterly</w:t>
      </w:r>
      <w:r w:rsidRPr="00C95105">
        <w:rPr>
          <w:rFonts w:asciiTheme="minorHAnsi" w:hAnsiTheme="minorHAnsi" w:cstheme="minorHAnsi"/>
          <w:sz w:val="22"/>
          <w:szCs w:val="22"/>
          <w:lang w:val="en-AU"/>
        </w:rPr>
        <w:t>, 40 (1), 10-40. doi:10.1177/0361684315599346</w:t>
      </w:r>
    </w:p>
    <w:p w14:paraId="102A346C"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Thacker, R. A. (1996). A description study of situational and individual influences upon individuals' responses to sexual harassment. </w:t>
      </w:r>
      <w:r w:rsidRPr="00C95105">
        <w:rPr>
          <w:rFonts w:asciiTheme="minorHAnsi" w:hAnsiTheme="minorHAnsi" w:cstheme="minorHAnsi"/>
          <w:i/>
          <w:sz w:val="22"/>
          <w:szCs w:val="22"/>
          <w:lang w:val="en-AU"/>
        </w:rPr>
        <w:t>Human Relations, 49</w:t>
      </w:r>
      <w:r w:rsidRPr="00C95105">
        <w:rPr>
          <w:rFonts w:asciiTheme="minorHAnsi" w:hAnsiTheme="minorHAnsi" w:cstheme="minorHAnsi"/>
          <w:sz w:val="22"/>
          <w:szCs w:val="22"/>
          <w:lang w:val="en-AU"/>
        </w:rPr>
        <w:t xml:space="preserve">(8), 1105. </w:t>
      </w:r>
    </w:p>
    <w:p w14:paraId="3E29C30A"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Tindigarukayo, J. (2006). Perceptions and Reflections on Sexual Harassment in Jamaica. </w:t>
      </w:r>
      <w:r w:rsidRPr="00C95105">
        <w:rPr>
          <w:rFonts w:asciiTheme="minorHAnsi" w:hAnsiTheme="minorHAnsi" w:cstheme="minorHAnsi"/>
          <w:i/>
          <w:sz w:val="22"/>
          <w:szCs w:val="22"/>
          <w:lang w:val="en-AU"/>
        </w:rPr>
        <w:t>Journal of International Women's Studies, 7</w:t>
      </w:r>
      <w:r w:rsidRPr="00C95105">
        <w:rPr>
          <w:rFonts w:asciiTheme="minorHAnsi" w:hAnsiTheme="minorHAnsi" w:cstheme="minorHAnsi"/>
          <w:sz w:val="22"/>
          <w:szCs w:val="22"/>
          <w:lang w:val="en-AU"/>
        </w:rPr>
        <w:t>(4), 90-110. Retrieved from https://search.ebscohost.com/login.aspx?direct=true&amp;AuthType=sso&amp;db=sih&amp;AN=21599276&amp;site=ehost-live&amp;custid=s2775460</w:t>
      </w:r>
    </w:p>
    <w:p w14:paraId="632C2C20"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Vuckovic, M., Altvater, A., Linda Helgesson, S., &amp; Kloss, K. (2017). Sexual harassment and gender-based violence in Tanzania’s public service. </w:t>
      </w:r>
      <w:r w:rsidRPr="00C95105">
        <w:rPr>
          <w:rFonts w:asciiTheme="minorHAnsi" w:hAnsiTheme="minorHAnsi" w:cstheme="minorHAnsi"/>
          <w:i/>
          <w:sz w:val="22"/>
          <w:szCs w:val="22"/>
          <w:lang w:val="en-AU"/>
        </w:rPr>
        <w:t>International Journal of Workplace Health Management, 10</w:t>
      </w:r>
      <w:r w:rsidRPr="00C95105">
        <w:rPr>
          <w:rFonts w:asciiTheme="minorHAnsi" w:hAnsiTheme="minorHAnsi" w:cstheme="minorHAnsi"/>
          <w:sz w:val="22"/>
          <w:szCs w:val="22"/>
          <w:lang w:val="en-AU"/>
        </w:rPr>
        <w:t>(2), 116-133. doi:http://dx.doi.org/10.1108/IJWHM-02-2015-0011</w:t>
      </w:r>
    </w:p>
    <w:p w14:paraId="30A5AB22"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Waite, S. (2021). Should I Stay or Should I Go? Employment Discrimination and Workplace Harassment against Transgender and Other Minority Employees in Canada's Federal Public Service. </w:t>
      </w:r>
      <w:r w:rsidRPr="00C95105">
        <w:rPr>
          <w:rFonts w:asciiTheme="minorHAnsi" w:hAnsiTheme="minorHAnsi" w:cstheme="minorHAnsi"/>
          <w:i/>
          <w:sz w:val="22"/>
          <w:szCs w:val="22"/>
          <w:lang w:val="en-AU"/>
        </w:rPr>
        <w:t>Journal of Homosexuality, 68</w:t>
      </w:r>
      <w:r w:rsidRPr="00C95105">
        <w:rPr>
          <w:rFonts w:asciiTheme="minorHAnsi" w:hAnsiTheme="minorHAnsi" w:cstheme="minorHAnsi"/>
          <w:sz w:val="22"/>
          <w:szCs w:val="22"/>
          <w:lang w:val="en-AU"/>
        </w:rPr>
        <w:t>(11), 1833-1859. doi:10.1080/00918369.2020.1712140</w:t>
      </w:r>
    </w:p>
    <w:p w14:paraId="5EA2F338" w14:textId="77777777"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Wynen, J. (2016). Sexual harassment: The nexus between gender and workplace authority: Evidence from the Australian public service. </w:t>
      </w:r>
      <w:r w:rsidRPr="00C95105">
        <w:rPr>
          <w:rFonts w:asciiTheme="minorHAnsi" w:hAnsiTheme="minorHAnsi" w:cstheme="minorHAnsi"/>
          <w:i/>
          <w:sz w:val="22"/>
          <w:szCs w:val="22"/>
          <w:lang w:val="en-AU"/>
        </w:rPr>
        <w:t>Australian Journal of Public Administration, 75</w:t>
      </w:r>
      <w:r w:rsidRPr="00C95105">
        <w:rPr>
          <w:rFonts w:asciiTheme="minorHAnsi" w:hAnsiTheme="minorHAnsi" w:cstheme="minorHAnsi"/>
          <w:sz w:val="22"/>
          <w:szCs w:val="22"/>
          <w:lang w:val="en-AU"/>
        </w:rPr>
        <w:t xml:space="preserve">(3), 345-358. </w:t>
      </w:r>
    </w:p>
    <w:p w14:paraId="2C598A34" w14:textId="0923F54B" w:rsidR="00624105" w:rsidRPr="00C95105" w:rsidRDefault="00624105" w:rsidP="00137555">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Yasmin, N. (2018). A Study on Reporting of Sexual Harassment by Working Women in Lahore-Pakistan. </w:t>
      </w:r>
      <w:r w:rsidRPr="00C95105">
        <w:rPr>
          <w:rFonts w:asciiTheme="minorHAnsi" w:hAnsiTheme="minorHAnsi" w:cstheme="minorHAnsi"/>
          <w:i/>
          <w:sz w:val="22"/>
          <w:szCs w:val="22"/>
          <w:lang w:val="en-AU"/>
        </w:rPr>
        <w:t>FWU Journal of Social Sciences, 12</w:t>
      </w:r>
      <w:r w:rsidRPr="00C95105">
        <w:rPr>
          <w:rFonts w:asciiTheme="minorHAnsi" w:hAnsiTheme="minorHAnsi" w:cstheme="minorHAnsi"/>
          <w:sz w:val="22"/>
          <w:szCs w:val="22"/>
          <w:lang w:val="en-AU"/>
        </w:rPr>
        <w:t xml:space="preserve">(2), 24. </w:t>
      </w:r>
    </w:p>
    <w:bookmarkEnd w:id="517"/>
    <w:p w14:paraId="0217C516" w14:textId="77777777" w:rsidR="00624105" w:rsidRPr="00C95105" w:rsidRDefault="00624105" w:rsidP="00624105">
      <w:pPr>
        <w:spacing w:after="120"/>
        <w:rPr>
          <w:rFonts w:asciiTheme="minorHAnsi" w:hAnsiTheme="minorHAnsi" w:cstheme="minorHAnsi"/>
          <w:sz w:val="22"/>
          <w:szCs w:val="22"/>
        </w:rPr>
      </w:pPr>
    </w:p>
    <w:p w14:paraId="6AB6B68C" w14:textId="66E48669" w:rsidR="00694C73" w:rsidRPr="00D81779" w:rsidRDefault="00694C73" w:rsidP="003B7F36">
      <w:pPr>
        <w:textAlignment w:val="baseline"/>
        <w:rPr>
          <w:rFonts w:asciiTheme="minorHAnsi" w:hAnsiTheme="minorHAnsi" w:cstheme="minorHAnsi"/>
          <w:sz w:val="18"/>
          <w:szCs w:val="18"/>
        </w:rPr>
        <w:sectPr w:rsidR="00694C73" w:rsidRPr="00D81779" w:rsidSect="00FF16B6">
          <w:headerReference w:type="even" r:id="rId113"/>
          <w:headerReference w:type="default" r:id="rId114"/>
          <w:footerReference w:type="default" r:id="rId115"/>
          <w:headerReference w:type="first" r:id="rId116"/>
          <w:pgSz w:w="11900" w:h="16840"/>
          <w:pgMar w:top="1440" w:right="1440" w:bottom="1440" w:left="1440" w:header="708" w:footer="708" w:gutter="0"/>
          <w:cols w:space="708"/>
          <w:docGrid w:linePitch="360"/>
        </w:sectPr>
      </w:pPr>
    </w:p>
    <w:p w14:paraId="22000A75" w14:textId="239FA8BE" w:rsidR="0093280F" w:rsidRPr="000619E5" w:rsidRDefault="0093280F" w:rsidP="005232B4">
      <w:pPr>
        <w:pStyle w:val="Heading1"/>
        <w:spacing w:before="0" w:after="120"/>
        <w:jc w:val="center"/>
        <w:rPr>
          <w:rFonts w:asciiTheme="minorHAnsi" w:hAnsiTheme="minorHAnsi" w:cstheme="minorHAnsi"/>
          <w:color w:val="FFFFFF" w:themeColor="background1"/>
        </w:rPr>
      </w:pPr>
      <w:bookmarkStart w:id="518" w:name="_Toc96957724"/>
      <w:r w:rsidRPr="000619E5">
        <w:rPr>
          <w:rFonts w:asciiTheme="minorHAnsi" w:hAnsiTheme="minorHAnsi" w:cstheme="minorHAnsi"/>
          <w:b/>
          <w:bCs/>
          <w:color w:val="FFFFFF" w:themeColor="background1"/>
        </w:rPr>
        <w:lastRenderedPageBreak/>
        <w:t xml:space="preserve">Chapter 5 - </w:t>
      </w:r>
      <w:r w:rsidRPr="000619E5">
        <w:rPr>
          <w:rFonts w:asciiTheme="minorHAnsi" w:hAnsiTheme="minorHAnsi" w:cstheme="minorHAnsi"/>
          <w:color w:val="FFFFFF" w:themeColor="background1"/>
        </w:rPr>
        <w:t xml:space="preserve">Information-Based Approaches to Gender Pay Equity: </w:t>
      </w:r>
      <w:r w:rsidR="006C1BF6" w:rsidRPr="000619E5">
        <w:rPr>
          <w:rFonts w:asciiTheme="minorHAnsi" w:hAnsiTheme="minorHAnsi" w:cstheme="minorHAnsi"/>
          <w:color w:val="FFFFFF" w:themeColor="background1"/>
        </w:rPr>
        <w:t xml:space="preserve"> </w:t>
      </w:r>
      <w:r w:rsidRPr="000619E5">
        <w:rPr>
          <w:rFonts w:asciiTheme="minorHAnsi" w:hAnsiTheme="minorHAnsi" w:cstheme="minorHAnsi"/>
          <w:color w:val="FFFFFF" w:themeColor="background1"/>
        </w:rPr>
        <w:t>Pay Audits, Pay Transparency and Job Evaluation</w:t>
      </w:r>
      <w:bookmarkEnd w:id="518"/>
    </w:p>
    <w:p w14:paraId="2198F503" w14:textId="77777777" w:rsidR="0093280F" w:rsidRPr="00C95105" w:rsidRDefault="0093280F" w:rsidP="0093280F">
      <w:pPr>
        <w:spacing w:after="120"/>
        <w:jc w:val="center"/>
        <w:rPr>
          <w:rFonts w:asciiTheme="minorHAnsi" w:hAnsiTheme="minorHAnsi" w:cstheme="minorHAnsi"/>
          <w:b/>
          <w:bCs/>
          <w:sz w:val="22"/>
          <w:szCs w:val="22"/>
        </w:rPr>
      </w:pPr>
    </w:p>
    <w:p w14:paraId="03FC3F8C" w14:textId="75BC288E" w:rsidR="0093280F" w:rsidRPr="00C95105" w:rsidRDefault="0093280F" w:rsidP="0093280F">
      <w:pPr>
        <w:spacing w:after="120"/>
        <w:rPr>
          <w:rFonts w:asciiTheme="minorHAnsi" w:hAnsiTheme="minorHAnsi" w:cstheme="minorHAnsi"/>
          <w:sz w:val="22"/>
          <w:szCs w:val="22"/>
        </w:rPr>
      </w:pPr>
      <w:r w:rsidRPr="00C95105">
        <w:rPr>
          <w:rFonts w:asciiTheme="minorHAnsi" w:hAnsiTheme="minorHAnsi" w:cstheme="minorHAnsi"/>
          <w:i/>
          <w:iCs/>
          <w:sz w:val="22"/>
          <w:szCs w:val="22"/>
        </w:rPr>
        <w:t>Dr Miriam Glennie</w:t>
      </w:r>
      <w:r w:rsidRPr="00C95105">
        <w:rPr>
          <w:rFonts w:asciiTheme="minorHAnsi" w:hAnsiTheme="minorHAnsi" w:cstheme="minorHAnsi"/>
          <w:sz w:val="22"/>
          <w:szCs w:val="22"/>
        </w:rPr>
        <w:t xml:space="preserve">, </w:t>
      </w:r>
      <w:r w:rsidR="004324FD" w:rsidRPr="00C95105">
        <w:rPr>
          <w:rFonts w:asciiTheme="minorHAnsi" w:hAnsiTheme="minorHAnsi" w:cstheme="minorHAnsi"/>
          <w:sz w:val="22"/>
          <w:szCs w:val="22"/>
        </w:rPr>
        <w:t xml:space="preserve">The </w:t>
      </w:r>
      <w:r w:rsidRPr="00C95105">
        <w:rPr>
          <w:rFonts w:asciiTheme="minorHAnsi" w:hAnsiTheme="minorHAnsi" w:cstheme="minorHAnsi"/>
          <w:sz w:val="22"/>
          <w:szCs w:val="22"/>
        </w:rPr>
        <w:t>Australian National University</w:t>
      </w:r>
    </w:p>
    <w:p w14:paraId="7F1E8DF6" w14:textId="45F4CB78" w:rsidR="0093280F" w:rsidRPr="00C95105" w:rsidRDefault="0093280F" w:rsidP="0093280F">
      <w:pPr>
        <w:spacing w:after="120"/>
        <w:rPr>
          <w:rFonts w:asciiTheme="minorHAnsi" w:hAnsiTheme="minorHAnsi" w:cstheme="minorHAnsi"/>
          <w:sz w:val="22"/>
          <w:szCs w:val="22"/>
        </w:rPr>
      </w:pPr>
      <w:r w:rsidRPr="00C95105">
        <w:rPr>
          <w:rFonts w:asciiTheme="minorHAnsi" w:hAnsiTheme="minorHAnsi" w:cstheme="minorHAnsi"/>
          <w:i/>
          <w:iCs/>
          <w:sz w:val="22"/>
          <w:szCs w:val="22"/>
        </w:rPr>
        <w:t>Prof Michelle Ryan</w:t>
      </w:r>
      <w:r w:rsidRPr="00C95105">
        <w:rPr>
          <w:rFonts w:asciiTheme="minorHAnsi" w:hAnsiTheme="minorHAnsi" w:cstheme="minorHAnsi"/>
          <w:sz w:val="22"/>
          <w:szCs w:val="22"/>
        </w:rPr>
        <w:t xml:space="preserve">, </w:t>
      </w:r>
      <w:r w:rsidR="004324FD" w:rsidRPr="00C95105">
        <w:rPr>
          <w:rFonts w:asciiTheme="minorHAnsi" w:hAnsiTheme="minorHAnsi" w:cstheme="minorHAnsi"/>
          <w:sz w:val="22"/>
          <w:szCs w:val="22"/>
        </w:rPr>
        <w:t xml:space="preserve">The </w:t>
      </w:r>
      <w:r w:rsidRPr="00C95105">
        <w:rPr>
          <w:rFonts w:asciiTheme="minorHAnsi" w:hAnsiTheme="minorHAnsi" w:cstheme="minorHAnsi"/>
          <w:sz w:val="22"/>
          <w:szCs w:val="22"/>
        </w:rPr>
        <w:t>Australian National University</w:t>
      </w:r>
    </w:p>
    <w:p w14:paraId="523907BC" w14:textId="77777777" w:rsidR="0093280F" w:rsidRPr="00C95105" w:rsidRDefault="0093280F" w:rsidP="0093280F">
      <w:pPr>
        <w:spacing w:after="120"/>
        <w:rPr>
          <w:rFonts w:asciiTheme="minorHAnsi" w:hAnsiTheme="minorHAnsi" w:cstheme="minorHAnsi"/>
          <w:sz w:val="22"/>
          <w:szCs w:val="22"/>
        </w:rPr>
      </w:pPr>
      <w:r w:rsidRPr="00C95105">
        <w:rPr>
          <w:rFonts w:asciiTheme="minorHAnsi" w:hAnsiTheme="minorHAnsi" w:cstheme="minorHAnsi"/>
          <w:i/>
          <w:iCs/>
          <w:sz w:val="22"/>
          <w:szCs w:val="22"/>
        </w:rPr>
        <w:t>Dr Victor Sojo</w:t>
      </w:r>
      <w:r w:rsidRPr="00C95105">
        <w:rPr>
          <w:rFonts w:asciiTheme="minorHAnsi" w:hAnsiTheme="minorHAnsi" w:cstheme="minorHAnsi"/>
          <w:sz w:val="22"/>
          <w:szCs w:val="22"/>
        </w:rPr>
        <w:t>, University of Melbourne</w:t>
      </w:r>
    </w:p>
    <w:p w14:paraId="70EA8A64" w14:textId="321828D3" w:rsidR="0093280F" w:rsidRPr="00C95105" w:rsidRDefault="000619E5" w:rsidP="0093280F">
      <w:pPr>
        <w:spacing w:after="120"/>
        <w:rPr>
          <w:rFonts w:asciiTheme="minorHAnsi" w:hAnsiTheme="minorHAnsi" w:cstheme="minorHAnsi"/>
          <w:sz w:val="22"/>
          <w:szCs w:val="22"/>
        </w:rPr>
      </w:pPr>
      <w:r w:rsidRPr="00C95105">
        <w:rPr>
          <w:rFonts w:asciiTheme="minorHAnsi" w:hAnsiTheme="minorHAnsi" w:cstheme="minorHAnsi"/>
          <w:noProof/>
          <w:color w:val="000000" w:themeColor="text1"/>
          <w:sz w:val="28"/>
          <w:szCs w:val="28"/>
        </w:rPr>
        <mc:AlternateContent>
          <mc:Choice Requires="wps">
            <w:drawing>
              <wp:anchor distT="0" distB="0" distL="114300" distR="114300" simplePos="0" relativeHeight="251658267" behindDoc="1" locked="1" layoutInCell="1" allowOverlap="1" wp14:anchorId="63E3061C" wp14:editId="699D4F2B">
                <wp:simplePos x="0" y="0"/>
                <wp:positionH relativeFrom="page">
                  <wp:posOffset>-88265</wp:posOffset>
                </wp:positionH>
                <wp:positionV relativeFrom="page">
                  <wp:posOffset>-106045</wp:posOffset>
                </wp:positionV>
                <wp:extent cx="7975600" cy="1697355"/>
                <wp:effectExtent l="0" t="0" r="0" b="4445"/>
                <wp:wrapNone/>
                <wp:docPr id="147"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75600" cy="1697355"/>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556B2" id="Divider A BG" o:spid="_x0000_s1026" alt="&quot;&quot;" style="position:absolute;margin-left:-6.95pt;margin-top:-8.35pt;width:628pt;height:133.6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" fillcolor="#1c407f" stroked="f" strokeweight="1pt">
                <o:lock v:ext="edit" aspectratio="t"/>
                <w10:wrap anchorx="page" anchory="page"/>
                <w10:anchorlock/>
              </v:rect>
            </w:pict>
          </mc:Fallback>
        </mc:AlternateContent>
      </w:r>
    </w:p>
    <w:p w14:paraId="5E831E31" w14:textId="33A662D2" w:rsidR="0093280F" w:rsidRPr="00C95105" w:rsidRDefault="0093280F" w:rsidP="00756FF3">
      <w:pPr>
        <w:pStyle w:val="Heading2"/>
        <w:numPr>
          <w:ilvl w:val="1"/>
          <w:numId w:val="26"/>
        </w:numPr>
        <w:spacing w:before="0" w:after="120"/>
        <w:ind w:left="426" w:hanging="426"/>
        <w:rPr>
          <w:rFonts w:asciiTheme="minorHAnsi" w:hAnsiTheme="minorHAnsi" w:cstheme="minorHAnsi"/>
          <w:b/>
          <w:bCs/>
        </w:rPr>
      </w:pPr>
      <w:bookmarkStart w:id="519" w:name="_Toc96957725"/>
      <w:r w:rsidRPr="00C95105">
        <w:rPr>
          <w:rFonts w:asciiTheme="minorHAnsi" w:hAnsiTheme="minorHAnsi" w:cstheme="minorHAnsi"/>
          <w:b/>
          <w:bCs/>
        </w:rPr>
        <w:t xml:space="preserve">Executive </w:t>
      </w:r>
      <w:r w:rsidR="00B40D51" w:rsidRPr="00C95105">
        <w:rPr>
          <w:rFonts w:asciiTheme="minorHAnsi" w:hAnsiTheme="minorHAnsi" w:cstheme="minorHAnsi"/>
          <w:b/>
          <w:bCs/>
        </w:rPr>
        <w:t>S</w:t>
      </w:r>
      <w:r w:rsidRPr="00C95105">
        <w:rPr>
          <w:rFonts w:asciiTheme="minorHAnsi" w:hAnsiTheme="minorHAnsi" w:cstheme="minorHAnsi"/>
          <w:b/>
          <w:bCs/>
        </w:rPr>
        <w:t>ummary</w:t>
      </w:r>
      <w:bookmarkEnd w:id="519"/>
    </w:p>
    <w:p w14:paraId="6838964B" w14:textId="77777777" w:rsidR="00FF16B6" w:rsidRPr="00C95105" w:rsidRDefault="0093280F" w:rsidP="004D187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Internationally, many jurisdictions are strengthening workplace gender equality legislation to accelerate reductions in the gender pay gap. Most legislation relies on information-based strategies that are designed to diagnose pay inequity and inform decisions about corrective action. In this review, we examined contemporary research on the three most common strategies (i.e., pay audits, pay transparency and job evaluation), to assess the impact of these strategies on the gender pay gap in different settings, and to identify the barriers and enablers to strategy effectiveness. </w:t>
      </w:r>
    </w:p>
    <w:p w14:paraId="773794E3" w14:textId="7FEAA7E9" w:rsidR="004D1874" w:rsidRPr="00C95105" w:rsidRDefault="0093280F" w:rsidP="004D187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particular, we sought to identify ways to improve information quality and information use in practice. Systematic search and screening for studies reporting on the implementation of one or more strategies in an organisational setting resulted in the identification of 12 peer reviewed studies. The majority were conducted in public sector organisations. </w:t>
      </w:r>
    </w:p>
    <w:p w14:paraId="6E92AB33" w14:textId="77777777" w:rsidR="004D1874" w:rsidRPr="00C95105" w:rsidRDefault="0093280F" w:rsidP="004D187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We found limited evidence of these strategies reducing gender pay gaps. This lack of evidence about impact reflects two situations: (i) strategy ineffectiveness in some studies and (ii) strategy impact not measured in terms of pay in other studies. </w:t>
      </w:r>
    </w:p>
    <w:p w14:paraId="5777C62D" w14:textId="62ABB983" w:rsidR="004D1874" w:rsidRPr="00C95105" w:rsidRDefault="0093280F" w:rsidP="004D187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A range of barriers hindering the application </w:t>
      </w:r>
      <w:r w:rsidR="000C647D" w:rsidRPr="00C95105">
        <w:rPr>
          <w:rFonts w:asciiTheme="minorHAnsi" w:hAnsiTheme="minorHAnsi" w:cstheme="minorHAnsi"/>
          <w:sz w:val="22"/>
          <w:szCs w:val="22"/>
        </w:rPr>
        <w:t xml:space="preserve">of </w:t>
      </w:r>
      <w:r w:rsidRPr="00C95105">
        <w:rPr>
          <w:rFonts w:asciiTheme="minorHAnsi" w:hAnsiTheme="minorHAnsi" w:cstheme="minorHAnsi"/>
          <w:sz w:val="22"/>
          <w:szCs w:val="22"/>
        </w:rPr>
        <w:t xml:space="preserve">the strategies and the use of information obtained from them were identified both across and within strategies; barriers to information quality related primarily to failures to account for and/or remove gender bias from measures of adjusted gender pays and job evaluation. Barriers to information use were related to lack of authority to adjust pay or pay practices, and rejection by individuals holding pay-setting authority that the pay disparities identified genuinely resulted from pay inequity. </w:t>
      </w:r>
    </w:p>
    <w:p w14:paraId="134E73B6" w14:textId="77777777" w:rsidR="00FF16B6" w:rsidRPr="00C95105" w:rsidRDefault="0093280F" w:rsidP="00FF16B6">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Fewer enablers were identified; those that were identified related to the use of decision-making transparency to improve manager accountability for equity in pay-related decisions, and the disclosure of pay-setting systems to support employee perceptions of procedural fairness.</w:t>
      </w:r>
    </w:p>
    <w:p w14:paraId="45EE0C8A" w14:textId="28062788" w:rsidR="0093280F" w:rsidRDefault="0093280F" w:rsidP="00FF16B6">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Review findings were used to inform a roadmap for action for the Victorian Public Service (VPS). This roadmap, briefly outlined below, sets out a series of actions to support the effective implementation of the information-based strategies currently in use in the VPS, particularly the pay audit and pay gap disclosure mandated by the Gender Equality Act 2020 </w:t>
      </w:r>
      <w:r w:rsidR="00D926E0" w:rsidRPr="00C95105">
        <w:rPr>
          <w:rFonts w:asciiTheme="minorHAnsi" w:hAnsiTheme="minorHAnsi" w:cstheme="minorHAnsi"/>
          <w:sz w:val="22"/>
          <w:szCs w:val="22"/>
        </w:rPr>
        <w:t xml:space="preserve">(Vic) – </w:t>
      </w:r>
      <w:r w:rsidRPr="00C95105">
        <w:rPr>
          <w:rFonts w:asciiTheme="minorHAnsi" w:hAnsiTheme="minorHAnsi" w:cstheme="minorHAnsi"/>
          <w:sz w:val="22"/>
          <w:szCs w:val="22"/>
        </w:rPr>
        <w:t xml:space="preserve">roadmap Sections 1-3). It also contains recommendations for future expanded use of information-based strategies, including incorporating comparative job evaluation (roadmap Section </w:t>
      </w:r>
      <w:r w:rsidR="00091931" w:rsidRPr="00C95105">
        <w:rPr>
          <w:rFonts w:asciiTheme="minorHAnsi" w:hAnsiTheme="minorHAnsi" w:cstheme="minorHAnsi"/>
          <w:sz w:val="22"/>
          <w:szCs w:val="22"/>
        </w:rPr>
        <w:t>5.5</w:t>
      </w:r>
      <w:r w:rsidRPr="00C95105">
        <w:rPr>
          <w:rFonts w:asciiTheme="minorHAnsi" w:hAnsiTheme="minorHAnsi" w:cstheme="minorHAnsi"/>
          <w:sz w:val="22"/>
          <w:szCs w:val="22"/>
        </w:rPr>
        <w:t>).</w:t>
      </w:r>
    </w:p>
    <w:p w14:paraId="7ECD497E" w14:textId="77777777" w:rsidR="00D81779" w:rsidRDefault="00D81779" w:rsidP="00FF16B6">
      <w:pPr>
        <w:spacing w:after="120"/>
        <w:ind w:firstLine="567"/>
        <w:rPr>
          <w:rFonts w:asciiTheme="minorHAnsi" w:hAnsiTheme="minorHAnsi" w:cstheme="minorHAnsi"/>
          <w:sz w:val="22"/>
          <w:szCs w:val="22"/>
        </w:rPr>
      </w:pPr>
    </w:p>
    <w:p w14:paraId="44210F16" w14:textId="77777777" w:rsidR="00D81779" w:rsidRDefault="00D81779" w:rsidP="00FF16B6">
      <w:pPr>
        <w:spacing w:after="120"/>
        <w:ind w:firstLine="567"/>
        <w:rPr>
          <w:rFonts w:asciiTheme="minorHAnsi" w:hAnsiTheme="minorHAnsi" w:cstheme="minorHAnsi"/>
          <w:sz w:val="22"/>
          <w:szCs w:val="22"/>
        </w:rPr>
      </w:pPr>
    </w:p>
    <w:p w14:paraId="29DE2BDF" w14:textId="77777777" w:rsidR="00D81779" w:rsidRDefault="00D81779" w:rsidP="00FF16B6">
      <w:pPr>
        <w:spacing w:after="120"/>
        <w:ind w:firstLine="567"/>
        <w:rPr>
          <w:rFonts w:asciiTheme="minorHAnsi" w:hAnsiTheme="minorHAnsi" w:cstheme="minorHAnsi"/>
          <w:sz w:val="22"/>
          <w:szCs w:val="22"/>
        </w:rPr>
      </w:pPr>
    </w:p>
    <w:p w14:paraId="240BE27E" w14:textId="77777777" w:rsidR="00D81779" w:rsidRDefault="00D81779" w:rsidP="00FF16B6">
      <w:pPr>
        <w:spacing w:after="120"/>
        <w:ind w:firstLine="567"/>
        <w:rPr>
          <w:rFonts w:asciiTheme="minorHAnsi" w:hAnsiTheme="minorHAnsi" w:cstheme="minorHAnsi"/>
          <w:sz w:val="22"/>
          <w:szCs w:val="22"/>
        </w:rPr>
      </w:pPr>
    </w:p>
    <w:p w14:paraId="20843D29" w14:textId="77777777" w:rsidR="000619E5" w:rsidRDefault="000619E5" w:rsidP="00FF16B6">
      <w:pPr>
        <w:spacing w:after="120"/>
        <w:ind w:firstLine="567"/>
        <w:rPr>
          <w:rFonts w:asciiTheme="minorHAnsi" w:hAnsiTheme="minorHAnsi" w:cstheme="minorHAnsi"/>
          <w:sz w:val="22"/>
          <w:szCs w:val="22"/>
        </w:rPr>
      </w:pPr>
    </w:p>
    <w:p w14:paraId="0C42CFDA" w14:textId="77777777" w:rsidR="00D81779" w:rsidRPr="00C95105" w:rsidRDefault="00D81779" w:rsidP="00FF16B6">
      <w:pPr>
        <w:spacing w:after="120"/>
        <w:ind w:firstLine="567"/>
        <w:rPr>
          <w:rFonts w:asciiTheme="minorHAnsi" w:hAnsiTheme="minorHAnsi" w:cstheme="minorHAnsi"/>
          <w:sz w:val="22"/>
          <w:szCs w:val="22"/>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93280F" w:rsidRPr="00C95105" w14:paraId="09676D91" w14:textId="77777777" w:rsidTr="00532791">
        <w:tc>
          <w:tcPr>
            <w:tcW w:w="9351" w:type="dxa"/>
          </w:tcPr>
          <w:p w14:paraId="5863D822" w14:textId="77777777" w:rsidR="0093280F" w:rsidRPr="00C95105" w:rsidRDefault="0093280F" w:rsidP="00756FF3">
            <w:pPr>
              <w:pStyle w:val="ListParagraph"/>
              <w:numPr>
                <w:ilvl w:val="0"/>
                <w:numId w:val="46"/>
              </w:numPr>
              <w:spacing w:after="120"/>
              <w:ind w:left="455" w:hanging="141"/>
              <w:rPr>
                <w:rFonts w:asciiTheme="minorHAnsi" w:hAnsiTheme="minorHAnsi" w:cstheme="minorHAnsi"/>
                <w:b/>
                <w:bCs/>
                <w:i/>
                <w:iCs/>
                <w:sz w:val="22"/>
                <w:szCs w:val="22"/>
              </w:rPr>
            </w:pPr>
            <w:bookmarkStart w:id="520" w:name="_Toc96878392"/>
            <w:r w:rsidRPr="00C95105">
              <w:rPr>
                <w:rFonts w:asciiTheme="minorHAnsi" w:hAnsiTheme="minorHAnsi" w:cstheme="minorHAnsi"/>
                <w:b/>
                <w:bCs/>
                <w:i/>
                <w:iCs/>
                <w:sz w:val="22"/>
                <w:szCs w:val="22"/>
              </w:rPr>
              <w:lastRenderedPageBreak/>
              <w:t>Key objectives</w:t>
            </w:r>
            <w:bookmarkEnd w:id="520"/>
          </w:p>
        </w:tc>
      </w:tr>
      <w:tr w:rsidR="0093280F" w:rsidRPr="00C95105" w14:paraId="235CB76E" w14:textId="77777777" w:rsidTr="00532791">
        <w:tc>
          <w:tcPr>
            <w:tcW w:w="9351" w:type="dxa"/>
          </w:tcPr>
          <w:p w14:paraId="5FE305A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Use pay equity information to increase accountability</w:t>
            </w:r>
          </w:p>
        </w:tc>
      </w:tr>
      <w:tr w:rsidR="0093280F" w:rsidRPr="00C95105" w14:paraId="0A61934F" w14:textId="77777777" w:rsidTr="00532791">
        <w:tc>
          <w:tcPr>
            <w:tcW w:w="9351" w:type="dxa"/>
          </w:tcPr>
          <w:p w14:paraId="36F5AFAF"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Use pay equity information to support awareness about the causes and consequences of inequity</w:t>
            </w:r>
          </w:p>
        </w:tc>
      </w:tr>
      <w:tr w:rsidR="0093280F" w:rsidRPr="00C95105" w14:paraId="774EFDFA" w14:textId="77777777" w:rsidTr="00532791">
        <w:tc>
          <w:tcPr>
            <w:tcW w:w="9351" w:type="dxa"/>
          </w:tcPr>
          <w:p w14:paraId="5C5D0328" w14:textId="77777777" w:rsidR="0093280F" w:rsidRPr="00C95105" w:rsidRDefault="0093280F" w:rsidP="00756FF3">
            <w:pPr>
              <w:pStyle w:val="ListParagraph"/>
              <w:numPr>
                <w:ilvl w:val="0"/>
                <w:numId w:val="46"/>
              </w:numPr>
              <w:spacing w:after="120"/>
              <w:ind w:left="455" w:hanging="141"/>
              <w:rPr>
                <w:rFonts w:asciiTheme="minorHAnsi" w:hAnsiTheme="minorHAnsi" w:cstheme="minorHAnsi"/>
                <w:b/>
                <w:bCs/>
                <w:i/>
                <w:iCs/>
                <w:sz w:val="22"/>
                <w:szCs w:val="22"/>
              </w:rPr>
            </w:pPr>
            <w:bookmarkStart w:id="521" w:name="_Toc96878393"/>
            <w:r w:rsidRPr="00C95105">
              <w:rPr>
                <w:rFonts w:asciiTheme="minorHAnsi" w:hAnsiTheme="minorHAnsi" w:cstheme="minorHAnsi"/>
                <w:b/>
                <w:bCs/>
                <w:i/>
                <w:iCs/>
                <w:sz w:val="22"/>
                <w:szCs w:val="22"/>
              </w:rPr>
              <w:t>Actions to support information use</w:t>
            </w:r>
            <w:bookmarkEnd w:id="521"/>
          </w:p>
        </w:tc>
      </w:tr>
      <w:tr w:rsidR="0093280F" w:rsidRPr="00C95105" w14:paraId="3C0B4A38" w14:textId="77777777" w:rsidTr="00532791">
        <w:tc>
          <w:tcPr>
            <w:tcW w:w="9351" w:type="dxa"/>
          </w:tcPr>
          <w:p w14:paraId="2C7267F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Develop workforce statistical capability</w:t>
            </w:r>
          </w:p>
        </w:tc>
      </w:tr>
      <w:tr w:rsidR="0093280F" w:rsidRPr="00C95105" w14:paraId="483F6B1A" w14:textId="77777777" w:rsidTr="00532791">
        <w:tc>
          <w:tcPr>
            <w:tcW w:w="9351" w:type="dxa"/>
          </w:tcPr>
          <w:p w14:paraId="182B17DE"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Link pay strategies to pay-setting </w:t>
            </w:r>
          </w:p>
        </w:tc>
      </w:tr>
      <w:tr w:rsidR="0093280F" w:rsidRPr="00C95105" w14:paraId="4CCFCE03" w14:textId="77777777" w:rsidTr="00532791">
        <w:tc>
          <w:tcPr>
            <w:tcW w:w="9351" w:type="dxa"/>
          </w:tcPr>
          <w:p w14:paraId="43FC9AEA"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Provide information and education about pay equity to employees</w:t>
            </w:r>
          </w:p>
        </w:tc>
      </w:tr>
      <w:tr w:rsidR="0093280F" w:rsidRPr="00C95105" w14:paraId="538641E7" w14:textId="77777777" w:rsidTr="00532791">
        <w:tc>
          <w:tcPr>
            <w:tcW w:w="9351" w:type="dxa"/>
          </w:tcPr>
          <w:p w14:paraId="5B1F1C1C" w14:textId="77777777" w:rsidR="0093280F" w:rsidRPr="00C95105" w:rsidRDefault="0093280F" w:rsidP="00756FF3">
            <w:pPr>
              <w:pStyle w:val="ListParagraph"/>
              <w:numPr>
                <w:ilvl w:val="0"/>
                <w:numId w:val="46"/>
              </w:numPr>
              <w:spacing w:after="120"/>
              <w:ind w:left="455" w:hanging="141"/>
              <w:rPr>
                <w:rFonts w:asciiTheme="minorHAnsi" w:hAnsiTheme="minorHAnsi" w:cstheme="minorHAnsi"/>
                <w:b/>
                <w:bCs/>
                <w:i/>
                <w:iCs/>
                <w:sz w:val="22"/>
                <w:szCs w:val="22"/>
              </w:rPr>
            </w:pPr>
            <w:bookmarkStart w:id="522" w:name="_Toc96878394"/>
            <w:r w:rsidRPr="00C95105">
              <w:rPr>
                <w:rFonts w:asciiTheme="minorHAnsi" w:hAnsiTheme="minorHAnsi" w:cstheme="minorHAnsi"/>
                <w:b/>
                <w:bCs/>
                <w:i/>
                <w:iCs/>
                <w:sz w:val="22"/>
                <w:szCs w:val="22"/>
              </w:rPr>
              <w:t>Actions to improve information quality</w:t>
            </w:r>
            <w:bookmarkEnd w:id="522"/>
          </w:p>
        </w:tc>
      </w:tr>
      <w:tr w:rsidR="0093280F" w:rsidRPr="00C95105" w14:paraId="371C57CC" w14:textId="77777777" w:rsidTr="00532791">
        <w:tc>
          <w:tcPr>
            <w:tcW w:w="9351" w:type="dxa"/>
          </w:tcPr>
          <w:p w14:paraId="609B0BB0"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Minimise gender bias in calculations of adjusted pay gaps </w:t>
            </w:r>
          </w:p>
        </w:tc>
      </w:tr>
      <w:tr w:rsidR="0093280F" w:rsidRPr="00C95105" w14:paraId="06404ADC" w14:textId="77777777" w:rsidTr="00532791">
        <w:tc>
          <w:tcPr>
            <w:tcW w:w="9351" w:type="dxa"/>
          </w:tcPr>
          <w:p w14:paraId="5561066C"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Maximise the level of detail in information inputs and outputs</w:t>
            </w:r>
          </w:p>
        </w:tc>
      </w:tr>
      <w:tr w:rsidR="0093280F" w:rsidRPr="00C95105" w14:paraId="55B304ED" w14:textId="77777777" w:rsidTr="00532791">
        <w:tc>
          <w:tcPr>
            <w:tcW w:w="9351" w:type="dxa"/>
          </w:tcPr>
          <w:p w14:paraId="6B84836E" w14:textId="77777777" w:rsidR="0093280F" w:rsidRPr="00C95105" w:rsidRDefault="0093280F" w:rsidP="00756FF3">
            <w:pPr>
              <w:pStyle w:val="ListParagraph"/>
              <w:numPr>
                <w:ilvl w:val="0"/>
                <w:numId w:val="46"/>
              </w:numPr>
              <w:spacing w:after="120"/>
              <w:ind w:left="455" w:hanging="141"/>
              <w:rPr>
                <w:rFonts w:asciiTheme="minorHAnsi" w:hAnsiTheme="minorHAnsi" w:cstheme="minorHAnsi"/>
                <w:b/>
                <w:bCs/>
                <w:i/>
                <w:iCs/>
                <w:sz w:val="22"/>
                <w:szCs w:val="22"/>
              </w:rPr>
            </w:pPr>
            <w:bookmarkStart w:id="523" w:name="_Toc96878395"/>
            <w:r w:rsidRPr="00C95105">
              <w:rPr>
                <w:rFonts w:asciiTheme="minorHAnsi" w:hAnsiTheme="minorHAnsi" w:cstheme="minorHAnsi"/>
                <w:b/>
                <w:bCs/>
                <w:i/>
                <w:iCs/>
                <w:sz w:val="22"/>
                <w:szCs w:val="22"/>
              </w:rPr>
              <w:t>Integration with other information systems and organisational processes</w:t>
            </w:r>
            <w:bookmarkEnd w:id="523"/>
          </w:p>
        </w:tc>
      </w:tr>
      <w:tr w:rsidR="0093280F" w:rsidRPr="00C95105" w14:paraId="1AAAE37F" w14:textId="77777777" w:rsidTr="00532791">
        <w:tc>
          <w:tcPr>
            <w:tcW w:w="9351" w:type="dxa"/>
          </w:tcPr>
          <w:p w14:paraId="4FD0DC93"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Integrate pay-related information systems with pay-setting architecture </w:t>
            </w:r>
          </w:p>
        </w:tc>
      </w:tr>
      <w:tr w:rsidR="0093280F" w:rsidRPr="00C95105" w14:paraId="26695215" w14:textId="77777777" w:rsidTr="00532791">
        <w:tc>
          <w:tcPr>
            <w:tcW w:w="9351" w:type="dxa"/>
          </w:tcPr>
          <w:p w14:paraId="28E64ECA"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Embed pay-related information into human resource information systems</w:t>
            </w:r>
          </w:p>
        </w:tc>
      </w:tr>
    </w:tbl>
    <w:p w14:paraId="317EBA09" w14:textId="77777777" w:rsidR="0093280F" w:rsidRPr="00C95105" w:rsidRDefault="0093280F" w:rsidP="0093280F">
      <w:pPr>
        <w:spacing w:after="120"/>
        <w:jc w:val="center"/>
        <w:rPr>
          <w:rFonts w:asciiTheme="minorHAnsi" w:hAnsiTheme="minorHAnsi" w:cstheme="minorHAnsi"/>
          <w:sz w:val="22"/>
          <w:szCs w:val="22"/>
        </w:rPr>
      </w:pPr>
    </w:p>
    <w:p w14:paraId="65B3ACE8" w14:textId="77777777" w:rsidR="0093280F" w:rsidRPr="00C95105" w:rsidRDefault="0093280F" w:rsidP="00756FF3">
      <w:pPr>
        <w:pStyle w:val="Heading2"/>
        <w:numPr>
          <w:ilvl w:val="1"/>
          <w:numId w:val="26"/>
        </w:numPr>
        <w:spacing w:before="0" w:after="120"/>
        <w:ind w:left="426" w:hanging="426"/>
        <w:rPr>
          <w:rFonts w:asciiTheme="minorHAnsi" w:hAnsiTheme="minorHAnsi" w:cstheme="minorHAnsi"/>
          <w:b/>
          <w:bCs/>
        </w:rPr>
      </w:pPr>
      <w:bookmarkStart w:id="524" w:name="_Toc96957726"/>
      <w:r w:rsidRPr="00C95105">
        <w:rPr>
          <w:rFonts w:asciiTheme="minorHAnsi" w:hAnsiTheme="minorHAnsi" w:cstheme="minorHAnsi"/>
          <w:b/>
          <w:bCs/>
        </w:rPr>
        <w:t>Introduction</w:t>
      </w:r>
      <w:bookmarkEnd w:id="524"/>
    </w:p>
    <w:p w14:paraId="5254D5DF" w14:textId="7278EC7F" w:rsidR="00DA42D1" w:rsidRPr="00C95105" w:rsidRDefault="296618A9" w:rsidP="0029362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Gender pay </w:t>
      </w:r>
      <w:r w:rsidR="00C719EC" w:rsidRPr="00C95105">
        <w:rPr>
          <w:rFonts w:asciiTheme="minorHAnsi" w:hAnsiTheme="minorHAnsi" w:cstheme="minorHAnsi"/>
          <w:sz w:val="22"/>
          <w:szCs w:val="22"/>
        </w:rPr>
        <w:t>in</w:t>
      </w:r>
      <w:r w:rsidRPr="00C95105">
        <w:rPr>
          <w:rFonts w:asciiTheme="minorHAnsi" w:hAnsiTheme="minorHAnsi" w:cstheme="minorHAnsi"/>
          <w:sz w:val="22"/>
          <w:szCs w:val="22"/>
        </w:rPr>
        <w:t xml:space="preserve">equity, in which women and men performing work of equal or comparable value are paid </w:t>
      </w:r>
      <w:r w:rsidR="00C719EC" w:rsidRPr="00C95105">
        <w:rPr>
          <w:rFonts w:asciiTheme="minorHAnsi" w:hAnsiTheme="minorHAnsi" w:cstheme="minorHAnsi"/>
          <w:sz w:val="22"/>
          <w:szCs w:val="22"/>
        </w:rPr>
        <w:t>un</w:t>
      </w:r>
      <w:r w:rsidRPr="00C95105">
        <w:rPr>
          <w:rFonts w:asciiTheme="minorHAnsi" w:hAnsiTheme="minorHAnsi" w:cstheme="minorHAnsi"/>
          <w:sz w:val="22"/>
          <w:szCs w:val="22"/>
        </w:rPr>
        <w:t xml:space="preserve">equally, is an important but often under-recognised contributor to gender pay gaps. Pay gaps, which measure the difference between men’s and women’s total average earnings, result from a wide range of factors including occupation, hierarchical position, career disruptions, and unpaid care responsibilities, as well as pay inequity (KPMG, 2019). </w:t>
      </w:r>
    </w:p>
    <w:p w14:paraId="50E15D09" w14:textId="10882735" w:rsidR="00293623" w:rsidRPr="00C95105" w:rsidRDefault="0093280F" w:rsidP="00293623">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the 1970s and 1980s, pay equity was central to debates about gender pay disparity (Rubery, 2019). However, contemporary debate tends to focus more on facilitating women’s access to senior and leadership roles to reduce the gender pay gap. Neither of these issues is more important than the other, and both require attention, as closing the gender pay gap cannot be achieved without attention to all its causes. There are risks of over-emphasising one specific factor, particularly women’s leadership, as greater representation of women in senior positions reduces concern about a persisting gender pay gap (Georgeac &amp; Rattan, 2019).</w:t>
      </w:r>
    </w:p>
    <w:p w14:paraId="3B490774" w14:textId="77777777" w:rsidR="00DA42D1" w:rsidRPr="00C95105" w:rsidRDefault="0093280F"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Two reasons why attention to pay equity has subsided are, firstly, that it is often incorrectly assumed that unequal pay is no longer a major problem. The gradual narrowing in interpretations of equal pay, which is often now taken to mean equal pay for identical work (Charlesworth &amp; Smith, 2018), contributes to this misinterpretation. There are indeed fewer examples of overt gender pay discrimination now than there have been historically. However, gender discrimination in pay persists, and is estimated to account for up to 40% of pay gaps (KPMG, 2019). </w:t>
      </w:r>
    </w:p>
    <w:p w14:paraId="11A255F9" w14:textId="77777777" w:rsidR="00DA42D1" w:rsidRPr="00C95105" w:rsidRDefault="0093280F"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A second reason why attention to pay equity has declined is that attempts to establish the comparable worth of similar jobs, via methods such as job evaluation, often proved extremely difficult and faced widespread resistance including protracted legal conflicts (Acker, 1991; Whitehouse et al., 2001). As a result, there has been limited recent progress on remedying the under-valuation of female-dominated work.</w:t>
      </w:r>
    </w:p>
    <w:p w14:paraId="36791289" w14:textId="77777777" w:rsidR="00DA42D1" w:rsidRPr="00C95105" w:rsidRDefault="0093280F"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Despite these obstacles, pay equity remains an important component of strategies to reduce the gender pay gap, and there are a range of tools available to employers to support this endeavour.   Employers play a key role in both creating and reducing gender pay gaps, both directly by valuing of men’s and women’s work via remuneration, and indirectly by shaping men’s and women’s careers </w:t>
      </w:r>
      <w:r w:rsidRPr="00C95105">
        <w:rPr>
          <w:rFonts w:asciiTheme="minorHAnsi" w:hAnsiTheme="minorHAnsi" w:cstheme="minorHAnsi"/>
          <w:sz w:val="22"/>
          <w:szCs w:val="22"/>
        </w:rPr>
        <w:lastRenderedPageBreak/>
        <w:t xml:space="preserve">via career hierarchies, and the provision, or not, of career development and employment supports such as flexible working and parental leave. </w:t>
      </w:r>
    </w:p>
    <w:p w14:paraId="327098F8" w14:textId="2B8C2898" w:rsidR="00DA42D1" w:rsidRPr="00C95105" w:rsidRDefault="296618A9" w:rsidP="00DA42D1">
      <w:pPr>
        <w:spacing w:after="120"/>
        <w:ind w:firstLine="567"/>
        <w:rPr>
          <w:rFonts w:asciiTheme="minorHAnsi" w:hAnsiTheme="minorHAnsi" w:cstheme="minorBidi"/>
          <w:sz w:val="22"/>
          <w:szCs w:val="22"/>
        </w:rPr>
      </w:pPr>
      <w:r w:rsidRPr="00C95105">
        <w:rPr>
          <w:rFonts w:asciiTheme="minorHAnsi" w:hAnsiTheme="minorHAnsi" w:cstheme="minorBidi"/>
          <w:sz w:val="22"/>
          <w:szCs w:val="22"/>
        </w:rPr>
        <w:t xml:space="preserve">Employer actions to address pay equity impact their gender pay gap directly, as they involve adjustments to pay or pay practices. Examples </w:t>
      </w:r>
      <w:r w:rsidR="00833814" w:rsidRPr="00C95105">
        <w:rPr>
          <w:rFonts w:asciiTheme="minorHAnsi" w:hAnsiTheme="minorHAnsi" w:cstheme="minorBidi"/>
          <w:sz w:val="22"/>
          <w:szCs w:val="22"/>
        </w:rPr>
        <w:t>include</w:t>
      </w:r>
      <w:r w:rsidRPr="00C95105">
        <w:rPr>
          <w:rFonts w:asciiTheme="minorHAnsi" w:hAnsiTheme="minorHAnsi" w:cstheme="minorBidi"/>
          <w:sz w:val="22"/>
          <w:szCs w:val="22"/>
        </w:rPr>
        <w:t xml:space="preserve"> adjustments to individual wages to correct unequal pay; changes to pay bands to remedy the undervaluation of female-dominated roles; and changes to supplementary pay (e.g., allowances, loadings) to rectify gender-based inequalities in access. </w:t>
      </w:r>
    </w:p>
    <w:p w14:paraId="130ABA7C" w14:textId="75FA5A9B" w:rsidR="00DA42D1" w:rsidRPr="00C95105" w:rsidRDefault="296618A9" w:rsidP="00DA42D1">
      <w:pPr>
        <w:spacing w:after="120"/>
        <w:ind w:firstLine="567"/>
        <w:rPr>
          <w:rFonts w:asciiTheme="minorHAnsi" w:hAnsiTheme="minorHAnsi" w:cstheme="minorBidi"/>
          <w:sz w:val="22"/>
          <w:szCs w:val="22"/>
        </w:rPr>
      </w:pPr>
      <w:r w:rsidRPr="00C95105">
        <w:rPr>
          <w:rFonts w:asciiTheme="minorHAnsi" w:hAnsiTheme="minorHAnsi" w:cstheme="minorBidi"/>
          <w:sz w:val="22"/>
          <w:szCs w:val="22"/>
        </w:rPr>
        <w:t>Employer actions that may indirectly impact pay disparities and subsequently reduce the gender pay gap over the medium to long term involve changing practices that facilitate women’s ongoing participation in employment. This includes practices such as facilitating flexible working, parental leave, increasing women’s representation in better renumerated positions, and occupations through career development, and reducing gender bias in performance and promotion processes.</w:t>
      </w:r>
    </w:p>
    <w:p w14:paraId="3DBE45EE" w14:textId="3263C2BC" w:rsidR="00DA42D1" w:rsidRPr="00C95105" w:rsidRDefault="296618A9"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an attempt to stimulate employer action on gender pay disparity, and to support employer accountability for gender equality, most developed countries have enacted pay-related information disclosure legislation. The information generated from these disclosures has shed light on the endurance of pay inequality in organisations. However, as a means to stimulate employer action on reducing gender pay gaps it has had limited effect (Cowper-Coles et.al., 2021). </w:t>
      </w:r>
    </w:p>
    <w:p w14:paraId="16306F31" w14:textId="5BAED7D4" w:rsidR="00DA42D1" w:rsidRPr="00C95105" w:rsidRDefault="296618A9"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Australia, the gender pay gap amongst full-time workers has declined modestly over the past 40 years, but there has been limited change in the gap amongst part-time workers (Glennie et al., 2021). There has been some acceleration in pay gap reductions over the past 10 years, but progress has been patchy, with substantial </w:t>
      </w:r>
      <w:r w:rsidR="000D6C8E" w:rsidRPr="00C95105">
        <w:rPr>
          <w:rFonts w:asciiTheme="minorHAnsi" w:hAnsiTheme="minorHAnsi" w:cstheme="minorHAnsi"/>
          <w:sz w:val="22"/>
          <w:szCs w:val="22"/>
        </w:rPr>
        <w:t>de</w:t>
      </w:r>
      <w:r w:rsidRPr="00C95105">
        <w:rPr>
          <w:rFonts w:asciiTheme="minorHAnsi" w:hAnsiTheme="minorHAnsi" w:cstheme="minorHAnsi"/>
          <w:sz w:val="22"/>
          <w:szCs w:val="22"/>
        </w:rPr>
        <w:t xml:space="preserve">creases in some industries and stagnations or even increases in others (WGEA, 2022). </w:t>
      </w:r>
    </w:p>
    <w:p w14:paraId="3101630E" w14:textId="2540A361" w:rsidR="00DA42D1" w:rsidRPr="00C95105" w:rsidRDefault="296618A9" w:rsidP="00DA42D1">
      <w:pPr>
        <w:spacing w:after="120"/>
        <w:ind w:firstLine="567"/>
        <w:rPr>
          <w:rFonts w:asciiTheme="minorHAnsi" w:hAnsiTheme="minorHAnsi" w:cstheme="minorBidi"/>
          <w:sz w:val="22"/>
          <w:szCs w:val="22"/>
        </w:rPr>
      </w:pPr>
      <w:r w:rsidRPr="00C95105">
        <w:rPr>
          <w:rFonts w:asciiTheme="minorHAnsi" w:hAnsiTheme="minorHAnsi" w:cstheme="minorBidi"/>
          <w:sz w:val="22"/>
          <w:szCs w:val="22"/>
        </w:rPr>
        <w:t>There are a multitude of reasons behind the lack of progress on reducing pay gaps. Perhaps most problematic is the emergence of new sources of pay inequity, even as old ones are remedied (Rubery, 2019). Although it is easy to bemoan the lack of impact stemming from information disclosure legislation, the changing nature of pay inequity reinforces the importance of information, analysis, and monitoring to maintain currency in knowledge of pay inequity and adjust interventions accordingly.</w:t>
      </w:r>
    </w:p>
    <w:p w14:paraId="722EB6AD" w14:textId="3420B02D" w:rsidR="00DA42D1" w:rsidRPr="00C95105" w:rsidRDefault="296618A9"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information-based strategies underpinning disclosure legislation are expected to support the diagnosis of pay inequality and its sources, including pay inequity, and subsequently inform corrective actions in pay and pay practices. Two inter-related problems impede the impact of such strategies: one being that the information generated is not high quality; and that other being that the information is not used to change practices. In Australia, information quality was a particular issue in early iterations of national workplace gender equality legislation, which required descriptive, primarily qualitative information disclosure about the overall state of workplace gender equality including pay. However, reviews of report content found that the information generated was superficial and overly general (Ainsworth et al., 2010). </w:t>
      </w:r>
    </w:p>
    <w:p w14:paraId="2B2B41DA" w14:textId="77777777" w:rsidR="00DA42D1" w:rsidRPr="00C95105" w:rsidRDefault="0093280F"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response to the apparent ineffectiveness of qualitative, descriptive information disclosure regimes, many jurisdictions have moved towards quantitative information disclosures, based on accounting methods that seek to generate both financial and non-financial measures of gender equality. Pay audits and pay transparency are both examples of such accounting methods that form the basis of much contemporary disclosure legislation. Nominating specific formats for pay-related disclosure is beneficial for information quality. </w:t>
      </w:r>
    </w:p>
    <w:p w14:paraId="47A41CBF" w14:textId="53880765" w:rsidR="00DA42D1" w:rsidRPr="00C95105" w:rsidRDefault="296618A9"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However, caution is needed as, despite common perceptions of accounting techniques as impartial and objective, processes of quantification are inherently subjective and often political (Burchell et al., 1980). Decisions made about what and how to measure can introduce bias into </w:t>
      </w:r>
      <w:r w:rsidRPr="00C95105">
        <w:rPr>
          <w:rFonts w:asciiTheme="minorHAnsi" w:hAnsiTheme="minorHAnsi" w:cstheme="minorHAnsi"/>
          <w:sz w:val="22"/>
          <w:szCs w:val="22"/>
        </w:rPr>
        <w:lastRenderedPageBreak/>
        <w:t xml:space="preserve">results (Trotman et.al., 2011), and underpinning methods of calculation are not often disclosed (Steccolini, 2018). </w:t>
      </w:r>
    </w:p>
    <w:p w14:paraId="415F2882" w14:textId="58C5E851" w:rsidR="00DA42D1" w:rsidRPr="00C95105" w:rsidRDefault="296618A9" w:rsidP="00DA42D1">
      <w:pPr>
        <w:spacing w:after="120"/>
        <w:ind w:firstLine="567"/>
        <w:rPr>
          <w:rFonts w:asciiTheme="minorHAnsi" w:hAnsiTheme="minorHAnsi" w:cstheme="minorBidi"/>
          <w:sz w:val="22"/>
          <w:szCs w:val="22"/>
        </w:rPr>
      </w:pPr>
      <w:r w:rsidRPr="00C95105">
        <w:rPr>
          <w:rFonts w:asciiTheme="minorHAnsi" w:hAnsiTheme="minorHAnsi" w:cstheme="minorBidi"/>
          <w:sz w:val="22"/>
          <w:szCs w:val="22"/>
        </w:rPr>
        <w:t xml:space="preserve">Furthermore, increasing information quality does not automatically solve information use problems, including accountability. Pay audits are particularly at risk of under-use as, unlike the previously favoured job evaluation, audits are not directly linked to pay-related decision-making. The gap between generating audit information and using that information is evidenced in </w:t>
      </w:r>
      <w:r w:rsidRPr="00C95105">
        <w:rPr>
          <w:rFonts w:asciiTheme="minorHAnsi" w:hAnsiTheme="minorHAnsi" w:cstheme="minorBidi"/>
          <w:i/>
          <w:sz w:val="22"/>
          <w:szCs w:val="22"/>
        </w:rPr>
        <w:t xml:space="preserve">Workplace Gender Equality Act 2012 </w:t>
      </w:r>
      <w:r w:rsidRPr="00C95105">
        <w:rPr>
          <w:rFonts w:asciiTheme="minorHAnsi" w:hAnsiTheme="minorHAnsi" w:cstheme="minorBidi"/>
          <w:sz w:val="22"/>
          <w:szCs w:val="22"/>
        </w:rPr>
        <w:t xml:space="preserve">reports, in which only 54 per cent of organisations that conduct a pay audit use the information to close identified pay gaps (WGEA, 2021). </w:t>
      </w:r>
    </w:p>
    <w:p w14:paraId="71E81B36" w14:textId="3D4BB2D7" w:rsidR="00DA42D1" w:rsidRPr="00C95105" w:rsidRDefault="296618A9"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Numerous jurisdictions, including France, Spain, and the Australian state of Victoria, have recently introduced strengthened legislation to increase employer accountability; these mandate not only the disclosure of pay-related information, but also the use of that information to reduce gender pay gaps. Other jurisdictions, such as Sweden and the Canadian province of Ontario, link pay audits to comparative job evaluation to create a direct link to pay-related decision-making, and address pay equity explicitly. </w:t>
      </w:r>
    </w:p>
    <w:p w14:paraId="7D1A92B0" w14:textId="77777777" w:rsidR="00DA42D1" w:rsidRPr="00C95105" w:rsidRDefault="0093280F"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To better understand the effectiveness of information strategies for pay equity, this review sought evidence on the implementation of the three pay equity information strategies most commonly nominated in gender equality legislation: pay audit, job evaluation and pay transparency.</w:t>
      </w:r>
    </w:p>
    <w:p w14:paraId="1ACFDFF9" w14:textId="77777777" w:rsidR="00DA42D1" w:rsidRPr="00C95105" w:rsidRDefault="0093280F" w:rsidP="00DA42D1">
      <w:pPr>
        <w:spacing w:after="120"/>
        <w:ind w:firstLine="567"/>
        <w:rPr>
          <w:rFonts w:asciiTheme="minorHAnsi" w:hAnsiTheme="minorHAnsi" w:cstheme="minorHAnsi"/>
          <w:sz w:val="22"/>
          <w:szCs w:val="22"/>
        </w:rPr>
      </w:pPr>
      <w:r w:rsidRPr="00C95105">
        <w:rPr>
          <w:rFonts w:asciiTheme="minorHAnsi" w:hAnsiTheme="minorHAnsi" w:cstheme="minorHAnsi"/>
          <w:i/>
          <w:iCs/>
          <w:sz w:val="22"/>
          <w:szCs w:val="22"/>
        </w:rPr>
        <w:t>Pay audits</w:t>
      </w:r>
      <w:r w:rsidRPr="00C95105">
        <w:rPr>
          <w:rFonts w:asciiTheme="minorHAnsi" w:hAnsiTheme="minorHAnsi" w:cstheme="minorHAnsi"/>
          <w:sz w:val="22"/>
          <w:szCs w:val="22"/>
        </w:rPr>
        <w:t xml:space="preserve"> analyse individual pay to identify pay gaps between men and women, and their sources, including pay inequity. </w:t>
      </w:r>
      <w:r w:rsidRPr="00C95105">
        <w:rPr>
          <w:rFonts w:asciiTheme="minorHAnsi" w:hAnsiTheme="minorHAnsi" w:cstheme="minorHAnsi"/>
          <w:i/>
          <w:iCs/>
          <w:sz w:val="22"/>
          <w:szCs w:val="22"/>
        </w:rPr>
        <w:t>Job evaluation</w:t>
      </w:r>
      <w:r w:rsidRPr="00C95105">
        <w:rPr>
          <w:rFonts w:asciiTheme="minorHAnsi" w:hAnsiTheme="minorHAnsi" w:cstheme="minorHAnsi"/>
          <w:sz w:val="22"/>
          <w:szCs w:val="22"/>
        </w:rPr>
        <w:t xml:space="preserve"> analyses features of jobs or job categories to determine pay rates. </w:t>
      </w:r>
      <w:r w:rsidRPr="00C95105">
        <w:rPr>
          <w:rFonts w:asciiTheme="minorHAnsi" w:hAnsiTheme="minorHAnsi" w:cstheme="minorHAnsi"/>
          <w:i/>
          <w:iCs/>
          <w:sz w:val="22"/>
          <w:szCs w:val="22"/>
        </w:rPr>
        <w:t>Pay transparency</w:t>
      </w:r>
      <w:r w:rsidRPr="00C95105">
        <w:rPr>
          <w:rFonts w:asciiTheme="minorHAnsi" w:hAnsiTheme="minorHAnsi" w:cstheme="minorHAnsi"/>
          <w:sz w:val="22"/>
          <w:szCs w:val="22"/>
        </w:rPr>
        <w:t xml:space="preserve"> involves sharing information (publicly or within an organisation) about individual pay, aggregate pay gaps or organisational pay practices. Given their complementary objectives, the three strategies can be used in unison; for example, a pay audit may be used to identify disparities between male and female dominated occupations, which are then analysed via job evaluation, or the pay gap calculated in a pay audit may be publicised to support pay transparency. </w:t>
      </w:r>
    </w:p>
    <w:p w14:paraId="5F174E6D" w14:textId="12275927" w:rsidR="00DA42D1" w:rsidRPr="00C95105" w:rsidRDefault="0093280F"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Under the </w:t>
      </w:r>
      <w:r w:rsidR="00F45F63" w:rsidRPr="00C95105">
        <w:rPr>
          <w:rFonts w:asciiTheme="minorHAnsi" w:hAnsiTheme="minorHAnsi" w:cstheme="minorHAnsi"/>
          <w:sz w:val="22"/>
          <w:szCs w:val="22"/>
        </w:rPr>
        <w:t>Gender Equality Act 2020 (Vic)</w:t>
      </w:r>
      <w:r w:rsidRPr="00C95105">
        <w:rPr>
          <w:rFonts w:asciiTheme="minorHAnsi" w:hAnsiTheme="minorHAnsi" w:cstheme="minorHAnsi"/>
          <w:sz w:val="22"/>
          <w:szCs w:val="22"/>
        </w:rPr>
        <w:t xml:space="preserve">, reporting entities are required to conduct a pay audit, develop a gender equality action plan on the basis of that audit, and publish their gender pay gap. The Victorian Public Service (VPS) uses job evaluation to establish rates of pay and has a process for job </w:t>
      </w:r>
      <w:r w:rsidR="00833814" w:rsidRPr="00C95105">
        <w:rPr>
          <w:rFonts w:asciiTheme="minorHAnsi" w:hAnsiTheme="minorHAnsi" w:cstheme="minorHAnsi"/>
          <w:sz w:val="22"/>
          <w:szCs w:val="22"/>
        </w:rPr>
        <w:t>re-evaluation but</w:t>
      </w:r>
      <w:r w:rsidRPr="00C95105">
        <w:rPr>
          <w:rFonts w:asciiTheme="minorHAnsi" w:hAnsiTheme="minorHAnsi" w:cstheme="minorHAnsi"/>
          <w:sz w:val="22"/>
          <w:szCs w:val="22"/>
        </w:rPr>
        <w:t xml:space="preserve"> does not use comparative job evaluation for the purpose of pay equity.</w:t>
      </w:r>
    </w:p>
    <w:p w14:paraId="7436FACA" w14:textId="46CDC54F" w:rsidR="0093280F" w:rsidRPr="00C95105" w:rsidRDefault="0093280F" w:rsidP="00DA42D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The objective of this review was to survey contemporary research on the implementation of organisation level information strategies for pay equity to assess their effectiveness in different contexts and to identify factors that hinder or support their use to reduce organisation level gender pay gaps. To achieve this objective, the review addresses the following research questions:</w:t>
      </w:r>
    </w:p>
    <w:p w14:paraId="7C40084C" w14:textId="66E05478" w:rsidR="0093280F" w:rsidRPr="00C95105" w:rsidRDefault="0093280F" w:rsidP="00756FF3">
      <w:pPr>
        <w:pStyle w:val="ListParagraph"/>
        <w:numPr>
          <w:ilvl w:val="0"/>
          <w:numId w:val="27"/>
        </w:numPr>
        <w:spacing w:after="120"/>
        <w:ind w:left="709" w:hanging="142"/>
        <w:rPr>
          <w:rFonts w:asciiTheme="minorHAnsi" w:hAnsiTheme="minorHAnsi" w:cstheme="minorBidi"/>
          <w:sz w:val="22"/>
          <w:szCs w:val="22"/>
        </w:rPr>
      </w:pPr>
      <w:bookmarkStart w:id="525" w:name="_Toc96878396"/>
      <w:r w:rsidRPr="00C95105">
        <w:rPr>
          <w:rFonts w:asciiTheme="minorHAnsi" w:hAnsiTheme="minorHAnsi" w:cstheme="minorBidi"/>
          <w:sz w:val="22"/>
          <w:szCs w:val="22"/>
        </w:rPr>
        <w:t>What impact have pay audit, pay transparency, and job evaluation had on the gender pay gap in different settings?</w:t>
      </w:r>
      <w:bookmarkEnd w:id="525"/>
    </w:p>
    <w:p w14:paraId="3F8B419F" w14:textId="7630B82A" w:rsidR="0093280F" w:rsidRPr="00C95105" w:rsidRDefault="0093280F" w:rsidP="00756FF3">
      <w:pPr>
        <w:pStyle w:val="ListParagraph"/>
        <w:numPr>
          <w:ilvl w:val="0"/>
          <w:numId w:val="27"/>
        </w:numPr>
        <w:spacing w:after="120"/>
        <w:ind w:left="709" w:hanging="142"/>
        <w:rPr>
          <w:rFonts w:asciiTheme="minorHAnsi" w:hAnsiTheme="minorHAnsi" w:cstheme="minorBidi"/>
          <w:sz w:val="22"/>
          <w:szCs w:val="22"/>
        </w:rPr>
      </w:pPr>
      <w:bookmarkStart w:id="526" w:name="_Toc96878397"/>
      <w:r w:rsidRPr="00C95105">
        <w:rPr>
          <w:rFonts w:asciiTheme="minorHAnsi" w:hAnsiTheme="minorHAnsi" w:cstheme="minorBidi"/>
          <w:sz w:val="22"/>
          <w:szCs w:val="22"/>
        </w:rPr>
        <w:t>What are the barriers to, and enablers of, pay audit, pay transparency, and job evaluation effectiveness?</w:t>
      </w:r>
      <w:bookmarkEnd w:id="526"/>
    </w:p>
    <w:p w14:paraId="5C614DE5" w14:textId="77777777" w:rsidR="0093280F" w:rsidRPr="00C95105" w:rsidRDefault="0093280F" w:rsidP="0093280F">
      <w:pPr>
        <w:spacing w:after="120"/>
        <w:rPr>
          <w:rFonts w:asciiTheme="minorHAnsi" w:hAnsiTheme="minorHAnsi" w:cstheme="minorHAnsi"/>
          <w:sz w:val="22"/>
          <w:szCs w:val="22"/>
        </w:rPr>
      </w:pPr>
    </w:p>
    <w:p w14:paraId="1BF641EE" w14:textId="77777777" w:rsidR="0093280F" w:rsidRPr="00C95105" w:rsidRDefault="0093280F" w:rsidP="00756FF3">
      <w:pPr>
        <w:pStyle w:val="Heading2"/>
        <w:numPr>
          <w:ilvl w:val="1"/>
          <w:numId w:val="26"/>
        </w:numPr>
        <w:spacing w:before="0" w:after="120"/>
        <w:ind w:left="426" w:hanging="426"/>
        <w:rPr>
          <w:rFonts w:asciiTheme="minorHAnsi" w:hAnsiTheme="minorHAnsi" w:cstheme="minorHAnsi"/>
          <w:b/>
          <w:bCs/>
        </w:rPr>
      </w:pPr>
      <w:bookmarkStart w:id="527" w:name="_Toc96957727"/>
      <w:r w:rsidRPr="00C95105">
        <w:rPr>
          <w:rFonts w:asciiTheme="minorHAnsi" w:hAnsiTheme="minorHAnsi" w:cstheme="minorHAnsi"/>
          <w:b/>
          <w:bCs/>
        </w:rPr>
        <w:t>Methods</w:t>
      </w:r>
      <w:bookmarkEnd w:id="527"/>
    </w:p>
    <w:p w14:paraId="514C04FA" w14:textId="77777777" w:rsidR="0093280F" w:rsidRPr="00C95105" w:rsidRDefault="0093280F" w:rsidP="007D2038">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We conducted a scoping review of contemporary evidence on the implementation of pay equity strategies within organisations. In line with methodological guidance for this review type, the review sought to generate a broad overview of the literature in the field (Arksey &amp; O’Malley, 2005), in the hope of yielding the most possible insights into best practice. Although scoping reviews quantify the nature and extent of literature, they are primarily a qualitative analysis – reflected here in the data extraction process. We adopted a realist approach (Pawson et al., 2005) to data synthesis, which seeks not to provide not a linear measurement of effectiveness, but analysis of when and why initiatives work or don’t work in different contexts. </w:t>
      </w:r>
    </w:p>
    <w:p w14:paraId="64AB30A9" w14:textId="2991C0FB" w:rsidR="0093280F" w:rsidRPr="00C95105" w:rsidRDefault="0093280F" w:rsidP="00756FF3">
      <w:pPr>
        <w:pStyle w:val="Heading3"/>
        <w:numPr>
          <w:ilvl w:val="2"/>
          <w:numId w:val="26"/>
        </w:numPr>
        <w:spacing w:before="0" w:after="120"/>
        <w:ind w:left="567" w:hanging="567"/>
        <w:rPr>
          <w:rFonts w:asciiTheme="minorHAnsi" w:hAnsiTheme="minorHAnsi" w:cstheme="minorHAnsi"/>
          <w:b/>
          <w:bCs/>
          <w:i/>
          <w:iCs/>
          <w:color w:val="2F5496" w:themeColor="accent1" w:themeShade="BF"/>
          <w:sz w:val="22"/>
          <w:szCs w:val="22"/>
        </w:rPr>
      </w:pPr>
      <w:bookmarkStart w:id="528" w:name="_Toc96957728"/>
      <w:r w:rsidRPr="00C95105">
        <w:rPr>
          <w:rFonts w:asciiTheme="minorHAnsi" w:hAnsiTheme="minorHAnsi" w:cstheme="minorHAnsi"/>
          <w:b/>
          <w:bCs/>
          <w:i/>
          <w:iCs/>
          <w:color w:val="2F5496" w:themeColor="accent1" w:themeShade="BF"/>
          <w:sz w:val="22"/>
          <w:szCs w:val="22"/>
        </w:rPr>
        <w:lastRenderedPageBreak/>
        <w:t>Literature search</w:t>
      </w:r>
      <w:bookmarkEnd w:id="528"/>
    </w:p>
    <w:p w14:paraId="16769D89" w14:textId="0B946E09" w:rsidR="0093280F" w:rsidRPr="00C95105" w:rsidRDefault="0093280F" w:rsidP="00DC013A">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Three separate searches were conducted using search strings relevant to each of the pay equity strategies, in concert with a search string relevant to gender. Each search used one of the strategy </w:t>
      </w:r>
      <w:r w:rsidR="0037692F" w:rsidRPr="00C95105">
        <w:rPr>
          <w:rFonts w:asciiTheme="minorHAnsi" w:hAnsiTheme="minorHAnsi" w:cstheme="minorHAnsi"/>
          <w:sz w:val="22"/>
          <w:szCs w:val="22"/>
        </w:rPr>
        <w:t>strings</w:t>
      </w:r>
      <w:r w:rsidRPr="00C95105">
        <w:rPr>
          <w:rFonts w:asciiTheme="minorHAnsi" w:hAnsiTheme="minorHAnsi" w:cstheme="minorHAnsi"/>
          <w:sz w:val="22"/>
          <w:szCs w:val="22"/>
        </w:rPr>
        <w:t xml:space="preserve"> with the gender string. The following search combinations were conducted: 1 AND 4, 2 AND 4, 3 AND 4.</w:t>
      </w:r>
    </w:p>
    <w:p w14:paraId="5F8657F3" w14:textId="77777777" w:rsidR="0093280F" w:rsidRPr="00C95105" w:rsidRDefault="0093280F" w:rsidP="0093280F">
      <w:pPr>
        <w:spacing w:after="120"/>
        <w:jc w:val="both"/>
        <w:rPr>
          <w:rFonts w:asciiTheme="minorHAnsi" w:hAnsiTheme="minorHAnsi" w:cstheme="minorHAnsi"/>
          <w:sz w:val="22"/>
          <w:szCs w:val="22"/>
        </w:rPr>
      </w:pPr>
      <w:r w:rsidRPr="00C95105">
        <w:rPr>
          <w:rFonts w:asciiTheme="minorHAnsi" w:hAnsiTheme="minorHAnsi" w:cstheme="minorHAnsi"/>
          <w:sz w:val="22"/>
          <w:szCs w:val="22"/>
        </w:rPr>
        <w:t xml:space="preserve">Pay equity string: </w:t>
      </w:r>
    </w:p>
    <w:p w14:paraId="66FA6E95" w14:textId="23B65838" w:rsidR="0093280F" w:rsidRPr="00C95105" w:rsidRDefault="0093280F" w:rsidP="00756FF3">
      <w:pPr>
        <w:pStyle w:val="ListParagraph"/>
        <w:numPr>
          <w:ilvl w:val="0"/>
          <w:numId w:val="28"/>
        </w:numPr>
        <w:spacing w:after="120"/>
        <w:jc w:val="both"/>
        <w:rPr>
          <w:rFonts w:asciiTheme="minorHAnsi" w:hAnsiTheme="minorHAnsi" w:cstheme="minorHAnsi"/>
          <w:i/>
          <w:iCs/>
          <w:sz w:val="22"/>
          <w:szCs w:val="22"/>
        </w:rPr>
      </w:pPr>
      <w:bookmarkStart w:id="529" w:name="_Toc96878398"/>
      <w:r w:rsidRPr="00C95105">
        <w:rPr>
          <w:rFonts w:asciiTheme="minorHAnsi" w:hAnsiTheme="minorHAnsi" w:cstheme="minorHAnsi"/>
          <w:i/>
          <w:iCs/>
          <w:sz w:val="22"/>
          <w:szCs w:val="22"/>
        </w:rPr>
        <w:t>“pay audit” OR "pay gap analysis" OR "pay gap audit" OR "pay equity audit" OR "pay</w:t>
      </w:r>
      <w:r w:rsidR="00DC013A" w:rsidRPr="00C95105">
        <w:rPr>
          <w:rFonts w:asciiTheme="minorHAnsi" w:hAnsiTheme="minorHAnsi" w:cstheme="minorHAnsi"/>
          <w:i/>
          <w:iCs/>
          <w:sz w:val="22"/>
          <w:szCs w:val="22"/>
        </w:rPr>
        <w:t xml:space="preserve"> </w:t>
      </w:r>
      <w:r w:rsidRPr="00C95105">
        <w:rPr>
          <w:rFonts w:asciiTheme="minorHAnsi" w:hAnsiTheme="minorHAnsi" w:cstheme="minorHAnsi"/>
          <w:i/>
          <w:iCs/>
          <w:sz w:val="22"/>
          <w:szCs w:val="22"/>
        </w:rPr>
        <w:t>discrimination audit" OR “gender audit”</w:t>
      </w:r>
      <w:bookmarkEnd w:id="529"/>
    </w:p>
    <w:p w14:paraId="30712E29" w14:textId="77777777" w:rsidR="0093280F" w:rsidRPr="00C95105" w:rsidRDefault="0093280F" w:rsidP="00756FF3">
      <w:pPr>
        <w:pStyle w:val="ListParagraph"/>
        <w:numPr>
          <w:ilvl w:val="0"/>
          <w:numId w:val="28"/>
        </w:numPr>
        <w:spacing w:after="120"/>
        <w:jc w:val="both"/>
        <w:rPr>
          <w:rFonts w:asciiTheme="minorHAnsi" w:hAnsiTheme="minorHAnsi" w:cstheme="minorHAnsi"/>
          <w:i/>
          <w:iCs/>
          <w:sz w:val="22"/>
          <w:szCs w:val="22"/>
        </w:rPr>
      </w:pPr>
      <w:bookmarkStart w:id="530" w:name="_Toc96878399"/>
      <w:r w:rsidRPr="00C95105">
        <w:rPr>
          <w:rFonts w:asciiTheme="minorHAnsi" w:hAnsiTheme="minorHAnsi" w:cstheme="minorHAnsi"/>
          <w:i/>
          <w:iCs/>
          <w:sz w:val="22"/>
          <w:szCs w:val="22"/>
        </w:rPr>
        <w:t>“job evaluation” OR “comparable worth”</w:t>
      </w:r>
      <w:bookmarkEnd w:id="530"/>
    </w:p>
    <w:p w14:paraId="0104A12E" w14:textId="77777777" w:rsidR="0093280F" w:rsidRPr="00C95105" w:rsidRDefault="0093280F" w:rsidP="00756FF3">
      <w:pPr>
        <w:pStyle w:val="ListParagraph"/>
        <w:numPr>
          <w:ilvl w:val="0"/>
          <w:numId w:val="28"/>
        </w:numPr>
        <w:spacing w:after="120"/>
        <w:rPr>
          <w:rFonts w:asciiTheme="minorHAnsi" w:hAnsiTheme="minorHAnsi" w:cstheme="minorHAnsi"/>
          <w:i/>
          <w:iCs/>
          <w:sz w:val="22"/>
          <w:szCs w:val="22"/>
        </w:rPr>
      </w:pPr>
      <w:bookmarkStart w:id="531" w:name="_Toc96878400"/>
      <w:r w:rsidRPr="00C95105">
        <w:rPr>
          <w:rFonts w:asciiTheme="minorHAnsi" w:hAnsiTheme="minorHAnsi" w:cstheme="minorHAnsi"/>
          <w:i/>
          <w:iCs/>
          <w:sz w:val="22"/>
          <w:szCs w:val="22"/>
        </w:rPr>
        <w:t>“pay transparency” OR “pay secrecy” OR “pay process transparency” OR “pay gap transparency” OR “pay gap disclosure</w:t>
      </w:r>
      <w:r w:rsidRPr="00C95105">
        <w:rPr>
          <w:rFonts w:asciiTheme="minorHAnsi" w:hAnsiTheme="minorHAnsi" w:cstheme="minorHAnsi"/>
          <w:sz w:val="22"/>
          <w:szCs w:val="22"/>
        </w:rPr>
        <w:t>”</w:t>
      </w:r>
      <w:bookmarkEnd w:id="531"/>
    </w:p>
    <w:p w14:paraId="29A823B9" w14:textId="77777777" w:rsidR="0093280F" w:rsidRPr="00C95105" w:rsidRDefault="0093280F" w:rsidP="0093280F">
      <w:pPr>
        <w:spacing w:after="120"/>
        <w:jc w:val="both"/>
        <w:rPr>
          <w:rFonts w:asciiTheme="minorHAnsi" w:hAnsiTheme="minorHAnsi" w:cstheme="minorHAnsi"/>
          <w:sz w:val="22"/>
          <w:szCs w:val="22"/>
        </w:rPr>
      </w:pPr>
    </w:p>
    <w:p w14:paraId="326F4B06" w14:textId="77777777" w:rsidR="0093280F" w:rsidRPr="00C95105" w:rsidRDefault="0093280F" w:rsidP="0093280F">
      <w:pPr>
        <w:spacing w:after="120"/>
        <w:jc w:val="both"/>
        <w:rPr>
          <w:rFonts w:asciiTheme="minorHAnsi" w:hAnsiTheme="minorHAnsi" w:cstheme="minorHAnsi"/>
          <w:sz w:val="22"/>
          <w:szCs w:val="22"/>
        </w:rPr>
      </w:pPr>
      <w:r w:rsidRPr="00C95105">
        <w:rPr>
          <w:rFonts w:asciiTheme="minorHAnsi" w:hAnsiTheme="minorHAnsi" w:cstheme="minorHAnsi"/>
          <w:sz w:val="22"/>
          <w:szCs w:val="22"/>
        </w:rPr>
        <w:t xml:space="preserve">Gender string: </w:t>
      </w:r>
    </w:p>
    <w:p w14:paraId="729DE9D9" w14:textId="77777777" w:rsidR="0093280F" w:rsidRPr="00C95105" w:rsidRDefault="0093280F" w:rsidP="00756FF3">
      <w:pPr>
        <w:pStyle w:val="ListParagraph"/>
        <w:numPr>
          <w:ilvl w:val="0"/>
          <w:numId w:val="29"/>
        </w:numPr>
        <w:spacing w:after="120"/>
        <w:jc w:val="both"/>
        <w:rPr>
          <w:rFonts w:asciiTheme="minorHAnsi" w:hAnsiTheme="minorHAnsi" w:cstheme="minorHAnsi"/>
          <w:i/>
          <w:iCs/>
          <w:sz w:val="22"/>
          <w:szCs w:val="22"/>
        </w:rPr>
      </w:pPr>
      <w:bookmarkStart w:id="532" w:name="_Toc96878401"/>
      <w:r w:rsidRPr="00C95105">
        <w:rPr>
          <w:rFonts w:asciiTheme="minorHAnsi" w:hAnsiTheme="minorHAnsi" w:cstheme="minorHAnsi"/>
          <w:i/>
          <w:iCs/>
          <w:sz w:val="22"/>
          <w:szCs w:val="22"/>
        </w:rPr>
        <w:t>gender OR female OR women</w:t>
      </w:r>
      <w:bookmarkEnd w:id="532"/>
    </w:p>
    <w:p w14:paraId="2F212906" w14:textId="77777777" w:rsidR="0093280F" w:rsidRPr="00C95105" w:rsidRDefault="0093280F" w:rsidP="0093280F">
      <w:pPr>
        <w:spacing w:after="120"/>
        <w:jc w:val="both"/>
        <w:rPr>
          <w:rFonts w:asciiTheme="minorHAnsi" w:hAnsiTheme="minorHAnsi" w:cstheme="minorHAnsi"/>
          <w:sz w:val="22"/>
          <w:szCs w:val="22"/>
        </w:rPr>
      </w:pPr>
    </w:p>
    <w:p w14:paraId="262F9EBA" w14:textId="2F739EA7" w:rsidR="0093280F" w:rsidRPr="00C95105" w:rsidRDefault="0093280F" w:rsidP="00DC013A">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search was entered into Scopus, ProQuest, PsycInfo, EMBASE and Google scholar databases. Search limits were set </w:t>
      </w:r>
      <w:r w:rsidR="00014FD6" w:rsidRPr="00C95105">
        <w:rPr>
          <w:rFonts w:asciiTheme="minorHAnsi" w:hAnsiTheme="minorHAnsi" w:cstheme="minorHAnsi"/>
          <w:sz w:val="22"/>
          <w:szCs w:val="22"/>
        </w:rPr>
        <w:t>to</w:t>
      </w:r>
      <w:r w:rsidRPr="00C95105">
        <w:rPr>
          <w:rFonts w:asciiTheme="minorHAnsi" w:hAnsiTheme="minorHAnsi" w:cstheme="minorHAnsi"/>
          <w:sz w:val="22"/>
          <w:szCs w:val="22"/>
        </w:rPr>
        <w:t xml:space="preserve"> search in abstract, title, keyword fields; English language; peer-reviewed, publication date 2000-2021.</w:t>
      </w:r>
    </w:p>
    <w:p w14:paraId="0BE90D5B" w14:textId="77777777" w:rsidR="0093280F" w:rsidRPr="00C95105" w:rsidRDefault="0093280F" w:rsidP="0093280F">
      <w:pPr>
        <w:spacing w:after="120"/>
        <w:jc w:val="both"/>
        <w:rPr>
          <w:rFonts w:asciiTheme="minorHAnsi" w:hAnsiTheme="minorHAnsi" w:cstheme="minorHAnsi"/>
          <w:sz w:val="22"/>
          <w:szCs w:val="22"/>
        </w:rPr>
      </w:pPr>
    </w:p>
    <w:p w14:paraId="06B20FFD" w14:textId="77777777" w:rsidR="0093280F" w:rsidRPr="00C95105" w:rsidRDefault="0093280F" w:rsidP="00756FF3">
      <w:pPr>
        <w:pStyle w:val="Heading3"/>
        <w:numPr>
          <w:ilvl w:val="2"/>
          <w:numId w:val="26"/>
        </w:numPr>
        <w:spacing w:before="0" w:after="120"/>
        <w:ind w:left="567" w:hanging="567"/>
        <w:rPr>
          <w:rFonts w:asciiTheme="minorHAnsi" w:hAnsiTheme="minorHAnsi" w:cstheme="minorHAnsi"/>
          <w:b/>
          <w:bCs/>
          <w:i/>
          <w:iCs/>
          <w:color w:val="2F5496" w:themeColor="accent1" w:themeShade="BF"/>
          <w:sz w:val="22"/>
          <w:szCs w:val="22"/>
        </w:rPr>
      </w:pPr>
      <w:bookmarkStart w:id="533" w:name="_Toc96957729"/>
      <w:r w:rsidRPr="00C95105">
        <w:rPr>
          <w:rFonts w:asciiTheme="minorHAnsi" w:hAnsiTheme="minorHAnsi" w:cstheme="minorHAnsi"/>
          <w:b/>
          <w:bCs/>
          <w:i/>
          <w:iCs/>
          <w:color w:val="2F5496" w:themeColor="accent1" w:themeShade="BF"/>
          <w:sz w:val="22"/>
          <w:szCs w:val="22"/>
        </w:rPr>
        <w:t>Eligibility</w:t>
      </w:r>
      <w:bookmarkEnd w:id="533"/>
    </w:p>
    <w:p w14:paraId="781C0BAA" w14:textId="06FE940F" w:rsidR="0093280F" w:rsidRPr="00C95105" w:rsidRDefault="0093280F" w:rsidP="00DC013A">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References were eligible for inclusion in th</w:t>
      </w:r>
      <w:r w:rsidR="00DC013A" w:rsidRPr="00C95105">
        <w:rPr>
          <w:rFonts w:asciiTheme="minorHAnsi" w:hAnsiTheme="minorHAnsi" w:cstheme="minorHAnsi"/>
          <w:sz w:val="22"/>
          <w:szCs w:val="22"/>
        </w:rPr>
        <w:t>is</w:t>
      </w:r>
      <w:r w:rsidRPr="00C95105">
        <w:rPr>
          <w:rFonts w:asciiTheme="minorHAnsi" w:hAnsiTheme="minorHAnsi" w:cstheme="minorHAnsi"/>
          <w:sz w:val="22"/>
          <w:szCs w:val="22"/>
        </w:rPr>
        <w:t xml:space="preserve"> review if they me</w:t>
      </w:r>
      <w:r w:rsidR="00246E14" w:rsidRPr="00C95105">
        <w:rPr>
          <w:rFonts w:asciiTheme="minorHAnsi" w:hAnsiTheme="minorHAnsi" w:cstheme="minorHAnsi"/>
          <w:sz w:val="22"/>
          <w:szCs w:val="22"/>
        </w:rPr>
        <w:t>t</w:t>
      </w:r>
      <w:r w:rsidRPr="00C95105">
        <w:rPr>
          <w:rFonts w:asciiTheme="minorHAnsi" w:hAnsiTheme="minorHAnsi" w:cstheme="minorHAnsi"/>
          <w:sz w:val="22"/>
          <w:szCs w:val="22"/>
        </w:rPr>
        <w:t xml:space="preserve"> the </w:t>
      </w:r>
      <w:r w:rsidR="00246E14" w:rsidRPr="00C95105">
        <w:rPr>
          <w:rFonts w:asciiTheme="minorHAnsi" w:hAnsiTheme="minorHAnsi" w:cstheme="minorHAnsi"/>
          <w:sz w:val="22"/>
          <w:szCs w:val="22"/>
        </w:rPr>
        <w:t xml:space="preserve">inclusion </w:t>
      </w:r>
      <w:r w:rsidRPr="00C95105">
        <w:rPr>
          <w:rFonts w:asciiTheme="minorHAnsi" w:hAnsiTheme="minorHAnsi" w:cstheme="minorHAnsi"/>
          <w:sz w:val="22"/>
          <w:szCs w:val="22"/>
        </w:rPr>
        <w:t xml:space="preserve">criteria outlined in Table </w:t>
      </w:r>
      <w:r w:rsidR="00DC013A" w:rsidRPr="00C95105">
        <w:rPr>
          <w:rFonts w:asciiTheme="minorHAnsi" w:hAnsiTheme="minorHAnsi" w:cstheme="minorHAnsi"/>
          <w:sz w:val="22"/>
          <w:szCs w:val="22"/>
        </w:rPr>
        <w:t>5.</w:t>
      </w:r>
      <w:r w:rsidRPr="00C95105">
        <w:rPr>
          <w:rFonts w:asciiTheme="minorHAnsi" w:hAnsiTheme="minorHAnsi" w:cstheme="minorHAnsi"/>
          <w:sz w:val="22"/>
          <w:szCs w:val="22"/>
        </w:rPr>
        <w:t>1</w:t>
      </w:r>
      <w:r w:rsidR="00246E14" w:rsidRPr="00C95105">
        <w:rPr>
          <w:rFonts w:asciiTheme="minorHAnsi" w:hAnsiTheme="minorHAnsi" w:cstheme="minorHAnsi"/>
          <w:sz w:val="22"/>
          <w:szCs w:val="22"/>
        </w:rPr>
        <w:t>m, below.</w:t>
      </w:r>
    </w:p>
    <w:p w14:paraId="037FC17B" w14:textId="77777777" w:rsidR="00246E14" w:rsidRPr="00C95105" w:rsidRDefault="00246E14" w:rsidP="00DC013A">
      <w:pPr>
        <w:spacing w:after="120"/>
        <w:ind w:firstLine="567"/>
        <w:rPr>
          <w:rFonts w:asciiTheme="minorHAnsi" w:hAnsiTheme="minorHAnsi" w:cstheme="minorHAnsi"/>
          <w:sz w:val="22"/>
          <w:szCs w:val="22"/>
        </w:rPr>
      </w:pPr>
    </w:p>
    <w:p w14:paraId="66F85FC8" w14:textId="7B0B3158" w:rsidR="0093280F" w:rsidRPr="00C95105" w:rsidRDefault="0093280F" w:rsidP="00DC013A">
      <w:pPr>
        <w:pStyle w:val="TableParagraph"/>
        <w:spacing w:after="120"/>
        <w:ind w:left="0"/>
        <w:rPr>
          <w:rFonts w:asciiTheme="minorHAnsi" w:hAnsiTheme="minorHAnsi" w:cstheme="minorHAnsi"/>
          <w:b/>
          <w:bCs/>
          <w:lang w:val="en-AU"/>
        </w:rPr>
      </w:pPr>
      <w:bookmarkStart w:id="534" w:name="_Toc96878649"/>
      <w:r w:rsidRPr="00C95105">
        <w:rPr>
          <w:rFonts w:asciiTheme="minorHAnsi" w:hAnsiTheme="minorHAnsi" w:cstheme="minorHAnsi"/>
          <w:b/>
          <w:bCs/>
          <w:lang w:val="en-AU"/>
        </w:rPr>
        <w:t xml:space="preserve">Table </w:t>
      </w:r>
      <w:r w:rsidR="00DC013A" w:rsidRPr="00C95105">
        <w:rPr>
          <w:rFonts w:asciiTheme="minorHAnsi" w:hAnsiTheme="minorHAnsi" w:cstheme="minorHAnsi"/>
          <w:b/>
          <w:bCs/>
          <w:lang w:val="en-AU"/>
        </w:rPr>
        <w:t>5.</w:t>
      </w:r>
      <w:r w:rsidRPr="00C95105">
        <w:rPr>
          <w:rFonts w:asciiTheme="minorHAnsi" w:hAnsiTheme="minorHAnsi" w:cstheme="minorHAnsi"/>
          <w:b/>
          <w:bCs/>
          <w:lang w:val="en-AU"/>
        </w:rPr>
        <w:t xml:space="preserve">1. </w:t>
      </w:r>
      <w:r w:rsidRPr="00C95105">
        <w:rPr>
          <w:rFonts w:asciiTheme="minorHAnsi" w:hAnsiTheme="minorHAnsi" w:cstheme="minorHAnsi"/>
          <w:lang w:val="en-AU"/>
        </w:rPr>
        <w:t>Inclusion criteria for reviewed papers</w:t>
      </w:r>
      <w:bookmarkEnd w:id="53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95"/>
        <w:gridCol w:w="6315"/>
      </w:tblGrid>
      <w:tr w:rsidR="00977ACC" w:rsidRPr="00C95105" w14:paraId="4C66EE2A" w14:textId="77777777" w:rsidTr="00532791">
        <w:tc>
          <w:tcPr>
            <w:tcW w:w="2695" w:type="dxa"/>
            <w:tcBorders>
              <w:bottom w:val="single" w:sz="4" w:space="0" w:color="auto"/>
            </w:tcBorders>
          </w:tcPr>
          <w:p w14:paraId="617F7291" w14:textId="77777777" w:rsidR="0093280F" w:rsidRPr="00C95105" w:rsidRDefault="0093280F" w:rsidP="00532791">
            <w:pPr>
              <w:spacing w:after="120"/>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Area</w:t>
            </w:r>
          </w:p>
        </w:tc>
        <w:tc>
          <w:tcPr>
            <w:tcW w:w="6315" w:type="dxa"/>
            <w:tcBorders>
              <w:bottom w:val="single" w:sz="4" w:space="0" w:color="auto"/>
            </w:tcBorders>
          </w:tcPr>
          <w:p w14:paraId="715B08A1" w14:textId="77777777" w:rsidR="0093280F" w:rsidRPr="00C95105" w:rsidRDefault="0093280F" w:rsidP="00532791">
            <w:pPr>
              <w:spacing w:after="120"/>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Criteria</w:t>
            </w:r>
          </w:p>
        </w:tc>
      </w:tr>
      <w:tr w:rsidR="0093280F" w:rsidRPr="00C95105" w14:paraId="279D312C" w14:textId="77777777" w:rsidTr="00532791">
        <w:tc>
          <w:tcPr>
            <w:tcW w:w="2695" w:type="dxa"/>
            <w:tcBorders>
              <w:bottom w:val="nil"/>
            </w:tcBorders>
          </w:tcPr>
          <w:p w14:paraId="23CBADD5"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Purpose of pay equity strategy or analysis</w:t>
            </w:r>
          </w:p>
        </w:tc>
        <w:tc>
          <w:tcPr>
            <w:tcW w:w="6315" w:type="dxa"/>
            <w:tcBorders>
              <w:bottom w:val="nil"/>
            </w:tcBorders>
          </w:tcPr>
          <w:p w14:paraId="57D87F6C" w14:textId="1D7F009A"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Improving gender equality, or analysed with reference to impact on pay equity, the gender pay gap</w:t>
            </w:r>
            <w:r w:rsidR="2770005D" w:rsidRPr="00C95105">
              <w:rPr>
                <w:rFonts w:asciiTheme="minorHAnsi" w:hAnsiTheme="minorHAnsi" w:cstheme="minorHAnsi"/>
                <w:sz w:val="22"/>
                <w:szCs w:val="22"/>
              </w:rPr>
              <w:t>,</w:t>
            </w:r>
            <w:r w:rsidRPr="00C95105">
              <w:rPr>
                <w:rFonts w:asciiTheme="minorHAnsi" w:hAnsiTheme="minorHAnsi" w:cstheme="minorHAnsi"/>
                <w:sz w:val="22"/>
                <w:szCs w:val="22"/>
              </w:rPr>
              <w:t xml:space="preserve"> or pay equity perceptions</w:t>
            </w:r>
          </w:p>
        </w:tc>
      </w:tr>
      <w:tr w:rsidR="0093280F" w:rsidRPr="00C95105" w14:paraId="7E9C3DC1" w14:textId="77777777" w:rsidTr="00532791">
        <w:tc>
          <w:tcPr>
            <w:tcW w:w="2695" w:type="dxa"/>
            <w:tcBorders>
              <w:top w:val="nil"/>
              <w:bottom w:val="nil"/>
            </w:tcBorders>
          </w:tcPr>
          <w:p w14:paraId="54741DC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Context</w:t>
            </w:r>
          </w:p>
        </w:tc>
        <w:tc>
          <w:tcPr>
            <w:tcW w:w="6315" w:type="dxa"/>
            <w:tcBorders>
              <w:top w:val="nil"/>
              <w:bottom w:val="nil"/>
            </w:tcBorders>
          </w:tcPr>
          <w:p w14:paraId="05A74F5C"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Organisation level (single organisation or multiple organisations)</w:t>
            </w:r>
          </w:p>
        </w:tc>
      </w:tr>
      <w:tr w:rsidR="0093280F" w:rsidRPr="00C95105" w14:paraId="7960B079" w14:textId="77777777" w:rsidTr="00532791">
        <w:tc>
          <w:tcPr>
            <w:tcW w:w="2695" w:type="dxa"/>
            <w:tcBorders>
              <w:top w:val="nil"/>
              <w:bottom w:val="nil"/>
            </w:tcBorders>
          </w:tcPr>
          <w:p w14:paraId="4AFA244D"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Nature of study</w:t>
            </w:r>
          </w:p>
        </w:tc>
        <w:tc>
          <w:tcPr>
            <w:tcW w:w="6315" w:type="dxa"/>
            <w:tcBorders>
              <w:top w:val="nil"/>
              <w:bottom w:val="nil"/>
            </w:tcBorders>
          </w:tcPr>
          <w:p w14:paraId="794F7C4E"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Empirical study of strategy implementation and/or impact </w:t>
            </w:r>
          </w:p>
        </w:tc>
      </w:tr>
      <w:tr w:rsidR="0093280F" w:rsidRPr="00C95105" w14:paraId="6FABFD4D" w14:textId="77777777" w:rsidTr="00532791">
        <w:tc>
          <w:tcPr>
            <w:tcW w:w="2695" w:type="dxa"/>
            <w:tcBorders>
              <w:top w:val="nil"/>
              <w:bottom w:val="nil"/>
            </w:tcBorders>
          </w:tcPr>
          <w:p w14:paraId="0D5F00C8"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Processes and outcome of interest</w:t>
            </w:r>
          </w:p>
        </w:tc>
        <w:tc>
          <w:tcPr>
            <w:tcW w:w="6315" w:type="dxa"/>
            <w:tcBorders>
              <w:top w:val="nil"/>
              <w:bottom w:val="nil"/>
            </w:tcBorders>
          </w:tcPr>
          <w:p w14:paraId="10AD9EA6"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Strategy barriers and enablers; gender pay gap </w:t>
            </w:r>
          </w:p>
        </w:tc>
      </w:tr>
      <w:tr w:rsidR="0093280F" w:rsidRPr="00C95105" w14:paraId="3A8AF5E8" w14:textId="77777777" w:rsidTr="00532791">
        <w:tc>
          <w:tcPr>
            <w:tcW w:w="2695" w:type="dxa"/>
            <w:tcBorders>
              <w:top w:val="nil"/>
            </w:tcBorders>
          </w:tcPr>
          <w:p w14:paraId="34215940"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Nature of publication</w:t>
            </w:r>
          </w:p>
        </w:tc>
        <w:tc>
          <w:tcPr>
            <w:tcW w:w="6315" w:type="dxa"/>
            <w:tcBorders>
              <w:top w:val="nil"/>
            </w:tcBorders>
          </w:tcPr>
          <w:p w14:paraId="7E69C3D6"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Peer-reviewed academic articles or conference papers</w:t>
            </w:r>
          </w:p>
        </w:tc>
      </w:tr>
    </w:tbl>
    <w:p w14:paraId="0008A737" w14:textId="77777777" w:rsidR="0093280F" w:rsidRPr="00C95105" w:rsidRDefault="0093280F" w:rsidP="0093280F">
      <w:pPr>
        <w:spacing w:after="120"/>
        <w:rPr>
          <w:rFonts w:asciiTheme="minorHAnsi" w:hAnsiTheme="minorHAnsi" w:cstheme="minorHAnsi"/>
          <w:b/>
          <w:bCs/>
          <w:i/>
          <w:iCs/>
          <w:sz w:val="22"/>
          <w:szCs w:val="22"/>
        </w:rPr>
      </w:pPr>
    </w:p>
    <w:p w14:paraId="6703ABF7" w14:textId="65FE1CD0" w:rsidR="0093280F" w:rsidRPr="00C95105" w:rsidRDefault="0093280F" w:rsidP="00246E1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Search results and eligibility outcomes for each of the pay equity strategies is presented in Table </w:t>
      </w:r>
      <w:r w:rsidR="007D6B52" w:rsidRPr="00C95105">
        <w:rPr>
          <w:rFonts w:asciiTheme="minorHAnsi" w:hAnsiTheme="minorHAnsi" w:cstheme="minorHAnsi"/>
          <w:sz w:val="22"/>
          <w:szCs w:val="22"/>
        </w:rPr>
        <w:t>5.</w:t>
      </w:r>
      <w:r w:rsidRPr="00C95105">
        <w:rPr>
          <w:rFonts w:asciiTheme="minorHAnsi" w:hAnsiTheme="minorHAnsi" w:cstheme="minorHAnsi"/>
          <w:sz w:val="22"/>
          <w:szCs w:val="22"/>
        </w:rPr>
        <w:t>2</w:t>
      </w:r>
      <w:r w:rsidR="007D6B52" w:rsidRPr="00C95105">
        <w:rPr>
          <w:rFonts w:asciiTheme="minorHAnsi" w:hAnsiTheme="minorHAnsi" w:cstheme="minorHAnsi"/>
          <w:sz w:val="22"/>
          <w:szCs w:val="22"/>
        </w:rPr>
        <w:t>,</w:t>
      </w:r>
      <w:r w:rsidRPr="00C95105">
        <w:rPr>
          <w:rFonts w:asciiTheme="minorHAnsi" w:hAnsiTheme="minorHAnsi" w:cstheme="minorHAnsi"/>
          <w:sz w:val="22"/>
          <w:szCs w:val="22"/>
        </w:rPr>
        <w:t xml:space="preserve"> below. Only the 100 most relevant Google scholar search results were screened.</w:t>
      </w:r>
      <w:r w:rsidR="00C40DCA" w:rsidRPr="00C95105">
        <w:rPr>
          <w:rFonts w:asciiTheme="minorHAnsi" w:hAnsiTheme="minorHAnsi" w:cstheme="minorHAnsi"/>
          <w:sz w:val="22"/>
          <w:szCs w:val="22"/>
        </w:rPr>
        <w:t xml:space="preserve"> Figure 5.1</w:t>
      </w:r>
      <w:r w:rsidR="00977ACC" w:rsidRPr="00C95105">
        <w:rPr>
          <w:rFonts w:asciiTheme="minorHAnsi" w:hAnsiTheme="minorHAnsi" w:cstheme="minorHAnsi"/>
          <w:sz w:val="22"/>
          <w:szCs w:val="22"/>
        </w:rPr>
        <w:t>, below,</w:t>
      </w:r>
      <w:r w:rsidR="00C40DCA" w:rsidRPr="00C95105">
        <w:rPr>
          <w:rFonts w:asciiTheme="minorHAnsi" w:hAnsiTheme="minorHAnsi" w:cstheme="minorHAnsi"/>
          <w:sz w:val="22"/>
          <w:szCs w:val="22"/>
        </w:rPr>
        <w:t xml:space="preserve"> shows the flow of primary studies in the screening and selection process.</w:t>
      </w:r>
    </w:p>
    <w:p w14:paraId="12E90B69" w14:textId="77777777" w:rsidR="0093280F" w:rsidRPr="00C95105" w:rsidRDefault="0093280F" w:rsidP="0093280F">
      <w:pPr>
        <w:spacing w:after="120"/>
        <w:rPr>
          <w:rFonts w:asciiTheme="minorHAnsi" w:hAnsiTheme="minorHAnsi" w:cstheme="minorHAnsi"/>
          <w:sz w:val="22"/>
          <w:szCs w:val="22"/>
        </w:rPr>
      </w:pPr>
    </w:p>
    <w:p w14:paraId="116772BF" w14:textId="77777777" w:rsidR="0093280F" w:rsidRPr="00C95105" w:rsidRDefault="0093280F" w:rsidP="0093280F">
      <w:pPr>
        <w:spacing w:after="120"/>
        <w:rPr>
          <w:rFonts w:asciiTheme="minorHAnsi" w:hAnsiTheme="minorHAnsi" w:cstheme="minorHAnsi"/>
          <w:sz w:val="22"/>
          <w:szCs w:val="22"/>
        </w:rPr>
      </w:pPr>
      <w:r w:rsidRPr="00C95105">
        <w:rPr>
          <w:rFonts w:asciiTheme="minorHAnsi" w:hAnsiTheme="minorHAnsi" w:cstheme="minorHAnsi"/>
          <w:sz w:val="22"/>
          <w:szCs w:val="22"/>
        </w:rPr>
        <w:br w:type="page"/>
      </w:r>
    </w:p>
    <w:p w14:paraId="256564BE" w14:textId="1312DEC4" w:rsidR="004A4A59" w:rsidRDefault="004A4A59" w:rsidP="004A4A59">
      <w:pPr>
        <w:pStyle w:val="ListParagraph"/>
        <w:ind w:left="0"/>
        <w:rPr>
          <w:rFonts w:asciiTheme="minorHAnsi" w:hAnsiTheme="minorHAnsi" w:cstheme="minorHAnsi"/>
          <w:i/>
          <w:iCs/>
        </w:rPr>
      </w:pPr>
      <w:bookmarkStart w:id="535" w:name="_Toc96878402"/>
      <w:r w:rsidRPr="00C95105">
        <w:rPr>
          <w:rFonts w:asciiTheme="minorHAnsi" w:hAnsiTheme="minorHAnsi" w:cstheme="minorHAnsi"/>
          <w:b/>
          <w:bCs/>
          <w:i/>
          <w:iCs/>
        </w:rPr>
        <w:lastRenderedPageBreak/>
        <w:t xml:space="preserve">Figure </w:t>
      </w:r>
      <w:r w:rsidR="00C40DCA" w:rsidRPr="00C95105">
        <w:rPr>
          <w:rFonts w:asciiTheme="minorHAnsi" w:hAnsiTheme="minorHAnsi" w:cstheme="minorHAnsi"/>
          <w:b/>
          <w:bCs/>
          <w:i/>
          <w:iCs/>
        </w:rPr>
        <w:t>5</w:t>
      </w:r>
      <w:r w:rsidRPr="00C95105">
        <w:rPr>
          <w:rFonts w:asciiTheme="minorHAnsi" w:hAnsiTheme="minorHAnsi" w:cstheme="minorHAnsi"/>
          <w:b/>
          <w:bCs/>
          <w:i/>
          <w:iCs/>
        </w:rPr>
        <w:t xml:space="preserve">.1. </w:t>
      </w:r>
      <w:r w:rsidRPr="00C95105">
        <w:rPr>
          <w:rFonts w:asciiTheme="minorHAnsi" w:hAnsiTheme="minorHAnsi" w:cstheme="minorHAnsi"/>
          <w:i/>
          <w:iCs/>
        </w:rPr>
        <w:t>PRISMA Flow Diagram summarising literature search and inclusion for the Gender Pay Equity Review</w:t>
      </w:r>
      <w:bookmarkEnd w:id="535"/>
    </w:p>
    <w:p w14:paraId="153E5AD4" w14:textId="77777777" w:rsidR="001B3499" w:rsidRDefault="001B3499" w:rsidP="004A4A59">
      <w:pPr>
        <w:pStyle w:val="ListParagraph"/>
        <w:ind w:left="0"/>
        <w:rPr>
          <w:rFonts w:asciiTheme="minorHAnsi" w:hAnsiTheme="minorHAnsi" w:cstheme="minorHAnsi"/>
          <w:i/>
          <w:iCs/>
        </w:rPr>
      </w:pPr>
    </w:p>
    <w:p w14:paraId="6F8100D3" w14:textId="31950A72" w:rsidR="001B3499" w:rsidRPr="00C95105" w:rsidRDefault="000209AE" w:rsidP="004A4A59">
      <w:pPr>
        <w:pStyle w:val="ListParagraph"/>
        <w:ind w:left="0"/>
        <w:rPr>
          <w:rFonts w:asciiTheme="minorHAnsi" w:hAnsiTheme="minorHAnsi" w:cstheme="minorHAnsi"/>
          <w:b/>
          <w:bCs/>
          <w:i/>
          <w:iCs/>
        </w:rPr>
      </w:pPr>
      <w:r w:rsidRPr="000209AE">
        <w:rPr>
          <w:rFonts w:asciiTheme="minorHAnsi" w:hAnsiTheme="minorHAnsi" w:cstheme="minorHAnsi"/>
          <w:b/>
          <w:bCs/>
          <w:i/>
          <w:iCs/>
          <w:noProof/>
        </w:rPr>
        <w:drawing>
          <wp:inline distT="0" distB="0" distL="0" distR="0" wp14:anchorId="3DBE7E26" wp14:editId="31F4D023">
            <wp:extent cx="5825497" cy="4360727"/>
            <wp:effectExtent l="0" t="0" r="3810" b="1905"/>
            <wp:docPr id="271" name="Picture 271" descr="Flow diagram showing identification phase includes 752 records identified through database searching and 3 additional records identified through other sourced. After duplicates were removed, 549 records remained and were screened. Of these, 525 records were excluded during screening. 23 full text articles were assed for eligibility. 11 full text articles excluded, as they were not empirical. 12 studies were included in qualitative synthe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Flow diagram showing identification phase includes 752 records identified through database searching and 3 additional records identified through other sourced. After duplicates were removed, 549 records remained and were screened. Of these, 525 records were excluded during screening. 23 full text articles were assed for eligibility. 11 full text articles excluded, as they were not empirical. 12 studies were included in qualitative synthesis.  "/>
                    <pic:cNvPicPr/>
                  </pic:nvPicPr>
                  <pic:blipFill>
                    <a:blip r:embed="rId117"/>
                    <a:stretch>
                      <a:fillRect/>
                    </a:stretch>
                  </pic:blipFill>
                  <pic:spPr>
                    <a:xfrm>
                      <a:off x="0" y="0"/>
                      <a:ext cx="5829517" cy="4363736"/>
                    </a:xfrm>
                    <a:prstGeom prst="rect">
                      <a:avLst/>
                    </a:prstGeom>
                  </pic:spPr>
                </pic:pic>
              </a:graphicData>
            </a:graphic>
          </wp:inline>
        </w:drawing>
      </w:r>
    </w:p>
    <w:p w14:paraId="31778AB4" w14:textId="44ACB1A0" w:rsidR="0093280F" w:rsidRPr="00C95105" w:rsidRDefault="0093280F" w:rsidP="0093280F">
      <w:pPr>
        <w:spacing w:after="120"/>
        <w:rPr>
          <w:rFonts w:asciiTheme="minorHAnsi" w:hAnsiTheme="minorHAnsi" w:cstheme="minorHAnsi"/>
        </w:rPr>
      </w:pPr>
    </w:p>
    <w:p w14:paraId="2D2A40CC" w14:textId="77777777" w:rsidR="00E46778" w:rsidRDefault="00E46778" w:rsidP="004A4A59">
      <w:pPr>
        <w:pStyle w:val="TableParagraph"/>
        <w:spacing w:after="120"/>
        <w:ind w:left="0"/>
        <w:rPr>
          <w:rFonts w:asciiTheme="minorHAnsi" w:hAnsiTheme="minorHAnsi" w:cstheme="minorHAnsi"/>
          <w:b/>
          <w:bCs/>
          <w:lang w:val="en-AU"/>
        </w:rPr>
      </w:pPr>
      <w:bookmarkStart w:id="536" w:name="_Toc96878650"/>
    </w:p>
    <w:p w14:paraId="5210D7DB" w14:textId="61199306" w:rsidR="0093280F" w:rsidRPr="00C95105" w:rsidRDefault="0093280F" w:rsidP="004A4A59">
      <w:pPr>
        <w:pStyle w:val="TableParagraph"/>
        <w:spacing w:after="120"/>
        <w:ind w:left="0"/>
        <w:rPr>
          <w:rFonts w:asciiTheme="minorHAnsi" w:hAnsiTheme="minorHAnsi" w:cstheme="minorHAnsi"/>
          <w:lang w:val="en-AU"/>
        </w:rPr>
      </w:pPr>
      <w:r w:rsidRPr="00C95105">
        <w:rPr>
          <w:rFonts w:asciiTheme="minorHAnsi" w:hAnsiTheme="minorHAnsi" w:cstheme="minorHAnsi"/>
          <w:b/>
          <w:bCs/>
          <w:lang w:val="en-AU"/>
        </w:rPr>
        <w:t xml:space="preserve">Table </w:t>
      </w:r>
      <w:r w:rsidR="004A4A59" w:rsidRPr="00C95105">
        <w:rPr>
          <w:rFonts w:asciiTheme="minorHAnsi" w:hAnsiTheme="minorHAnsi" w:cstheme="minorHAnsi"/>
          <w:b/>
          <w:bCs/>
          <w:lang w:val="en-AU"/>
        </w:rPr>
        <w:t>5.</w:t>
      </w:r>
      <w:r w:rsidRPr="00C95105">
        <w:rPr>
          <w:rFonts w:asciiTheme="minorHAnsi" w:hAnsiTheme="minorHAnsi" w:cstheme="minorHAnsi"/>
          <w:b/>
          <w:bCs/>
          <w:lang w:val="en-AU"/>
        </w:rPr>
        <w:t xml:space="preserve">2. </w:t>
      </w:r>
      <w:r w:rsidRPr="00C95105">
        <w:rPr>
          <w:rFonts w:asciiTheme="minorHAnsi" w:hAnsiTheme="minorHAnsi" w:cstheme="minorHAnsi"/>
          <w:lang w:val="en-AU"/>
        </w:rPr>
        <w:t>Summary of search results and eligible studies</w:t>
      </w:r>
      <w:bookmarkEnd w:id="536"/>
    </w:p>
    <w:tbl>
      <w:tblPr>
        <w:tblStyle w:val="TableGrid"/>
        <w:tblW w:w="0" w:type="auto"/>
        <w:tblBorders>
          <w:left w:val="none" w:sz="0" w:space="0" w:color="auto"/>
          <w:right w:val="none" w:sz="0" w:space="0" w:color="auto"/>
        </w:tblBorders>
        <w:tblLook w:val="04A0" w:firstRow="1" w:lastRow="0" w:firstColumn="1" w:lastColumn="0" w:noHBand="0" w:noVBand="1"/>
      </w:tblPr>
      <w:tblGrid>
        <w:gridCol w:w="5768"/>
        <w:gridCol w:w="1534"/>
        <w:gridCol w:w="1718"/>
      </w:tblGrid>
      <w:tr w:rsidR="0093280F" w:rsidRPr="00C95105" w14:paraId="19705818" w14:textId="77777777" w:rsidTr="00532791">
        <w:tc>
          <w:tcPr>
            <w:tcW w:w="5772" w:type="dxa"/>
            <w:tcBorders>
              <w:bottom w:val="single" w:sz="4" w:space="0" w:color="auto"/>
              <w:right w:val="nil"/>
            </w:tcBorders>
          </w:tcPr>
          <w:p w14:paraId="6B35DCCD" w14:textId="77777777" w:rsidR="0093280F" w:rsidRPr="00C95105" w:rsidRDefault="0093280F" w:rsidP="00532791">
            <w:pPr>
              <w:spacing w:after="120"/>
              <w:jc w:val="center"/>
              <w:rPr>
                <w:rFonts w:asciiTheme="minorHAnsi" w:hAnsiTheme="minorHAnsi" w:cstheme="minorHAnsi"/>
                <w:b/>
                <w:sz w:val="22"/>
                <w:szCs w:val="22"/>
              </w:rPr>
            </w:pPr>
            <w:r w:rsidRPr="00C95105">
              <w:rPr>
                <w:rFonts w:asciiTheme="minorHAnsi" w:hAnsiTheme="minorHAnsi" w:cstheme="minorHAnsi"/>
                <w:b/>
                <w:sz w:val="22"/>
                <w:szCs w:val="22"/>
              </w:rPr>
              <w:t>Outcome Category</w:t>
            </w:r>
          </w:p>
        </w:tc>
        <w:tc>
          <w:tcPr>
            <w:tcW w:w="1535" w:type="dxa"/>
            <w:tcBorders>
              <w:bottom w:val="single" w:sz="4" w:space="0" w:color="auto"/>
              <w:right w:val="nil"/>
            </w:tcBorders>
          </w:tcPr>
          <w:p w14:paraId="0C648210" w14:textId="77777777" w:rsidR="0093280F" w:rsidRPr="00C95105" w:rsidRDefault="0093280F" w:rsidP="00532791">
            <w:pPr>
              <w:spacing w:after="120"/>
              <w:jc w:val="center"/>
              <w:rPr>
                <w:rFonts w:asciiTheme="minorHAnsi" w:hAnsiTheme="minorHAnsi" w:cstheme="minorHAnsi"/>
                <w:b/>
                <w:bCs/>
                <w:sz w:val="22"/>
                <w:szCs w:val="22"/>
              </w:rPr>
            </w:pPr>
            <w:r w:rsidRPr="00C95105">
              <w:rPr>
                <w:rFonts w:asciiTheme="minorHAnsi" w:hAnsiTheme="minorHAnsi" w:cstheme="minorHAnsi"/>
                <w:b/>
                <w:bCs/>
                <w:sz w:val="22"/>
                <w:szCs w:val="22"/>
              </w:rPr>
              <w:t>Search results</w:t>
            </w:r>
          </w:p>
        </w:tc>
        <w:tc>
          <w:tcPr>
            <w:tcW w:w="1719" w:type="dxa"/>
            <w:tcBorders>
              <w:left w:val="nil"/>
              <w:bottom w:val="single" w:sz="4" w:space="0" w:color="auto"/>
            </w:tcBorders>
          </w:tcPr>
          <w:p w14:paraId="06DE4E59" w14:textId="77777777" w:rsidR="0093280F" w:rsidRPr="00C95105" w:rsidRDefault="0093280F" w:rsidP="00532791">
            <w:pPr>
              <w:spacing w:after="120"/>
              <w:jc w:val="center"/>
              <w:rPr>
                <w:rFonts w:asciiTheme="minorHAnsi" w:hAnsiTheme="minorHAnsi" w:cstheme="minorHAnsi"/>
                <w:b/>
                <w:bCs/>
                <w:sz w:val="22"/>
                <w:szCs w:val="22"/>
              </w:rPr>
            </w:pPr>
            <w:r w:rsidRPr="00C95105">
              <w:rPr>
                <w:rFonts w:asciiTheme="minorHAnsi" w:hAnsiTheme="minorHAnsi" w:cstheme="minorHAnsi"/>
                <w:b/>
                <w:bCs/>
                <w:sz w:val="22"/>
                <w:szCs w:val="22"/>
              </w:rPr>
              <w:t>Eligible studies</w:t>
            </w:r>
          </w:p>
        </w:tc>
      </w:tr>
      <w:tr w:rsidR="0093280F" w:rsidRPr="00C95105" w14:paraId="3A4828C3" w14:textId="77777777" w:rsidTr="00532791">
        <w:tc>
          <w:tcPr>
            <w:tcW w:w="5772" w:type="dxa"/>
            <w:tcBorders>
              <w:top w:val="nil"/>
              <w:bottom w:val="nil"/>
              <w:right w:val="nil"/>
            </w:tcBorders>
          </w:tcPr>
          <w:p w14:paraId="05F04732"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Pay audit</w:t>
            </w:r>
          </w:p>
        </w:tc>
        <w:tc>
          <w:tcPr>
            <w:tcW w:w="1535" w:type="dxa"/>
            <w:tcBorders>
              <w:top w:val="nil"/>
              <w:bottom w:val="nil"/>
              <w:right w:val="nil"/>
            </w:tcBorders>
          </w:tcPr>
          <w:p w14:paraId="6DE7FEA9" w14:textId="77777777" w:rsidR="0093280F" w:rsidRPr="00C95105" w:rsidRDefault="0093280F"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151</w:t>
            </w:r>
          </w:p>
        </w:tc>
        <w:tc>
          <w:tcPr>
            <w:tcW w:w="1719" w:type="dxa"/>
            <w:tcBorders>
              <w:top w:val="nil"/>
              <w:left w:val="nil"/>
              <w:bottom w:val="nil"/>
            </w:tcBorders>
          </w:tcPr>
          <w:p w14:paraId="78218DC1" w14:textId="77777777" w:rsidR="0093280F" w:rsidRPr="00C95105" w:rsidRDefault="0093280F"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4</w:t>
            </w:r>
          </w:p>
        </w:tc>
      </w:tr>
      <w:tr w:rsidR="0093280F" w:rsidRPr="00C95105" w14:paraId="5B116001" w14:textId="77777777" w:rsidTr="00532791">
        <w:tc>
          <w:tcPr>
            <w:tcW w:w="5772" w:type="dxa"/>
            <w:tcBorders>
              <w:top w:val="nil"/>
              <w:bottom w:val="nil"/>
              <w:right w:val="nil"/>
            </w:tcBorders>
          </w:tcPr>
          <w:p w14:paraId="7D50A038"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Job evaluation</w:t>
            </w:r>
          </w:p>
        </w:tc>
        <w:tc>
          <w:tcPr>
            <w:tcW w:w="1535" w:type="dxa"/>
            <w:tcBorders>
              <w:top w:val="nil"/>
              <w:bottom w:val="nil"/>
              <w:right w:val="nil"/>
            </w:tcBorders>
          </w:tcPr>
          <w:p w14:paraId="191F8D51" w14:textId="77777777" w:rsidR="0093280F" w:rsidRPr="00C95105" w:rsidRDefault="0093280F"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255</w:t>
            </w:r>
          </w:p>
        </w:tc>
        <w:tc>
          <w:tcPr>
            <w:tcW w:w="1719" w:type="dxa"/>
            <w:tcBorders>
              <w:top w:val="nil"/>
              <w:left w:val="nil"/>
              <w:bottom w:val="nil"/>
            </w:tcBorders>
          </w:tcPr>
          <w:p w14:paraId="6A7D1166" w14:textId="77777777" w:rsidR="0093280F" w:rsidRPr="00C95105" w:rsidRDefault="0093280F"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5</w:t>
            </w:r>
          </w:p>
        </w:tc>
      </w:tr>
      <w:tr w:rsidR="0093280F" w:rsidRPr="00C95105" w14:paraId="68D08BFD" w14:textId="77777777" w:rsidTr="00532791">
        <w:tc>
          <w:tcPr>
            <w:tcW w:w="5772" w:type="dxa"/>
            <w:tcBorders>
              <w:top w:val="nil"/>
              <w:bottom w:val="single" w:sz="4" w:space="0" w:color="auto"/>
              <w:right w:val="nil"/>
            </w:tcBorders>
          </w:tcPr>
          <w:p w14:paraId="449CDA0F"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Pay transparency</w:t>
            </w:r>
          </w:p>
        </w:tc>
        <w:tc>
          <w:tcPr>
            <w:tcW w:w="1535" w:type="dxa"/>
            <w:tcBorders>
              <w:top w:val="nil"/>
              <w:bottom w:val="single" w:sz="4" w:space="0" w:color="auto"/>
              <w:right w:val="nil"/>
            </w:tcBorders>
          </w:tcPr>
          <w:p w14:paraId="5066472B" w14:textId="77777777" w:rsidR="0093280F" w:rsidRPr="00C95105" w:rsidRDefault="0093280F"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143</w:t>
            </w:r>
          </w:p>
        </w:tc>
        <w:tc>
          <w:tcPr>
            <w:tcW w:w="1719" w:type="dxa"/>
            <w:tcBorders>
              <w:top w:val="nil"/>
              <w:left w:val="nil"/>
              <w:bottom w:val="single" w:sz="4" w:space="0" w:color="auto"/>
            </w:tcBorders>
          </w:tcPr>
          <w:p w14:paraId="7EC50EAA" w14:textId="77777777" w:rsidR="0093280F" w:rsidRPr="00C95105" w:rsidRDefault="0093280F"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4</w:t>
            </w:r>
          </w:p>
        </w:tc>
      </w:tr>
      <w:tr w:rsidR="0093280F" w:rsidRPr="00C95105" w14:paraId="4D91DA75" w14:textId="77777777" w:rsidTr="00532791">
        <w:tc>
          <w:tcPr>
            <w:tcW w:w="5772" w:type="dxa"/>
            <w:tcBorders>
              <w:bottom w:val="single" w:sz="4" w:space="0" w:color="auto"/>
              <w:right w:val="nil"/>
            </w:tcBorders>
          </w:tcPr>
          <w:p w14:paraId="2397490C"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Total </w:t>
            </w:r>
          </w:p>
        </w:tc>
        <w:tc>
          <w:tcPr>
            <w:tcW w:w="1535" w:type="dxa"/>
            <w:tcBorders>
              <w:bottom w:val="single" w:sz="4" w:space="0" w:color="auto"/>
              <w:right w:val="nil"/>
            </w:tcBorders>
          </w:tcPr>
          <w:p w14:paraId="7DDA068E" w14:textId="77777777" w:rsidR="0093280F" w:rsidRPr="00C95105" w:rsidRDefault="0093280F"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549</w:t>
            </w:r>
          </w:p>
        </w:tc>
        <w:tc>
          <w:tcPr>
            <w:tcW w:w="1719" w:type="dxa"/>
            <w:tcBorders>
              <w:left w:val="nil"/>
              <w:bottom w:val="single" w:sz="4" w:space="0" w:color="auto"/>
            </w:tcBorders>
          </w:tcPr>
          <w:p w14:paraId="303A7471" w14:textId="77777777" w:rsidR="0093280F" w:rsidRPr="00C95105" w:rsidRDefault="0093280F"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12*</w:t>
            </w:r>
          </w:p>
        </w:tc>
      </w:tr>
    </w:tbl>
    <w:p w14:paraId="6F769850" w14:textId="77777777" w:rsidR="0093280F" w:rsidRPr="00C95105" w:rsidRDefault="0093280F" w:rsidP="0093280F">
      <w:pPr>
        <w:spacing w:after="120"/>
        <w:rPr>
          <w:rFonts w:asciiTheme="minorHAnsi" w:hAnsiTheme="minorHAnsi" w:cstheme="minorHAnsi"/>
          <w:sz w:val="22"/>
          <w:szCs w:val="22"/>
        </w:rPr>
      </w:pPr>
      <w:r w:rsidRPr="00C95105">
        <w:rPr>
          <w:rFonts w:asciiTheme="minorHAnsi" w:hAnsiTheme="minorHAnsi" w:cstheme="minorHAnsi"/>
          <w:sz w:val="22"/>
          <w:szCs w:val="22"/>
        </w:rPr>
        <w:t xml:space="preserve">*One study was identified in both the pay audit and job evaluation search results. Most review studies reported on two strategies applied in unison, with one strategy playing a supplementary role to the primary strategy (e.g., a pay audit informed the primary strategy of job evaluation).  </w:t>
      </w:r>
    </w:p>
    <w:p w14:paraId="33BE1ECA" w14:textId="77777777" w:rsidR="0093280F" w:rsidRPr="00C95105" w:rsidRDefault="0093280F" w:rsidP="0093280F">
      <w:pPr>
        <w:spacing w:after="120"/>
        <w:rPr>
          <w:rFonts w:asciiTheme="minorHAnsi" w:hAnsiTheme="minorHAnsi" w:cstheme="minorHAnsi"/>
          <w:i/>
          <w:iCs/>
          <w:sz w:val="22"/>
          <w:szCs w:val="22"/>
        </w:rPr>
      </w:pPr>
      <w:r w:rsidRPr="00C95105">
        <w:rPr>
          <w:rFonts w:asciiTheme="minorHAnsi" w:hAnsiTheme="minorHAnsi" w:cstheme="minorHAnsi"/>
          <w:i/>
          <w:iCs/>
          <w:sz w:val="22"/>
          <w:szCs w:val="22"/>
        </w:rPr>
        <w:t xml:space="preserve"> </w:t>
      </w:r>
    </w:p>
    <w:p w14:paraId="1FAFEA40" w14:textId="77777777" w:rsidR="0093280F" w:rsidRPr="00C95105" w:rsidRDefault="0093280F" w:rsidP="00756FF3">
      <w:pPr>
        <w:pStyle w:val="Heading3"/>
        <w:numPr>
          <w:ilvl w:val="2"/>
          <w:numId w:val="26"/>
        </w:numPr>
        <w:spacing w:before="0" w:after="120"/>
        <w:ind w:left="567" w:hanging="567"/>
        <w:rPr>
          <w:rFonts w:asciiTheme="minorHAnsi" w:hAnsiTheme="minorHAnsi" w:cstheme="minorHAnsi"/>
          <w:b/>
          <w:bCs/>
          <w:i/>
          <w:iCs/>
          <w:color w:val="2F5496" w:themeColor="accent1" w:themeShade="BF"/>
          <w:sz w:val="22"/>
          <w:szCs w:val="22"/>
        </w:rPr>
      </w:pPr>
      <w:bookmarkStart w:id="537" w:name="_Toc96957730"/>
      <w:r w:rsidRPr="00C95105">
        <w:rPr>
          <w:rFonts w:asciiTheme="minorHAnsi" w:hAnsiTheme="minorHAnsi" w:cstheme="minorHAnsi"/>
          <w:b/>
          <w:bCs/>
          <w:i/>
          <w:iCs/>
          <w:color w:val="2F5496" w:themeColor="accent1" w:themeShade="BF"/>
          <w:sz w:val="22"/>
          <w:szCs w:val="22"/>
        </w:rPr>
        <w:t>Data extraction and analysis</w:t>
      </w:r>
      <w:bookmarkEnd w:id="537"/>
    </w:p>
    <w:p w14:paraId="3ABA5BF0" w14:textId="77777777" w:rsidR="0093280F" w:rsidRPr="00C95105" w:rsidRDefault="0093280F" w:rsidP="00291CE0">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For each eligible primary study, the following data items were extracted: study objective, setting and sample, study design, key findings, impact on pay, fairness perceptions, implementation insights including barriers and enablers. Analysis was conducted both within and across pay equity strategies.</w:t>
      </w:r>
    </w:p>
    <w:p w14:paraId="1A93A466" w14:textId="42B8BE6D" w:rsidR="0093280F" w:rsidRPr="00C95105" w:rsidRDefault="0093280F" w:rsidP="00756FF3">
      <w:pPr>
        <w:pStyle w:val="Heading2"/>
        <w:numPr>
          <w:ilvl w:val="1"/>
          <w:numId w:val="26"/>
        </w:numPr>
        <w:spacing w:before="0" w:after="120"/>
        <w:ind w:left="426" w:hanging="426"/>
        <w:rPr>
          <w:rFonts w:asciiTheme="minorHAnsi" w:hAnsiTheme="minorHAnsi" w:cstheme="minorHAnsi"/>
          <w:b/>
          <w:bCs/>
        </w:rPr>
      </w:pPr>
      <w:bookmarkStart w:id="538" w:name="_Toc96957731"/>
      <w:r w:rsidRPr="00C95105">
        <w:rPr>
          <w:rFonts w:asciiTheme="minorHAnsi" w:hAnsiTheme="minorHAnsi" w:cstheme="minorHAnsi"/>
          <w:b/>
          <w:bCs/>
        </w:rPr>
        <w:lastRenderedPageBreak/>
        <w:t>Findings and recommendations</w:t>
      </w:r>
      <w:bookmarkEnd w:id="538"/>
    </w:p>
    <w:p w14:paraId="5532DF29" w14:textId="139E9E01" w:rsidR="00C86D74" w:rsidRPr="00C95105" w:rsidRDefault="296618A9" w:rsidP="00C86D7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review found limited evidence that the three pay equity initiatives reduce organisation level gender pay gaps. The lack of evidence of impact in some cases reflected strategy ineffectiveness, while in others it reflected the scope of review papers which often, problematically, excluded analysis of pay outcomes. </w:t>
      </w:r>
    </w:p>
    <w:p w14:paraId="41BA55B3" w14:textId="15FA41A0" w:rsidR="00C86D74" w:rsidRPr="00C95105" w:rsidRDefault="0093280F" w:rsidP="00C86D7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More impactful strategies involved two or more of the pay equity </w:t>
      </w:r>
      <w:r w:rsidR="00014FD6" w:rsidRPr="00C95105">
        <w:rPr>
          <w:rFonts w:asciiTheme="minorHAnsi" w:hAnsiTheme="minorHAnsi" w:cstheme="minorHAnsi"/>
          <w:sz w:val="22"/>
          <w:szCs w:val="22"/>
        </w:rPr>
        <w:t>initiatives and</w:t>
      </w:r>
      <w:r w:rsidRPr="00C95105">
        <w:rPr>
          <w:rFonts w:asciiTheme="minorHAnsi" w:hAnsiTheme="minorHAnsi" w:cstheme="minorHAnsi"/>
          <w:sz w:val="22"/>
          <w:szCs w:val="22"/>
        </w:rPr>
        <w:t xml:space="preserve"> were directly linked to pay related decision processes. Legislation is a clear determinant of practice, with most review studies reporting initiatives in line with local legislation. Within the small sample of studies reporting on pay outcomes, a legislative mandate for remedial pay was the strongest predictor of pay equity information being used to make changes that reduced the pay gap. </w:t>
      </w:r>
    </w:p>
    <w:p w14:paraId="5553FE0D" w14:textId="7CA78586" w:rsidR="0093280F" w:rsidRPr="00C95105" w:rsidRDefault="0093280F" w:rsidP="00C86D7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findings relevant to each of the initiatives are presented individually below.  </w:t>
      </w:r>
    </w:p>
    <w:p w14:paraId="6D66069E" w14:textId="77777777" w:rsidR="00C86D74" w:rsidRPr="00C95105" w:rsidRDefault="00C86D74" w:rsidP="00C86D74">
      <w:pPr>
        <w:spacing w:after="120"/>
        <w:ind w:firstLine="567"/>
        <w:rPr>
          <w:rFonts w:asciiTheme="minorHAnsi" w:hAnsiTheme="minorHAnsi" w:cstheme="minorHAnsi"/>
          <w:sz w:val="22"/>
          <w:szCs w:val="22"/>
        </w:rPr>
      </w:pPr>
    </w:p>
    <w:p w14:paraId="12462E70" w14:textId="115602C9" w:rsidR="0093280F" w:rsidRPr="00C95105" w:rsidRDefault="0093280F" w:rsidP="00C86D74">
      <w:pPr>
        <w:pStyle w:val="TableParagraph"/>
        <w:spacing w:after="120"/>
        <w:ind w:left="0"/>
        <w:rPr>
          <w:rFonts w:asciiTheme="minorHAnsi" w:hAnsiTheme="minorHAnsi" w:cstheme="minorHAnsi"/>
          <w:b/>
          <w:bCs/>
          <w:lang w:val="en-AU"/>
        </w:rPr>
      </w:pPr>
      <w:bookmarkStart w:id="539" w:name="_Toc96878651"/>
      <w:r w:rsidRPr="00C95105">
        <w:rPr>
          <w:rFonts w:asciiTheme="minorHAnsi" w:hAnsiTheme="minorHAnsi" w:cstheme="minorHAnsi"/>
          <w:b/>
          <w:bCs/>
          <w:lang w:val="en-AU"/>
        </w:rPr>
        <w:t xml:space="preserve">Table </w:t>
      </w:r>
      <w:r w:rsidR="00C86D74" w:rsidRPr="00C95105">
        <w:rPr>
          <w:rFonts w:asciiTheme="minorHAnsi" w:hAnsiTheme="minorHAnsi" w:cstheme="minorHAnsi"/>
          <w:b/>
          <w:bCs/>
          <w:lang w:val="en-AU"/>
        </w:rPr>
        <w:t>5.</w:t>
      </w:r>
      <w:r w:rsidRPr="00C95105">
        <w:rPr>
          <w:rFonts w:asciiTheme="minorHAnsi" w:hAnsiTheme="minorHAnsi" w:cstheme="minorHAnsi"/>
          <w:b/>
          <w:bCs/>
          <w:lang w:val="en-AU"/>
        </w:rPr>
        <w:t xml:space="preserve">3. </w:t>
      </w:r>
      <w:r w:rsidRPr="00C95105">
        <w:rPr>
          <w:rFonts w:asciiTheme="minorHAnsi" w:hAnsiTheme="minorHAnsi" w:cstheme="minorHAnsi"/>
          <w:lang w:val="en-AU"/>
        </w:rPr>
        <w:t>Pay audit findings and recommendations</w:t>
      </w:r>
      <w:bookmarkEnd w:id="539"/>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328"/>
        <w:gridCol w:w="3492"/>
        <w:gridCol w:w="4394"/>
      </w:tblGrid>
      <w:tr w:rsidR="0093280F" w:rsidRPr="00C95105" w14:paraId="78BA5B86" w14:textId="77777777" w:rsidTr="60DD2AB3">
        <w:trPr>
          <w:trHeight w:val="607"/>
          <w:tblHeader/>
        </w:trPr>
        <w:tc>
          <w:tcPr>
            <w:tcW w:w="1328" w:type="dxa"/>
            <w:vAlign w:val="center"/>
          </w:tcPr>
          <w:p w14:paraId="29703FE0" w14:textId="77777777" w:rsidR="0093280F" w:rsidRPr="00C95105" w:rsidRDefault="0093280F" w:rsidP="00532791">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Area</w:t>
            </w:r>
          </w:p>
        </w:tc>
        <w:tc>
          <w:tcPr>
            <w:tcW w:w="3492" w:type="dxa"/>
            <w:vAlign w:val="center"/>
          </w:tcPr>
          <w:p w14:paraId="524F4F43" w14:textId="77777777" w:rsidR="0093280F" w:rsidRPr="00C95105" w:rsidRDefault="0093280F" w:rsidP="00532791">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Summary of findings</w:t>
            </w:r>
          </w:p>
        </w:tc>
        <w:tc>
          <w:tcPr>
            <w:tcW w:w="4394" w:type="dxa"/>
            <w:vAlign w:val="center"/>
          </w:tcPr>
          <w:p w14:paraId="47A0A3D7" w14:textId="77777777" w:rsidR="0093280F" w:rsidRPr="00C95105" w:rsidRDefault="0093280F" w:rsidP="00532791">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Recommendations</w:t>
            </w:r>
          </w:p>
        </w:tc>
      </w:tr>
      <w:tr w:rsidR="0093280F" w:rsidRPr="00C95105" w14:paraId="3360B190" w14:textId="77777777" w:rsidTr="60DD2AB3">
        <w:tc>
          <w:tcPr>
            <w:tcW w:w="1328" w:type="dxa"/>
          </w:tcPr>
          <w:p w14:paraId="20561D84"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b/>
                <w:bCs/>
                <w:sz w:val="22"/>
                <w:szCs w:val="22"/>
              </w:rPr>
              <w:t>Impact</w:t>
            </w:r>
          </w:p>
        </w:tc>
        <w:tc>
          <w:tcPr>
            <w:tcW w:w="3492" w:type="dxa"/>
          </w:tcPr>
          <w:p w14:paraId="22B711EB"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Of the three review initiatives, pay audits used in isolation had the least impact on pay gaps, with no studies reporting a pay gap reduction. The primary reason for this low impact was the information generated not being used widely, or at all.</w:t>
            </w:r>
          </w:p>
        </w:tc>
        <w:tc>
          <w:tcPr>
            <w:tcW w:w="4394" w:type="dxa"/>
          </w:tcPr>
          <w:p w14:paraId="64372A5A"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 pay audit is not inherently connected with pay related decision making, and as such is often implemented as a purely analytical exercise. To support the likelihood of information uptake, pay audits should be linked to one or more other pay equity initiatives and to pay related decisions.</w:t>
            </w:r>
          </w:p>
        </w:tc>
      </w:tr>
      <w:tr w:rsidR="006120AA" w:rsidRPr="00C95105" w14:paraId="40B6E200" w14:textId="77777777" w:rsidTr="00246858">
        <w:tc>
          <w:tcPr>
            <w:tcW w:w="9214" w:type="dxa"/>
            <w:gridSpan w:val="3"/>
          </w:tcPr>
          <w:p w14:paraId="585E9CEC" w14:textId="26D4DBEB" w:rsidR="006120AA" w:rsidRPr="00C95105" w:rsidRDefault="006120AA" w:rsidP="00532791">
            <w:pPr>
              <w:spacing w:after="120"/>
              <w:rPr>
                <w:rFonts w:asciiTheme="minorHAnsi" w:hAnsiTheme="minorHAnsi" w:cstheme="minorHAnsi"/>
                <w:sz w:val="22"/>
                <w:szCs w:val="22"/>
              </w:rPr>
            </w:pPr>
            <w:r w:rsidRPr="00C95105">
              <w:rPr>
                <w:rFonts w:asciiTheme="minorHAnsi" w:hAnsiTheme="minorHAnsi" w:cstheme="minorHAnsi"/>
                <w:b/>
                <w:bCs/>
                <w:sz w:val="22"/>
                <w:szCs w:val="22"/>
              </w:rPr>
              <w:t>Information quality</w:t>
            </w:r>
          </w:p>
        </w:tc>
      </w:tr>
      <w:tr w:rsidR="0093280F" w:rsidRPr="00C95105" w14:paraId="45620614" w14:textId="77777777" w:rsidTr="60DD2AB3">
        <w:tc>
          <w:tcPr>
            <w:tcW w:w="1328" w:type="dxa"/>
          </w:tcPr>
          <w:p w14:paraId="4308F2CA"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Tool / instrument / method selection</w:t>
            </w:r>
          </w:p>
          <w:p w14:paraId="49571296" w14:textId="77777777" w:rsidR="0093280F" w:rsidRPr="00C95105" w:rsidRDefault="0093280F" w:rsidP="00532791">
            <w:pPr>
              <w:spacing w:after="120"/>
              <w:rPr>
                <w:rFonts w:asciiTheme="minorHAnsi" w:hAnsiTheme="minorHAnsi" w:cstheme="minorHAnsi"/>
                <w:sz w:val="22"/>
                <w:szCs w:val="22"/>
              </w:rPr>
            </w:pPr>
          </w:p>
        </w:tc>
        <w:tc>
          <w:tcPr>
            <w:tcW w:w="3492" w:type="dxa"/>
          </w:tcPr>
          <w:p w14:paraId="2C70F13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 variety of pay audit instruments are used in practice; there is no consensus on best practice tool/instrument and little research on reasons behind instrument selection. Cost and proximity appear to shape tool selection, with a preference for free, locally designed tools.</w:t>
            </w:r>
          </w:p>
        </w:tc>
        <w:tc>
          <w:tcPr>
            <w:tcW w:w="4394" w:type="dxa"/>
          </w:tcPr>
          <w:p w14:paraId="03E293F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Variation in instrument selection reduces comparability across departments/agencies and may lead to inequities. </w:t>
            </w:r>
          </w:p>
          <w:p w14:paraId="26531B10" w14:textId="77777777" w:rsidR="0093280F" w:rsidRPr="00C95105" w:rsidRDefault="0093280F" w:rsidP="00532791">
            <w:pPr>
              <w:spacing w:after="120"/>
              <w:rPr>
                <w:rFonts w:asciiTheme="minorHAnsi" w:hAnsiTheme="minorHAnsi" w:cstheme="minorHAnsi"/>
                <w:sz w:val="22"/>
                <w:szCs w:val="22"/>
              </w:rPr>
            </w:pPr>
          </w:p>
          <w:p w14:paraId="5D41EE5B" w14:textId="254E23F1" w:rsidR="0093280F" w:rsidRPr="00C95105" w:rsidRDefault="296618A9" w:rsidP="00532791">
            <w:pPr>
              <w:spacing w:after="120"/>
              <w:rPr>
                <w:rFonts w:asciiTheme="minorHAnsi" w:hAnsiTheme="minorHAnsi" w:cstheme="minorHAnsi"/>
                <w:sz w:val="22"/>
                <w:szCs w:val="22"/>
              </w:rPr>
            </w:pPr>
            <w:r w:rsidRPr="00C95105">
              <w:rPr>
                <w:rFonts w:asciiTheme="minorHAnsi" w:hAnsiTheme="minorHAnsi" w:cstheme="minorHAnsi"/>
                <w:sz w:val="22"/>
                <w:szCs w:val="22"/>
              </w:rPr>
              <w:t>Unless there is a clear requirement for a specialist instrument, a standard, free instrument is preferable, as is presently offered by VPS.</w:t>
            </w:r>
          </w:p>
        </w:tc>
      </w:tr>
      <w:tr w:rsidR="0093280F" w:rsidRPr="00C95105" w14:paraId="61C47342" w14:textId="77777777" w:rsidTr="60DD2AB3">
        <w:tc>
          <w:tcPr>
            <w:tcW w:w="1328" w:type="dxa"/>
            <w:tcBorders>
              <w:bottom w:val="single" w:sz="4" w:space="0" w:color="auto"/>
            </w:tcBorders>
          </w:tcPr>
          <w:p w14:paraId="5C90121E"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Selecting the sample of employees to be included in audit</w:t>
            </w:r>
          </w:p>
        </w:tc>
        <w:tc>
          <w:tcPr>
            <w:tcW w:w="3492" w:type="dxa"/>
          </w:tcPr>
          <w:p w14:paraId="1E13F579" w14:textId="249D1EDE" w:rsidR="0093280F" w:rsidRPr="00C95105" w:rsidRDefault="296618A9" w:rsidP="00532791">
            <w:pPr>
              <w:spacing w:after="120"/>
              <w:rPr>
                <w:rFonts w:asciiTheme="minorHAnsi" w:hAnsiTheme="minorHAnsi" w:cstheme="minorHAnsi"/>
                <w:sz w:val="22"/>
                <w:szCs w:val="22"/>
              </w:rPr>
            </w:pPr>
            <w:r w:rsidRPr="00C95105">
              <w:rPr>
                <w:rFonts w:asciiTheme="minorHAnsi" w:hAnsiTheme="minorHAnsi" w:cstheme="minorHAnsi"/>
                <w:sz w:val="22"/>
                <w:szCs w:val="22"/>
              </w:rPr>
              <w:t>Analysis that excludes data at the extremes (“outliers”) often involves removing highly paid men and low paid women. This can artificially reduce the pay gap.</w:t>
            </w:r>
          </w:p>
          <w:p w14:paraId="7EBCDDFF"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Excluding employees on non-standard employment arrangements (e.g., casual, part-time) often removes low paid women, which artificially reduces the pay gap.</w:t>
            </w:r>
          </w:p>
        </w:tc>
        <w:tc>
          <w:tcPr>
            <w:tcW w:w="4394" w:type="dxa"/>
          </w:tcPr>
          <w:p w14:paraId="2E9D84EF"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Employee sample selection should generally include all employees.</w:t>
            </w:r>
          </w:p>
          <w:p w14:paraId="6C01A40E" w14:textId="77777777" w:rsidR="0093280F" w:rsidRPr="00C95105" w:rsidRDefault="0093280F" w:rsidP="00532791">
            <w:pPr>
              <w:spacing w:after="120"/>
              <w:rPr>
                <w:rFonts w:asciiTheme="minorHAnsi" w:hAnsiTheme="minorHAnsi" w:cstheme="minorHAnsi"/>
                <w:sz w:val="22"/>
                <w:szCs w:val="22"/>
              </w:rPr>
            </w:pPr>
          </w:p>
          <w:p w14:paraId="15FFA81F" w14:textId="77777777" w:rsidR="0093280F" w:rsidRPr="00C95105" w:rsidRDefault="0093280F" w:rsidP="00532791">
            <w:pPr>
              <w:spacing w:after="120"/>
              <w:rPr>
                <w:rFonts w:asciiTheme="minorHAnsi" w:hAnsiTheme="minorHAnsi" w:cstheme="minorHAnsi"/>
                <w:sz w:val="22"/>
                <w:szCs w:val="22"/>
              </w:rPr>
            </w:pPr>
          </w:p>
          <w:p w14:paraId="0BE16AA2"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Any decisions to remove employee categories should be fully justified and an analysis should be conducted to assess the implications for gender pay gaps in the sample.</w:t>
            </w:r>
          </w:p>
        </w:tc>
      </w:tr>
      <w:tr w:rsidR="0093280F" w:rsidRPr="00C95105" w14:paraId="4855FEF6" w14:textId="77777777" w:rsidTr="60DD2AB3">
        <w:tc>
          <w:tcPr>
            <w:tcW w:w="1328" w:type="dxa"/>
            <w:tcBorders>
              <w:bottom w:val="nil"/>
            </w:tcBorders>
          </w:tcPr>
          <w:p w14:paraId="4886A3D6"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Selecting the data items </w:t>
            </w:r>
            <w:r w:rsidRPr="00C95105">
              <w:rPr>
                <w:rFonts w:asciiTheme="minorHAnsi" w:hAnsiTheme="minorHAnsi" w:cstheme="minorHAnsi"/>
                <w:sz w:val="22"/>
                <w:szCs w:val="22"/>
              </w:rPr>
              <w:lastRenderedPageBreak/>
              <w:t>(variables) to be included in audit</w:t>
            </w:r>
          </w:p>
        </w:tc>
        <w:tc>
          <w:tcPr>
            <w:tcW w:w="3492" w:type="dxa"/>
          </w:tcPr>
          <w:p w14:paraId="7048220E"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 xml:space="preserve">The data items included in an audit can impact results. Some items, such as performance rating, can be </w:t>
            </w:r>
            <w:r w:rsidRPr="00C95105">
              <w:rPr>
                <w:rFonts w:asciiTheme="minorHAnsi" w:hAnsiTheme="minorHAnsi" w:cstheme="minorHAnsi"/>
                <w:sz w:val="22"/>
                <w:szCs w:val="22"/>
              </w:rPr>
              <w:lastRenderedPageBreak/>
              <w:t>subject to gender bias. Counting these items as not related to (‘independent of’) gender may artificially reduce the ‘residual’ pay gap – which is the amount of the pay gap that cannot be explained by factors other than gender.</w:t>
            </w:r>
          </w:p>
        </w:tc>
        <w:tc>
          <w:tcPr>
            <w:tcW w:w="4394" w:type="dxa"/>
          </w:tcPr>
          <w:p w14:paraId="1A4F60B5"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All variable selection should be assessed with a gender lens to consider potential bias.</w:t>
            </w:r>
          </w:p>
          <w:p w14:paraId="723DCFB3"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For variables identified as a predictor of pay disparity (e.g., performance, experience, tenure), the relevant organisational processes (e.g., performance measurement, career development, retention management) should be assessed for gender bias.</w:t>
            </w:r>
          </w:p>
        </w:tc>
      </w:tr>
      <w:tr w:rsidR="0093280F" w:rsidRPr="00C95105" w14:paraId="3B98277B" w14:textId="77777777" w:rsidTr="60DD2AB3">
        <w:tc>
          <w:tcPr>
            <w:tcW w:w="1328" w:type="dxa"/>
            <w:tcBorders>
              <w:top w:val="nil"/>
            </w:tcBorders>
          </w:tcPr>
          <w:p w14:paraId="262303CD" w14:textId="77777777" w:rsidR="0093280F" w:rsidRPr="00C95105" w:rsidRDefault="0093280F" w:rsidP="00532791">
            <w:pPr>
              <w:spacing w:after="120"/>
              <w:rPr>
                <w:rFonts w:asciiTheme="minorHAnsi" w:hAnsiTheme="minorHAnsi" w:cstheme="minorHAnsi"/>
                <w:sz w:val="22"/>
                <w:szCs w:val="22"/>
              </w:rPr>
            </w:pPr>
          </w:p>
        </w:tc>
        <w:tc>
          <w:tcPr>
            <w:tcW w:w="3492" w:type="dxa"/>
          </w:tcPr>
          <w:p w14:paraId="2855A08C"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In settings where legislation prescribes pay remediation but does not prescribe a standard audit method (e.g., France and Sweden), organisations may test different formula to find the one that results in the lowest pay gap.</w:t>
            </w:r>
          </w:p>
        </w:tc>
        <w:tc>
          <w:tcPr>
            <w:tcW w:w="4394" w:type="dxa"/>
          </w:tcPr>
          <w:p w14:paraId="77FCE2DD"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 standardised tool or formula may improve accuracy and comparability across departments and agencies.</w:t>
            </w:r>
          </w:p>
        </w:tc>
      </w:tr>
      <w:tr w:rsidR="006120AA" w:rsidRPr="00C95105" w14:paraId="6AA3E003" w14:textId="77777777" w:rsidTr="00B937F8">
        <w:tc>
          <w:tcPr>
            <w:tcW w:w="9214" w:type="dxa"/>
            <w:gridSpan w:val="3"/>
          </w:tcPr>
          <w:p w14:paraId="4FE04AD6" w14:textId="7E4BB897" w:rsidR="006120AA" w:rsidRPr="00C95105" w:rsidRDefault="006120AA" w:rsidP="00532791">
            <w:pPr>
              <w:spacing w:after="120"/>
              <w:rPr>
                <w:rFonts w:asciiTheme="minorHAnsi" w:hAnsiTheme="minorHAnsi" w:cstheme="minorHAnsi"/>
                <w:sz w:val="22"/>
                <w:szCs w:val="22"/>
              </w:rPr>
            </w:pPr>
            <w:r w:rsidRPr="00C95105">
              <w:rPr>
                <w:rFonts w:asciiTheme="minorHAnsi" w:hAnsiTheme="minorHAnsi" w:cstheme="minorHAnsi"/>
                <w:b/>
                <w:bCs/>
                <w:sz w:val="22"/>
                <w:szCs w:val="22"/>
              </w:rPr>
              <w:t>Information use</w:t>
            </w:r>
          </w:p>
        </w:tc>
      </w:tr>
      <w:tr w:rsidR="0093280F" w:rsidRPr="00C95105" w14:paraId="0484FF02" w14:textId="77777777" w:rsidTr="60DD2AB3">
        <w:tc>
          <w:tcPr>
            <w:tcW w:w="1328" w:type="dxa"/>
          </w:tcPr>
          <w:p w14:paraId="2BD5BEFD" w14:textId="77777777" w:rsidR="0093280F" w:rsidRPr="00C95105" w:rsidRDefault="0093280F" w:rsidP="00532791">
            <w:pPr>
              <w:spacing w:after="120"/>
              <w:rPr>
                <w:rFonts w:asciiTheme="minorHAnsi" w:hAnsiTheme="minorHAnsi" w:cstheme="minorHAnsi"/>
                <w:b/>
                <w:bCs/>
                <w:sz w:val="22"/>
                <w:szCs w:val="22"/>
              </w:rPr>
            </w:pPr>
            <w:r w:rsidRPr="00C95105">
              <w:rPr>
                <w:rFonts w:asciiTheme="minorHAnsi" w:hAnsiTheme="minorHAnsi" w:cstheme="minorHAnsi"/>
                <w:sz w:val="22"/>
                <w:szCs w:val="22"/>
              </w:rPr>
              <w:t>Rejection of bias</w:t>
            </w:r>
          </w:p>
        </w:tc>
        <w:tc>
          <w:tcPr>
            <w:tcW w:w="3492" w:type="dxa"/>
          </w:tcPr>
          <w:p w14:paraId="420CB8F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The most common barrier to audit information being used to change pay related practices is rejection by line and/or senior management of the notion that any pay disparities identified result from pay inequity.</w:t>
            </w:r>
          </w:p>
        </w:tc>
        <w:tc>
          <w:tcPr>
            <w:tcW w:w="4394" w:type="dxa"/>
          </w:tcPr>
          <w:p w14:paraId="7D20B963"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Communication of pay audit methodology prior to analysis may reduce denial of results. </w:t>
            </w:r>
          </w:p>
          <w:p w14:paraId="6B750D1D"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Raising awareness about the causes and consequences of pay inequity may reduce denial of systemic gender bias.</w:t>
            </w:r>
          </w:p>
        </w:tc>
      </w:tr>
      <w:tr w:rsidR="0093280F" w:rsidRPr="00C95105" w14:paraId="248EEFFF" w14:textId="77777777" w:rsidTr="60DD2AB3">
        <w:tc>
          <w:tcPr>
            <w:tcW w:w="1328" w:type="dxa"/>
          </w:tcPr>
          <w:p w14:paraId="7D37B1BC" w14:textId="77777777" w:rsidR="0093280F" w:rsidRPr="00C95105" w:rsidRDefault="0093280F" w:rsidP="00532791">
            <w:pPr>
              <w:spacing w:after="120"/>
              <w:rPr>
                <w:rFonts w:asciiTheme="minorHAnsi" w:hAnsiTheme="minorHAnsi" w:cstheme="minorHAnsi"/>
                <w:sz w:val="22"/>
                <w:szCs w:val="22"/>
                <w:highlight w:val="yellow"/>
              </w:rPr>
            </w:pPr>
            <w:r w:rsidRPr="00C95105">
              <w:rPr>
                <w:rFonts w:asciiTheme="minorHAnsi" w:hAnsiTheme="minorHAnsi" w:cstheme="minorHAnsi"/>
                <w:sz w:val="22"/>
                <w:szCs w:val="22"/>
              </w:rPr>
              <w:t>Statistical literacy</w:t>
            </w:r>
          </w:p>
        </w:tc>
        <w:tc>
          <w:tcPr>
            <w:tcW w:w="3492" w:type="dxa"/>
          </w:tcPr>
          <w:p w14:paraId="5CAA7A79"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The statistical literacy required to understand and interpret pay audits is not common beyond specialist roles. This may impede widespread engagement with results and/or impede scrutiny of methodology. </w:t>
            </w:r>
          </w:p>
          <w:p w14:paraId="1329537E" w14:textId="77777777" w:rsidR="0093280F" w:rsidRPr="00C95105" w:rsidRDefault="0093280F" w:rsidP="00532791">
            <w:pPr>
              <w:spacing w:after="120"/>
              <w:rPr>
                <w:rFonts w:asciiTheme="minorHAnsi" w:hAnsiTheme="minorHAnsi" w:cstheme="minorHAnsi"/>
                <w:sz w:val="22"/>
                <w:szCs w:val="22"/>
              </w:rPr>
            </w:pPr>
          </w:p>
        </w:tc>
        <w:tc>
          <w:tcPr>
            <w:tcW w:w="4394" w:type="dxa"/>
          </w:tcPr>
          <w:p w14:paraId="3374D2F4"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Training in statistical literacy related to pay audits should be conducted within the VPS.</w:t>
            </w:r>
          </w:p>
          <w:p w14:paraId="23CDADBD"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Results must be presented in ways that are widely comprehensible to increase engagement and scrutiny.</w:t>
            </w:r>
          </w:p>
        </w:tc>
      </w:tr>
    </w:tbl>
    <w:p w14:paraId="1A99D64A" w14:textId="77777777" w:rsidR="0093280F" w:rsidRPr="00C95105" w:rsidRDefault="0093280F" w:rsidP="0093280F">
      <w:pPr>
        <w:spacing w:after="120"/>
        <w:rPr>
          <w:rFonts w:asciiTheme="minorHAnsi" w:hAnsiTheme="minorHAnsi" w:cstheme="minorHAnsi"/>
          <w:sz w:val="22"/>
          <w:szCs w:val="22"/>
        </w:rPr>
      </w:pPr>
    </w:p>
    <w:p w14:paraId="1ABEA7C2" w14:textId="77777777" w:rsidR="0093280F" w:rsidRPr="00C95105" w:rsidRDefault="0093280F" w:rsidP="0093280F">
      <w:pPr>
        <w:spacing w:after="120"/>
        <w:rPr>
          <w:rFonts w:asciiTheme="minorHAnsi" w:hAnsiTheme="minorHAnsi" w:cstheme="minorHAnsi"/>
          <w:sz w:val="22"/>
          <w:szCs w:val="22"/>
        </w:rPr>
      </w:pPr>
    </w:p>
    <w:p w14:paraId="1F366CE9" w14:textId="77777777" w:rsidR="0093280F" w:rsidRPr="00C95105" w:rsidRDefault="0093280F" w:rsidP="0093280F">
      <w:pPr>
        <w:spacing w:after="120"/>
        <w:rPr>
          <w:rFonts w:asciiTheme="minorHAnsi" w:hAnsiTheme="minorHAnsi" w:cstheme="minorHAnsi"/>
          <w:sz w:val="22"/>
          <w:szCs w:val="22"/>
        </w:rPr>
      </w:pPr>
      <w:r w:rsidRPr="00C95105">
        <w:rPr>
          <w:rFonts w:asciiTheme="minorHAnsi" w:hAnsiTheme="minorHAnsi" w:cstheme="minorHAnsi"/>
          <w:sz w:val="22"/>
          <w:szCs w:val="22"/>
        </w:rPr>
        <w:br w:type="page"/>
      </w:r>
    </w:p>
    <w:p w14:paraId="05FCD94D" w14:textId="1A6877CC" w:rsidR="0093280F" w:rsidRPr="00C95105" w:rsidRDefault="0093280F" w:rsidP="00C86D74">
      <w:pPr>
        <w:pStyle w:val="TableParagraph"/>
        <w:spacing w:after="120"/>
        <w:ind w:left="0"/>
        <w:rPr>
          <w:rFonts w:asciiTheme="minorHAnsi" w:hAnsiTheme="minorHAnsi" w:cstheme="minorHAnsi"/>
          <w:b/>
          <w:bCs/>
          <w:lang w:val="en-AU"/>
        </w:rPr>
      </w:pPr>
      <w:bookmarkStart w:id="540" w:name="_Toc96878652"/>
      <w:r w:rsidRPr="00C95105">
        <w:rPr>
          <w:rFonts w:asciiTheme="minorHAnsi" w:hAnsiTheme="minorHAnsi" w:cstheme="minorHAnsi"/>
          <w:b/>
          <w:bCs/>
          <w:lang w:val="en-AU"/>
        </w:rPr>
        <w:lastRenderedPageBreak/>
        <w:t xml:space="preserve">Table </w:t>
      </w:r>
      <w:r w:rsidR="00C86D74" w:rsidRPr="00C95105">
        <w:rPr>
          <w:rFonts w:asciiTheme="minorHAnsi" w:hAnsiTheme="minorHAnsi" w:cstheme="minorHAnsi"/>
          <w:b/>
          <w:bCs/>
          <w:lang w:val="en-AU"/>
        </w:rPr>
        <w:t>5.</w:t>
      </w:r>
      <w:r w:rsidRPr="00C95105">
        <w:rPr>
          <w:rFonts w:asciiTheme="minorHAnsi" w:hAnsiTheme="minorHAnsi" w:cstheme="minorHAnsi"/>
          <w:b/>
          <w:bCs/>
          <w:lang w:val="en-AU"/>
        </w:rPr>
        <w:t xml:space="preserve">4. </w:t>
      </w:r>
      <w:r w:rsidRPr="00C95105">
        <w:rPr>
          <w:rFonts w:asciiTheme="minorHAnsi" w:hAnsiTheme="minorHAnsi" w:cstheme="minorHAnsi"/>
          <w:lang w:val="en-AU"/>
        </w:rPr>
        <w:t>Job evaluation findings and recommendations</w:t>
      </w:r>
      <w:bookmarkEnd w:id="540"/>
    </w:p>
    <w:tbl>
      <w:tblPr>
        <w:tblStyle w:val="TableGrid"/>
        <w:tblW w:w="9247" w:type="dxa"/>
        <w:tblBorders>
          <w:left w:val="none" w:sz="0" w:space="0" w:color="auto"/>
          <w:right w:val="none" w:sz="0" w:space="0" w:color="auto"/>
          <w:insideV w:val="none" w:sz="0" w:space="0" w:color="auto"/>
        </w:tblBorders>
        <w:tblLook w:val="04A0" w:firstRow="1" w:lastRow="0" w:firstColumn="1" w:lastColumn="0" w:noHBand="0" w:noVBand="1"/>
      </w:tblPr>
      <w:tblGrid>
        <w:gridCol w:w="1420"/>
        <w:gridCol w:w="3716"/>
        <w:gridCol w:w="4111"/>
      </w:tblGrid>
      <w:tr w:rsidR="0093280F" w:rsidRPr="00C95105" w14:paraId="31FB99F3" w14:textId="77777777" w:rsidTr="60DD2AB3">
        <w:trPr>
          <w:trHeight w:val="607"/>
          <w:tblHeader/>
        </w:trPr>
        <w:tc>
          <w:tcPr>
            <w:tcW w:w="1420" w:type="dxa"/>
            <w:tcBorders>
              <w:bottom w:val="single" w:sz="4" w:space="0" w:color="auto"/>
            </w:tcBorders>
          </w:tcPr>
          <w:p w14:paraId="50290A5B" w14:textId="77777777" w:rsidR="0093280F" w:rsidRPr="00C95105" w:rsidRDefault="0093280F" w:rsidP="00532791">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Area</w:t>
            </w:r>
          </w:p>
        </w:tc>
        <w:tc>
          <w:tcPr>
            <w:tcW w:w="3716" w:type="dxa"/>
          </w:tcPr>
          <w:p w14:paraId="517F256A" w14:textId="77777777" w:rsidR="0093280F" w:rsidRPr="00C95105" w:rsidRDefault="0093280F" w:rsidP="00532791">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Summary of findings</w:t>
            </w:r>
          </w:p>
        </w:tc>
        <w:tc>
          <w:tcPr>
            <w:tcW w:w="4111" w:type="dxa"/>
          </w:tcPr>
          <w:p w14:paraId="15CB43FA" w14:textId="77777777" w:rsidR="0093280F" w:rsidRPr="00C95105" w:rsidRDefault="0093280F" w:rsidP="00532791">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Recommendations</w:t>
            </w:r>
          </w:p>
        </w:tc>
      </w:tr>
      <w:tr w:rsidR="0093280F" w:rsidRPr="00C95105" w14:paraId="13E33A39" w14:textId="77777777" w:rsidTr="60DD2AB3">
        <w:tc>
          <w:tcPr>
            <w:tcW w:w="1420" w:type="dxa"/>
            <w:tcBorders>
              <w:bottom w:val="nil"/>
            </w:tcBorders>
          </w:tcPr>
          <w:p w14:paraId="1C4DC7BC" w14:textId="77777777" w:rsidR="0093280F" w:rsidRPr="00C95105" w:rsidRDefault="0093280F" w:rsidP="00532791">
            <w:pPr>
              <w:spacing w:after="120"/>
              <w:rPr>
                <w:rFonts w:asciiTheme="minorHAnsi" w:hAnsiTheme="minorHAnsi" w:cstheme="minorHAnsi"/>
                <w:b/>
                <w:bCs/>
                <w:sz w:val="22"/>
                <w:szCs w:val="22"/>
              </w:rPr>
            </w:pPr>
            <w:r w:rsidRPr="00C95105">
              <w:rPr>
                <w:rFonts w:asciiTheme="minorHAnsi" w:hAnsiTheme="minorHAnsi" w:cstheme="minorHAnsi"/>
                <w:b/>
                <w:bCs/>
                <w:sz w:val="22"/>
                <w:szCs w:val="22"/>
              </w:rPr>
              <w:t>Impact</w:t>
            </w:r>
          </w:p>
        </w:tc>
        <w:tc>
          <w:tcPr>
            <w:tcW w:w="3716" w:type="dxa"/>
          </w:tcPr>
          <w:p w14:paraId="6EF44392"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Basing pay structures on formal job evaluation is associated with lower pay gaps than systems based on individual pay negotiation.</w:t>
            </w:r>
          </w:p>
        </w:tc>
        <w:tc>
          <w:tcPr>
            <w:tcW w:w="4111" w:type="dxa"/>
          </w:tcPr>
          <w:p w14:paraId="2BD134CC"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Formal job evaluation should form the basis of pay structures. Job evaluation systems should be designed with consideration of potential gender bias in criteria or weightings.</w:t>
            </w:r>
          </w:p>
        </w:tc>
      </w:tr>
      <w:tr w:rsidR="0093280F" w:rsidRPr="00C95105" w14:paraId="0DB89A30" w14:textId="77777777" w:rsidTr="60DD2AB3">
        <w:tc>
          <w:tcPr>
            <w:tcW w:w="1420" w:type="dxa"/>
            <w:tcBorders>
              <w:top w:val="nil"/>
            </w:tcBorders>
          </w:tcPr>
          <w:p w14:paraId="0F3D5475" w14:textId="77777777" w:rsidR="0093280F" w:rsidRPr="00C95105" w:rsidRDefault="0093280F" w:rsidP="00532791">
            <w:pPr>
              <w:spacing w:after="120"/>
              <w:rPr>
                <w:rFonts w:asciiTheme="minorHAnsi" w:hAnsiTheme="minorHAnsi" w:cstheme="minorHAnsi"/>
                <w:b/>
                <w:bCs/>
                <w:sz w:val="22"/>
                <w:szCs w:val="22"/>
              </w:rPr>
            </w:pPr>
          </w:p>
        </w:tc>
        <w:tc>
          <w:tcPr>
            <w:tcW w:w="3716" w:type="dxa"/>
          </w:tcPr>
          <w:p w14:paraId="3EDDC560"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Using comparative job evaluation to inform pay and/or pay structure adjustments to remedy an undervaluation of female-dominated jobs can reduce a gender pay gap in the short term. </w:t>
            </w:r>
          </w:p>
          <w:p w14:paraId="5CE9C88B" w14:textId="77777777" w:rsidR="0093280F" w:rsidRPr="00C95105" w:rsidRDefault="0093280F" w:rsidP="00532791">
            <w:pPr>
              <w:spacing w:after="120"/>
              <w:rPr>
                <w:rFonts w:asciiTheme="minorHAnsi" w:hAnsiTheme="minorHAnsi" w:cstheme="minorHAnsi"/>
                <w:sz w:val="22"/>
                <w:szCs w:val="22"/>
              </w:rPr>
            </w:pPr>
          </w:p>
          <w:p w14:paraId="0FBF6014" w14:textId="77777777" w:rsidR="0093280F" w:rsidRPr="00C95105" w:rsidRDefault="0093280F" w:rsidP="00532791">
            <w:pPr>
              <w:spacing w:after="120"/>
              <w:rPr>
                <w:rFonts w:asciiTheme="minorHAnsi" w:hAnsiTheme="minorHAnsi" w:cstheme="minorHAnsi"/>
                <w:sz w:val="22"/>
                <w:szCs w:val="22"/>
              </w:rPr>
            </w:pPr>
          </w:p>
        </w:tc>
        <w:tc>
          <w:tcPr>
            <w:tcW w:w="4111" w:type="dxa"/>
          </w:tcPr>
          <w:p w14:paraId="3BD5A21A"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Comparative job evaluation should be conducted if pay audits reveal a clear pay disparity between comparable positions that are male- and female- dominated. Markers of comparability may include similar duties, skills/qualification requirements or managerial responsibilities. Pay gap monitoring should be conducted to assess impact over longer periods and monitor for the emergence of new pay inequities.</w:t>
            </w:r>
          </w:p>
        </w:tc>
      </w:tr>
      <w:tr w:rsidR="006120AA" w:rsidRPr="00C95105" w14:paraId="3D480489" w14:textId="77777777" w:rsidTr="00FA21D1">
        <w:tc>
          <w:tcPr>
            <w:tcW w:w="9247" w:type="dxa"/>
            <w:gridSpan w:val="3"/>
          </w:tcPr>
          <w:p w14:paraId="5AB3C2E0" w14:textId="23276D95" w:rsidR="006120AA" w:rsidRPr="00C95105" w:rsidRDefault="006120AA" w:rsidP="00532791">
            <w:pPr>
              <w:spacing w:after="120"/>
              <w:rPr>
                <w:rFonts w:asciiTheme="minorHAnsi" w:hAnsiTheme="minorHAnsi" w:cstheme="minorHAnsi"/>
                <w:sz w:val="22"/>
                <w:szCs w:val="22"/>
              </w:rPr>
            </w:pPr>
            <w:r w:rsidRPr="00C95105">
              <w:rPr>
                <w:rFonts w:asciiTheme="minorHAnsi" w:hAnsiTheme="minorHAnsi" w:cstheme="minorHAnsi"/>
                <w:b/>
                <w:bCs/>
                <w:sz w:val="22"/>
                <w:szCs w:val="22"/>
              </w:rPr>
              <w:t>Information quality</w:t>
            </w:r>
          </w:p>
        </w:tc>
      </w:tr>
      <w:tr w:rsidR="0093280F" w:rsidRPr="00C95105" w14:paraId="7389DB2D" w14:textId="77777777" w:rsidTr="60DD2AB3">
        <w:tc>
          <w:tcPr>
            <w:tcW w:w="1420" w:type="dxa"/>
          </w:tcPr>
          <w:p w14:paraId="0EE2CA99"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Tool / instrument / method selection</w:t>
            </w:r>
          </w:p>
          <w:p w14:paraId="2D83065B" w14:textId="77777777" w:rsidR="0093280F" w:rsidRPr="00C95105" w:rsidRDefault="0093280F" w:rsidP="00532791">
            <w:pPr>
              <w:spacing w:after="120"/>
              <w:rPr>
                <w:rFonts w:asciiTheme="minorHAnsi" w:hAnsiTheme="minorHAnsi" w:cstheme="minorHAnsi"/>
                <w:sz w:val="22"/>
                <w:szCs w:val="22"/>
              </w:rPr>
            </w:pPr>
          </w:p>
        </w:tc>
        <w:tc>
          <w:tcPr>
            <w:tcW w:w="3716" w:type="dxa"/>
          </w:tcPr>
          <w:p w14:paraId="1697A26F" w14:textId="1976F7C0" w:rsidR="0093280F" w:rsidRPr="00C95105" w:rsidRDefault="296618A9"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 variety of instruments are used to undertake a comparative job evaluation, with most adopting a points-based system that awards a set number points for different skills, responsibilities etc. There is no consensus on best practice tool/instrument and little research on reasons behind instrument selection. </w:t>
            </w:r>
          </w:p>
          <w:p w14:paraId="523F39D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Variation in instrument selection across public sector agencies reduces comparability and may lead to inequities. </w:t>
            </w:r>
          </w:p>
        </w:tc>
        <w:tc>
          <w:tcPr>
            <w:tcW w:w="4111" w:type="dxa"/>
          </w:tcPr>
          <w:p w14:paraId="5E9ACBD0"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Unless there is a clear requirement for a specialist instrument, a gender inclusive, VPS-wide job evaluation instrument is preferable.</w:t>
            </w:r>
          </w:p>
        </w:tc>
      </w:tr>
      <w:tr w:rsidR="0093280F" w:rsidRPr="00C95105" w14:paraId="252C8053" w14:textId="77777777" w:rsidTr="60DD2AB3">
        <w:tc>
          <w:tcPr>
            <w:tcW w:w="1420" w:type="dxa"/>
          </w:tcPr>
          <w:p w14:paraId="0AAA4DC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Job category gender allocation  </w:t>
            </w:r>
          </w:p>
        </w:tc>
        <w:tc>
          <w:tcPr>
            <w:tcW w:w="3716" w:type="dxa"/>
          </w:tcPr>
          <w:p w14:paraId="42768BA8"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Analysing pay disparity across job categories (e.g., computer engineers and administrators) overlooks within job category disparities. This likely disadvantages women in male-dominated jobs categories (e.g., female computer engineers) who are often lower paid than male counterparts. </w:t>
            </w:r>
          </w:p>
        </w:tc>
        <w:tc>
          <w:tcPr>
            <w:tcW w:w="4111" w:type="dxa"/>
          </w:tcPr>
          <w:p w14:paraId="58D886FE"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Job evaluation comparisons should be conducted alongside analyses of within job category pay disparity via gender pay audits. This will generate more comprehensive data on organisational pay equity than job evaluation alone. </w:t>
            </w:r>
          </w:p>
          <w:p w14:paraId="05BFABBF" w14:textId="77777777" w:rsidR="0093280F" w:rsidRPr="00C95105" w:rsidRDefault="0093280F" w:rsidP="00532791">
            <w:pPr>
              <w:spacing w:after="120"/>
              <w:rPr>
                <w:rFonts w:asciiTheme="minorHAnsi" w:hAnsiTheme="minorHAnsi" w:cstheme="minorHAnsi"/>
                <w:sz w:val="22"/>
                <w:szCs w:val="22"/>
              </w:rPr>
            </w:pPr>
          </w:p>
        </w:tc>
      </w:tr>
      <w:tr w:rsidR="0093280F" w:rsidRPr="00C95105" w14:paraId="3CCF8D57" w14:textId="77777777" w:rsidTr="60DD2AB3">
        <w:tc>
          <w:tcPr>
            <w:tcW w:w="1420" w:type="dxa"/>
            <w:tcBorders>
              <w:bottom w:val="single" w:sz="4" w:space="0" w:color="auto"/>
            </w:tcBorders>
          </w:tcPr>
          <w:p w14:paraId="3743C3FF"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Job characteristic selection</w:t>
            </w:r>
          </w:p>
        </w:tc>
        <w:tc>
          <w:tcPr>
            <w:tcW w:w="3716" w:type="dxa"/>
          </w:tcPr>
          <w:p w14:paraId="3DC2F14B"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All job characteristics (skill, experience, responsibility) are subject to gender bias; the more subjective the measure, the higher the risk of gender bias in assessments. </w:t>
            </w:r>
          </w:p>
        </w:tc>
        <w:tc>
          <w:tcPr>
            <w:tcW w:w="4111" w:type="dxa"/>
          </w:tcPr>
          <w:p w14:paraId="7AAF940C"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Job characteristics selected for assessment should be as objective as possible. A characteristic is more objective if it can be verified with some form of data beyond individual opinion, for example, </w:t>
            </w:r>
            <w:r w:rsidRPr="00C95105">
              <w:rPr>
                <w:rFonts w:asciiTheme="minorHAnsi" w:hAnsiTheme="minorHAnsi" w:cstheme="minorHAnsi"/>
                <w:sz w:val="22"/>
                <w:szCs w:val="22"/>
              </w:rPr>
              <w:lastRenderedPageBreak/>
              <w:t xml:space="preserve">educational qualifications as opposed to ‘skill’.  </w:t>
            </w:r>
          </w:p>
        </w:tc>
      </w:tr>
      <w:tr w:rsidR="0093280F" w:rsidRPr="00C95105" w14:paraId="3482FCB8" w14:textId="77777777" w:rsidTr="60DD2AB3">
        <w:tc>
          <w:tcPr>
            <w:tcW w:w="1420" w:type="dxa"/>
            <w:tcBorders>
              <w:bottom w:val="nil"/>
            </w:tcBorders>
          </w:tcPr>
          <w:p w14:paraId="016E1B8D"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Job worth assessment</w:t>
            </w:r>
          </w:p>
        </w:tc>
        <w:tc>
          <w:tcPr>
            <w:tcW w:w="3716" w:type="dxa"/>
          </w:tcPr>
          <w:p w14:paraId="782394A2"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Attributing (monetary) value to job characteristics is the most contested stage of comparative job evaluation. Male assessors tend to assign lower value scores to stereotypically female job skills and/or responsibilities such interpersonal skills and caring responsibilities. </w:t>
            </w:r>
          </w:p>
          <w:p w14:paraId="080A15B3" w14:textId="77777777" w:rsidR="0093280F" w:rsidRPr="00C95105" w:rsidRDefault="0093280F" w:rsidP="00532791">
            <w:pPr>
              <w:spacing w:after="120"/>
              <w:rPr>
                <w:rFonts w:asciiTheme="minorHAnsi" w:hAnsiTheme="minorHAnsi" w:cstheme="minorHAnsi"/>
                <w:sz w:val="22"/>
                <w:szCs w:val="22"/>
              </w:rPr>
            </w:pPr>
          </w:p>
        </w:tc>
        <w:tc>
          <w:tcPr>
            <w:tcW w:w="4111" w:type="dxa"/>
          </w:tcPr>
          <w:p w14:paraId="05EF2303"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Transparent and consistent criteria about how to assign value should be agreed upon in advance. The criteria should be consistent across job categories.</w:t>
            </w:r>
          </w:p>
          <w:p w14:paraId="421ED94B"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Awareness should be raised about gender bias in the valuation of stereotypically gendered skills. This may include gender bias training directly relating to job evaluation for those involved in assessments.</w:t>
            </w:r>
          </w:p>
        </w:tc>
      </w:tr>
      <w:tr w:rsidR="0093280F" w:rsidRPr="00C95105" w14:paraId="096EAABB" w14:textId="77777777" w:rsidTr="60DD2AB3">
        <w:tc>
          <w:tcPr>
            <w:tcW w:w="1420" w:type="dxa"/>
            <w:tcBorders>
              <w:top w:val="nil"/>
            </w:tcBorders>
          </w:tcPr>
          <w:p w14:paraId="2025FCF5" w14:textId="77777777" w:rsidR="0093280F" w:rsidRPr="00C95105" w:rsidRDefault="0093280F" w:rsidP="00532791">
            <w:pPr>
              <w:spacing w:after="120"/>
              <w:rPr>
                <w:rFonts w:asciiTheme="minorHAnsi" w:hAnsiTheme="minorHAnsi" w:cstheme="minorHAnsi"/>
                <w:sz w:val="22"/>
                <w:szCs w:val="22"/>
              </w:rPr>
            </w:pPr>
          </w:p>
        </w:tc>
        <w:tc>
          <w:tcPr>
            <w:tcW w:w="3716" w:type="dxa"/>
          </w:tcPr>
          <w:p w14:paraId="6C65FBDF"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Job evaluation contractors often apply valuations that reflect the current market pay rates to organisation level job assessments; this fails to assess for gender bias in market pay rates, which can reinforce prevailing gender bias.</w:t>
            </w:r>
          </w:p>
        </w:tc>
        <w:tc>
          <w:tcPr>
            <w:tcW w:w="4111" w:type="dxa"/>
          </w:tcPr>
          <w:p w14:paraId="1F7C950C"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Pay equity analysis capability within the VPS should be supported to reduce the need to outsource job evaluation assessment. Job evaluation criteria and weightings should reflect the value generated by a role for the VPS.</w:t>
            </w:r>
          </w:p>
        </w:tc>
      </w:tr>
      <w:tr w:rsidR="006120AA" w:rsidRPr="00C95105" w14:paraId="3EB8EA9F" w14:textId="77777777" w:rsidTr="00DF78EF">
        <w:tc>
          <w:tcPr>
            <w:tcW w:w="9247" w:type="dxa"/>
            <w:gridSpan w:val="3"/>
          </w:tcPr>
          <w:p w14:paraId="74676C76" w14:textId="2F9F8EF9" w:rsidR="006120AA" w:rsidRPr="00C95105" w:rsidRDefault="006120AA" w:rsidP="00532791">
            <w:pPr>
              <w:spacing w:after="120"/>
              <w:rPr>
                <w:rFonts w:asciiTheme="minorHAnsi" w:hAnsiTheme="minorHAnsi" w:cstheme="minorHAnsi"/>
                <w:sz w:val="22"/>
                <w:szCs w:val="22"/>
              </w:rPr>
            </w:pPr>
            <w:r w:rsidRPr="00C95105">
              <w:rPr>
                <w:rFonts w:asciiTheme="minorHAnsi" w:hAnsiTheme="minorHAnsi" w:cstheme="minorHAnsi"/>
                <w:b/>
                <w:bCs/>
                <w:sz w:val="22"/>
                <w:szCs w:val="22"/>
              </w:rPr>
              <w:t>Information use</w:t>
            </w:r>
          </w:p>
        </w:tc>
      </w:tr>
      <w:tr w:rsidR="0093280F" w:rsidRPr="00C95105" w14:paraId="67A612BF" w14:textId="77777777" w:rsidTr="60DD2AB3">
        <w:tc>
          <w:tcPr>
            <w:tcW w:w="1420" w:type="dxa"/>
          </w:tcPr>
          <w:p w14:paraId="570DA410"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Wage-setting authority</w:t>
            </w:r>
          </w:p>
        </w:tc>
        <w:tc>
          <w:tcPr>
            <w:tcW w:w="3716" w:type="dxa"/>
          </w:tcPr>
          <w:p w14:paraId="415BCC89"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The use of comparative job evaluation information may be impacted by whether the individuals and/or organisation has the authority to adjust pay or pay practices.</w:t>
            </w:r>
          </w:p>
          <w:p w14:paraId="79C26B9F"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In many settings, individual public sector agencies lack financial delegation to exceed an existing personnel budget, or to adjust pay independently of industrial negotiations. </w:t>
            </w:r>
          </w:p>
        </w:tc>
        <w:tc>
          <w:tcPr>
            <w:tcW w:w="4111" w:type="dxa"/>
          </w:tcPr>
          <w:p w14:paraId="32A7BA62"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Addressing public sector pay equity requires a whole-of-government approach. </w:t>
            </w:r>
          </w:p>
        </w:tc>
      </w:tr>
      <w:tr w:rsidR="0093280F" w:rsidRPr="00C95105" w14:paraId="49A5745D" w14:textId="77777777" w:rsidTr="60DD2AB3">
        <w:tc>
          <w:tcPr>
            <w:tcW w:w="1420" w:type="dxa"/>
          </w:tcPr>
          <w:p w14:paraId="692A1EB9"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Resistance to changes in pay</w:t>
            </w:r>
          </w:p>
        </w:tc>
        <w:tc>
          <w:tcPr>
            <w:tcW w:w="3716" w:type="dxa"/>
          </w:tcPr>
          <w:p w14:paraId="0FE98A48"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Recommendations to adjust wages to correct gender pay inequity based on comparative job evaluation may struggle to secure legitimacy if recommendations differ to prevailing labour market wages.</w:t>
            </w:r>
          </w:p>
          <w:p w14:paraId="0D6AB54A"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Recommendations to adjust wages on the basis of comparative job evaluation to correct gender pay inequity may face legal resistance.</w:t>
            </w:r>
          </w:p>
        </w:tc>
        <w:tc>
          <w:tcPr>
            <w:tcW w:w="4111" w:type="dxa"/>
          </w:tcPr>
          <w:p w14:paraId="51B99626"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Information about the undervaluation of female-dominated jobs, and the consequences for economic security and wellbeing may help alleviate resistance on the basis of unawareness.</w:t>
            </w:r>
          </w:p>
          <w:p w14:paraId="57C20778"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Communicating the methodological rigour of pay audits and/or job evaluation methods may help alleviate resistance on the basis of perceived procedural injustice. </w:t>
            </w:r>
          </w:p>
        </w:tc>
      </w:tr>
      <w:tr w:rsidR="0093280F" w:rsidRPr="00C95105" w14:paraId="5AA75A6B" w14:textId="77777777" w:rsidTr="60DD2AB3">
        <w:tc>
          <w:tcPr>
            <w:tcW w:w="1420" w:type="dxa"/>
          </w:tcPr>
          <w:p w14:paraId="6B6DF198"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Fairness perceptions</w:t>
            </w:r>
          </w:p>
        </w:tc>
        <w:tc>
          <w:tcPr>
            <w:tcW w:w="3716" w:type="dxa"/>
          </w:tcPr>
          <w:p w14:paraId="73DA3DF1"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Individuals are likely to view adjustments to pay or pay practices as unfair if they believe themselves disadvantaged by the changes. Depending on how many individuals </w:t>
            </w:r>
            <w:r w:rsidRPr="00C95105">
              <w:rPr>
                <w:rFonts w:asciiTheme="minorHAnsi" w:hAnsiTheme="minorHAnsi" w:cstheme="minorHAnsi"/>
                <w:sz w:val="22"/>
                <w:szCs w:val="22"/>
              </w:rPr>
              <w:lastRenderedPageBreak/>
              <w:t xml:space="preserve">adopt this view, changes to pay or pay practices may face widespread resistance. </w:t>
            </w:r>
          </w:p>
        </w:tc>
        <w:tc>
          <w:tcPr>
            <w:tcW w:w="4111" w:type="dxa"/>
          </w:tcPr>
          <w:p w14:paraId="16872BC8"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 xml:space="preserve">Any adjustments to existing pay practices should contain clear information about existing inequalities and justifications for changes. This could include information about the criteria for assessment, how the </w:t>
            </w:r>
            <w:r w:rsidRPr="00C95105">
              <w:rPr>
                <w:rFonts w:asciiTheme="minorHAnsi" w:hAnsiTheme="minorHAnsi" w:cstheme="minorHAnsi"/>
                <w:sz w:val="22"/>
                <w:szCs w:val="22"/>
              </w:rPr>
              <w:lastRenderedPageBreak/>
              <w:t xml:space="preserve">assessment was conducted and by whom. Communicating these procedural details in advance of a job evaluation assessment may help secure better acceptance of results. </w:t>
            </w:r>
          </w:p>
        </w:tc>
      </w:tr>
    </w:tbl>
    <w:p w14:paraId="61448EA4" w14:textId="77777777" w:rsidR="0093280F" w:rsidRPr="00C95105" w:rsidRDefault="0093280F" w:rsidP="0093280F">
      <w:pPr>
        <w:spacing w:after="120"/>
        <w:rPr>
          <w:rFonts w:asciiTheme="minorHAnsi" w:hAnsiTheme="minorHAnsi" w:cstheme="minorHAnsi"/>
          <w:sz w:val="22"/>
          <w:szCs w:val="22"/>
        </w:rPr>
      </w:pPr>
    </w:p>
    <w:p w14:paraId="1E210644" w14:textId="77777777" w:rsidR="0093280F" w:rsidRPr="00C95105" w:rsidRDefault="0093280F" w:rsidP="0093280F">
      <w:pPr>
        <w:spacing w:after="120"/>
        <w:rPr>
          <w:rFonts w:asciiTheme="minorHAnsi" w:hAnsiTheme="minorHAnsi" w:cstheme="minorHAnsi"/>
          <w:sz w:val="22"/>
          <w:szCs w:val="22"/>
        </w:rPr>
      </w:pPr>
    </w:p>
    <w:p w14:paraId="73FA2CA0" w14:textId="0EC18406" w:rsidR="0093280F" w:rsidRPr="00C95105" w:rsidRDefault="0093280F" w:rsidP="00C86D74">
      <w:pPr>
        <w:pStyle w:val="TableParagraph"/>
        <w:spacing w:after="120"/>
        <w:ind w:left="0"/>
        <w:rPr>
          <w:rFonts w:asciiTheme="minorHAnsi" w:hAnsiTheme="minorHAnsi" w:cstheme="minorHAnsi"/>
          <w:b/>
          <w:bCs/>
          <w:lang w:val="en-AU"/>
        </w:rPr>
      </w:pPr>
      <w:bookmarkStart w:id="541" w:name="_Toc96878653"/>
      <w:r w:rsidRPr="00C95105">
        <w:rPr>
          <w:rFonts w:asciiTheme="minorHAnsi" w:hAnsiTheme="minorHAnsi" w:cstheme="minorHAnsi"/>
          <w:b/>
          <w:bCs/>
          <w:lang w:val="en-AU"/>
        </w:rPr>
        <w:t xml:space="preserve">Table </w:t>
      </w:r>
      <w:r w:rsidR="00C86D74" w:rsidRPr="00C95105">
        <w:rPr>
          <w:rFonts w:asciiTheme="minorHAnsi" w:hAnsiTheme="minorHAnsi" w:cstheme="minorHAnsi"/>
          <w:b/>
          <w:bCs/>
          <w:lang w:val="en-AU"/>
        </w:rPr>
        <w:t>5.</w:t>
      </w:r>
      <w:r w:rsidRPr="00C95105">
        <w:rPr>
          <w:rFonts w:asciiTheme="minorHAnsi" w:hAnsiTheme="minorHAnsi" w:cstheme="minorHAnsi"/>
          <w:b/>
          <w:bCs/>
          <w:lang w:val="en-AU"/>
        </w:rPr>
        <w:t xml:space="preserve">5. </w:t>
      </w:r>
      <w:r w:rsidRPr="00C95105">
        <w:rPr>
          <w:rFonts w:asciiTheme="minorHAnsi" w:hAnsiTheme="minorHAnsi" w:cstheme="minorHAnsi"/>
          <w:lang w:val="en-AU"/>
        </w:rPr>
        <w:t>Pay transparency findings and recommendations</w:t>
      </w:r>
      <w:bookmarkEnd w:id="541"/>
      <w:r w:rsidRPr="00C95105">
        <w:rPr>
          <w:rFonts w:asciiTheme="minorHAnsi" w:hAnsiTheme="minorHAnsi" w:cstheme="minorHAnsi"/>
          <w:b/>
          <w:bCs/>
          <w:lang w:val="en-AU"/>
        </w:rPr>
        <w:t xml:space="preserve"> </w:t>
      </w:r>
    </w:p>
    <w:tbl>
      <w:tblPr>
        <w:tblStyle w:val="TableGrid"/>
        <w:tblW w:w="9296" w:type="dxa"/>
        <w:tblBorders>
          <w:left w:val="none" w:sz="0" w:space="0" w:color="auto"/>
          <w:right w:val="none" w:sz="0" w:space="0" w:color="auto"/>
          <w:insideV w:val="none" w:sz="0" w:space="0" w:color="auto"/>
        </w:tblBorders>
        <w:tblLook w:val="04A0" w:firstRow="1" w:lastRow="0" w:firstColumn="1" w:lastColumn="0" w:noHBand="0" w:noVBand="1"/>
      </w:tblPr>
      <w:tblGrid>
        <w:gridCol w:w="1389"/>
        <w:gridCol w:w="3533"/>
        <w:gridCol w:w="4374"/>
      </w:tblGrid>
      <w:tr w:rsidR="0093280F" w:rsidRPr="00C95105" w14:paraId="2B9D0B66" w14:textId="77777777" w:rsidTr="004739C1">
        <w:trPr>
          <w:trHeight w:val="607"/>
          <w:tblHeader/>
        </w:trPr>
        <w:tc>
          <w:tcPr>
            <w:tcW w:w="1389" w:type="dxa"/>
            <w:vAlign w:val="center"/>
          </w:tcPr>
          <w:p w14:paraId="5F8EF2BB" w14:textId="77777777" w:rsidR="0093280F" w:rsidRPr="00C95105" w:rsidRDefault="0093280F" w:rsidP="00C86D74">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Areas</w:t>
            </w:r>
          </w:p>
        </w:tc>
        <w:tc>
          <w:tcPr>
            <w:tcW w:w="3533" w:type="dxa"/>
            <w:vAlign w:val="center"/>
          </w:tcPr>
          <w:p w14:paraId="0A02CC79" w14:textId="77777777" w:rsidR="0093280F" w:rsidRPr="00C95105" w:rsidRDefault="0093280F" w:rsidP="00C86D74">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Summary of findings</w:t>
            </w:r>
          </w:p>
        </w:tc>
        <w:tc>
          <w:tcPr>
            <w:tcW w:w="4374" w:type="dxa"/>
            <w:vAlign w:val="center"/>
          </w:tcPr>
          <w:p w14:paraId="286AFDF3" w14:textId="77777777" w:rsidR="0093280F" w:rsidRPr="00C95105" w:rsidRDefault="0093280F" w:rsidP="00C86D74">
            <w:pPr>
              <w:spacing w:after="120"/>
              <w:jc w:val="center"/>
              <w:rPr>
                <w:rFonts w:asciiTheme="minorHAnsi" w:hAnsiTheme="minorHAnsi" w:cstheme="minorHAnsi"/>
                <w:b/>
                <w:bCs/>
                <w:color w:val="2F5496" w:themeColor="accent1" w:themeShade="BF"/>
                <w:sz w:val="22"/>
                <w:szCs w:val="22"/>
              </w:rPr>
            </w:pPr>
            <w:r w:rsidRPr="00C95105">
              <w:rPr>
                <w:rFonts w:asciiTheme="minorHAnsi" w:hAnsiTheme="minorHAnsi" w:cstheme="minorHAnsi"/>
                <w:b/>
                <w:bCs/>
                <w:color w:val="2F5496" w:themeColor="accent1" w:themeShade="BF"/>
                <w:sz w:val="22"/>
                <w:szCs w:val="22"/>
              </w:rPr>
              <w:t>Recommendations</w:t>
            </w:r>
          </w:p>
        </w:tc>
      </w:tr>
      <w:tr w:rsidR="0093280F" w:rsidRPr="00C95105" w14:paraId="54D2A224" w14:textId="77777777" w:rsidTr="00532791">
        <w:tc>
          <w:tcPr>
            <w:tcW w:w="1389" w:type="dxa"/>
          </w:tcPr>
          <w:p w14:paraId="42CB23C4" w14:textId="77777777" w:rsidR="0093280F" w:rsidRPr="00C95105" w:rsidRDefault="0093280F" w:rsidP="00532791">
            <w:pPr>
              <w:spacing w:after="120"/>
              <w:rPr>
                <w:rFonts w:asciiTheme="minorHAnsi" w:hAnsiTheme="minorHAnsi" w:cstheme="minorHAnsi"/>
                <w:b/>
                <w:bCs/>
                <w:sz w:val="22"/>
                <w:szCs w:val="22"/>
              </w:rPr>
            </w:pPr>
            <w:r w:rsidRPr="00C95105">
              <w:rPr>
                <w:rFonts w:asciiTheme="minorHAnsi" w:hAnsiTheme="minorHAnsi" w:cstheme="minorHAnsi"/>
                <w:b/>
                <w:bCs/>
                <w:sz w:val="22"/>
                <w:szCs w:val="22"/>
              </w:rPr>
              <w:t>Impact</w:t>
            </w:r>
          </w:p>
        </w:tc>
        <w:tc>
          <w:tcPr>
            <w:tcW w:w="3533" w:type="dxa"/>
          </w:tcPr>
          <w:p w14:paraId="0627FCA2"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Transparency in specific pay related decisions (e.g., promotion) or pay outcomes (e.g., individual pay) is more likely to influence a gender pay gap reduction than transparency in formal pay processes, which may or may not be implemented as designed, or aggregate pay outcomes like the gender pay gap.</w:t>
            </w:r>
          </w:p>
        </w:tc>
        <w:tc>
          <w:tcPr>
            <w:tcW w:w="4374" w:type="dxa"/>
          </w:tcPr>
          <w:p w14:paraId="471391F1"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Pay transparency initiatives should be broken-down into the smallest unit possible to make data more impactful; for example, instead of organisation level data, share division-level or individual-level data. Similarly, trend-analysis will be more meaningful at more granular level so transparency and performance monitoring activities can be complementary. </w:t>
            </w:r>
          </w:p>
        </w:tc>
      </w:tr>
      <w:tr w:rsidR="006120AA" w:rsidRPr="00C95105" w14:paraId="5A332B78" w14:textId="77777777" w:rsidTr="00464CB7">
        <w:tc>
          <w:tcPr>
            <w:tcW w:w="9296" w:type="dxa"/>
            <w:gridSpan w:val="3"/>
          </w:tcPr>
          <w:p w14:paraId="20F10AAC" w14:textId="0E2A38CD" w:rsidR="006120AA" w:rsidRPr="00C95105" w:rsidRDefault="006120AA" w:rsidP="00532791">
            <w:pPr>
              <w:spacing w:after="120"/>
              <w:rPr>
                <w:rFonts w:asciiTheme="minorHAnsi" w:hAnsiTheme="minorHAnsi" w:cstheme="minorHAnsi"/>
                <w:sz w:val="22"/>
                <w:szCs w:val="22"/>
              </w:rPr>
            </w:pPr>
            <w:r w:rsidRPr="00C95105">
              <w:rPr>
                <w:rFonts w:asciiTheme="minorHAnsi" w:hAnsiTheme="minorHAnsi" w:cstheme="minorHAnsi"/>
                <w:b/>
                <w:bCs/>
                <w:sz w:val="22"/>
                <w:szCs w:val="22"/>
              </w:rPr>
              <w:t>Information quality</w:t>
            </w:r>
          </w:p>
        </w:tc>
      </w:tr>
      <w:tr w:rsidR="0093280F" w:rsidRPr="00C95105" w14:paraId="69199961" w14:textId="77777777" w:rsidTr="00532791">
        <w:tc>
          <w:tcPr>
            <w:tcW w:w="1389" w:type="dxa"/>
          </w:tcPr>
          <w:p w14:paraId="78178344"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Level of pay transparency</w:t>
            </w:r>
          </w:p>
        </w:tc>
        <w:tc>
          <w:tcPr>
            <w:tcW w:w="3533" w:type="dxa"/>
          </w:tcPr>
          <w:p w14:paraId="3913BE64"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Publication of individual pay is more likely to illuminate pay inequity than publication of an organisation level gender pay gap.</w:t>
            </w:r>
          </w:p>
        </w:tc>
        <w:tc>
          <w:tcPr>
            <w:tcW w:w="4374" w:type="dxa"/>
          </w:tcPr>
          <w:p w14:paraId="457BD161"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Publication of individual pay at more senior levels, where pay inequality is typically greater, may support better recognition of pay inequity. </w:t>
            </w:r>
          </w:p>
          <w:p w14:paraId="3A1C41EB"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Publication of individual executive pay is common in publicly listed organisations. In settings where pay disclosure is not mandatory, anonymised pay data may encounter less resistance. </w:t>
            </w:r>
          </w:p>
        </w:tc>
      </w:tr>
      <w:tr w:rsidR="0093280F" w:rsidRPr="00C95105" w14:paraId="02796235" w14:textId="77777777" w:rsidTr="00532791">
        <w:tc>
          <w:tcPr>
            <w:tcW w:w="1389" w:type="dxa"/>
          </w:tcPr>
          <w:p w14:paraId="161E033F"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Scope of pay process transparency</w:t>
            </w:r>
          </w:p>
        </w:tc>
        <w:tc>
          <w:tcPr>
            <w:tcW w:w="3533" w:type="dxa"/>
          </w:tcPr>
          <w:p w14:paraId="186F35AC"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Transparency in the way pay is formally determined; for example, the job evaluation system, is insufficient to support pay equity if other systems that directly impact pay like performance evaluation or promotion assessment are not also transparent.</w:t>
            </w:r>
          </w:p>
        </w:tc>
        <w:tc>
          <w:tcPr>
            <w:tcW w:w="4374" w:type="dxa"/>
          </w:tcPr>
          <w:p w14:paraId="7D6ABA48"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All formal processes with a direct impact on pay, including the basis for assessments of performance and promotion, should be made transparent to employees and preferably made public to inform prospective employees.</w:t>
            </w:r>
          </w:p>
        </w:tc>
      </w:tr>
      <w:tr w:rsidR="006120AA" w:rsidRPr="00C95105" w14:paraId="120EDA1A" w14:textId="77777777" w:rsidTr="00EC06E6">
        <w:tc>
          <w:tcPr>
            <w:tcW w:w="9296" w:type="dxa"/>
            <w:gridSpan w:val="3"/>
          </w:tcPr>
          <w:p w14:paraId="2E692074" w14:textId="795716DD" w:rsidR="006120AA" w:rsidRPr="00C95105" w:rsidRDefault="006120AA" w:rsidP="00532791">
            <w:pPr>
              <w:spacing w:after="120"/>
              <w:rPr>
                <w:rFonts w:asciiTheme="minorHAnsi" w:hAnsiTheme="minorHAnsi" w:cstheme="minorHAnsi"/>
                <w:sz w:val="22"/>
                <w:szCs w:val="22"/>
              </w:rPr>
            </w:pPr>
            <w:r w:rsidRPr="00C95105">
              <w:rPr>
                <w:rFonts w:asciiTheme="minorHAnsi" w:hAnsiTheme="minorHAnsi" w:cstheme="minorHAnsi"/>
                <w:b/>
                <w:bCs/>
                <w:sz w:val="22"/>
                <w:szCs w:val="22"/>
              </w:rPr>
              <w:t>Information use</w:t>
            </w:r>
          </w:p>
        </w:tc>
      </w:tr>
      <w:tr w:rsidR="0093280F" w:rsidRPr="00C95105" w14:paraId="27B9BA6F" w14:textId="77777777" w:rsidTr="00532791">
        <w:tc>
          <w:tcPr>
            <w:tcW w:w="1389" w:type="dxa"/>
          </w:tcPr>
          <w:p w14:paraId="5ED1C51D"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Pay decision transparency</w:t>
            </w:r>
          </w:p>
        </w:tc>
        <w:tc>
          <w:tcPr>
            <w:tcW w:w="3533" w:type="dxa"/>
          </w:tcPr>
          <w:p w14:paraId="3083CB6E"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Transparency in the way pay is formally determined will not support reduced pay inequity if decision makers (e.g., line or senior managers) do not implement </w:t>
            </w:r>
            <w:r w:rsidRPr="00C95105">
              <w:rPr>
                <w:rFonts w:asciiTheme="minorHAnsi" w:hAnsiTheme="minorHAnsi" w:cstheme="minorHAnsi"/>
                <w:sz w:val="22"/>
                <w:szCs w:val="22"/>
              </w:rPr>
              <w:lastRenderedPageBreak/>
              <w:t>systems as designed and/or in an unbiased way.</w:t>
            </w:r>
          </w:p>
        </w:tc>
        <w:tc>
          <w:tcPr>
            <w:tcW w:w="4374" w:type="dxa"/>
          </w:tcPr>
          <w:p w14:paraId="4B200DAE"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 xml:space="preserve">Some level of transparency should be established around pay-related decisions by managers; for example, the decision outcomes and the gender of affected employees could be made transparent to an equity and diversity community. Individual </w:t>
            </w:r>
            <w:r w:rsidRPr="00C95105">
              <w:rPr>
                <w:rFonts w:asciiTheme="minorHAnsi" w:hAnsiTheme="minorHAnsi" w:cstheme="minorHAnsi"/>
                <w:sz w:val="22"/>
                <w:szCs w:val="22"/>
              </w:rPr>
              <w:lastRenderedPageBreak/>
              <w:t>managers could be asked to justify decisions if significant gender disparities exist, particularly if repeated over time.</w:t>
            </w:r>
          </w:p>
        </w:tc>
      </w:tr>
      <w:tr w:rsidR="0093280F" w:rsidRPr="00C95105" w14:paraId="4BB8EEAD" w14:textId="77777777" w:rsidTr="00532791">
        <w:tc>
          <w:tcPr>
            <w:tcW w:w="1389" w:type="dxa"/>
          </w:tcPr>
          <w:p w14:paraId="1B31EF38"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Employee pay decisions</w:t>
            </w:r>
          </w:p>
        </w:tc>
        <w:tc>
          <w:tcPr>
            <w:tcW w:w="3533" w:type="dxa"/>
          </w:tcPr>
          <w:p w14:paraId="65B3085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No review study examined whether individual employees were able to use transparent pay related information to seek improved pay conditions. Broader research shows that most women lack the bargaining power to self-advocate for improved pay conditions, meaning that pay transparency only benefits relatively advantaged women. </w:t>
            </w:r>
          </w:p>
        </w:tc>
        <w:tc>
          <w:tcPr>
            <w:tcW w:w="4374" w:type="dxa"/>
          </w:tcPr>
          <w:p w14:paraId="2053D902"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Remedying pay inequity should not be the sole responsibility of individual employees.</w:t>
            </w:r>
          </w:p>
        </w:tc>
      </w:tr>
    </w:tbl>
    <w:p w14:paraId="10A95198" w14:textId="77777777" w:rsidR="0093280F" w:rsidRPr="00C95105" w:rsidRDefault="0093280F" w:rsidP="0093280F">
      <w:pPr>
        <w:spacing w:after="120"/>
        <w:rPr>
          <w:rFonts w:asciiTheme="minorHAnsi" w:hAnsiTheme="minorHAnsi" w:cstheme="minorHAnsi"/>
          <w:sz w:val="22"/>
          <w:szCs w:val="22"/>
        </w:rPr>
      </w:pPr>
    </w:p>
    <w:p w14:paraId="4AABF987" w14:textId="39BCAA01" w:rsidR="0093280F" w:rsidRPr="00C95105" w:rsidRDefault="0093280F" w:rsidP="00756FF3">
      <w:pPr>
        <w:pStyle w:val="Heading2"/>
        <w:numPr>
          <w:ilvl w:val="1"/>
          <w:numId w:val="26"/>
        </w:numPr>
        <w:spacing w:before="0" w:after="120"/>
        <w:ind w:left="426" w:hanging="426"/>
        <w:rPr>
          <w:rFonts w:asciiTheme="minorHAnsi" w:hAnsiTheme="minorHAnsi" w:cstheme="minorHAnsi"/>
          <w:b/>
          <w:bCs/>
        </w:rPr>
      </w:pPr>
      <w:bookmarkStart w:id="542" w:name="_Toc96957732"/>
      <w:r w:rsidRPr="00C95105">
        <w:rPr>
          <w:rFonts w:asciiTheme="minorHAnsi" w:hAnsiTheme="minorHAnsi" w:cstheme="minorHAnsi"/>
          <w:b/>
          <w:bCs/>
        </w:rPr>
        <w:t xml:space="preserve">A </w:t>
      </w:r>
      <w:r w:rsidR="00EC4881">
        <w:rPr>
          <w:rFonts w:asciiTheme="minorHAnsi" w:hAnsiTheme="minorHAnsi" w:cstheme="minorHAnsi"/>
          <w:b/>
          <w:bCs/>
        </w:rPr>
        <w:t>R</w:t>
      </w:r>
      <w:r w:rsidRPr="00C95105">
        <w:rPr>
          <w:rFonts w:asciiTheme="minorHAnsi" w:hAnsiTheme="minorHAnsi" w:cstheme="minorHAnsi"/>
          <w:b/>
          <w:bCs/>
        </w:rPr>
        <w:t xml:space="preserve">oadmap for </w:t>
      </w:r>
      <w:r w:rsidR="00EC4881">
        <w:rPr>
          <w:rFonts w:asciiTheme="minorHAnsi" w:hAnsiTheme="minorHAnsi" w:cstheme="minorHAnsi"/>
          <w:b/>
          <w:bCs/>
        </w:rPr>
        <w:t>A</w:t>
      </w:r>
      <w:r w:rsidRPr="00C95105">
        <w:rPr>
          <w:rFonts w:asciiTheme="minorHAnsi" w:hAnsiTheme="minorHAnsi" w:cstheme="minorHAnsi"/>
          <w:b/>
          <w:bCs/>
        </w:rPr>
        <w:t>ction</w:t>
      </w:r>
      <w:bookmarkEnd w:id="542"/>
    </w:p>
    <w:p w14:paraId="125D0E5A" w14:textId="48634595" w:rsidR="004739C1" w:rsidRPr="00C95105" w:rsidRDefault="0093280F" w:rsidP="004739C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Pay audit, job evaluation</w:t>
      </w:r>
      <w:r w:rsidR="650BAD7A" w:rsidRPr="00C95105">
        <w:rPr>
          <w:rFonts w:asciiTheme="minorHAnsi" w:hAnsiTheme="minorHAnsi" w:cstheme="minorHAnsi"/>
          <w:sz w:val="22"/>
          <w:szCs w:val="22"/>
        </w:rPr>
        <w:t>,</w:t>
      </w:r>
      <w:r w:rsidRPr="00C95105">
        <w:rPr>
          <w:rFonts w:asciiTheme="minorHAnsi" w:hAnsiTheme="minorHAnsi" w:cstheme="minorHAnsi"/>
          <w:sz w:val="22"/>
          <w:szCs w:val="22"/>
        </w:rPr>
        <w:t xml:space="preserve"> and pay transparency are all currently utilised in the VPS. Pay audit and pay gap transparency are core components of reporting obligations under the </w:t>
      </w:r>
      <w:r w:rsidR="00F45F63" w:rsidRPr="00C95105">
        <w:rPr>
          <w:rFonts w:asciiTheme="minorHAnsi" w:hAnsiTheme="minorHAnsi" w:cstheme="minorHAnsi"/>
          <w:sz w:val="22"/>
          <w:szCs w:val="22"/>
        </w:rPr>
        <w:t xml:space="preserve">Gender Equality Act 2020 (Vic) </w:t>
      </w:r>
      <w:r w:rsidRPr="00C95105">
        <w:rPr>
          <w:rFonts w:asciiTheme="minorHAnsi" w:hAnsiTheme="minorHAnsi" w:cstheme="minorHAnsi"/>
          <w:sz w:val="22"/>
          <w:szCs w:val="22"/>
        </w:rPr>
        <w:t>and should form the basis of immediate attention. As the VPS has standard methods for each strategy, initial action should focus on clarifying strategic purpose and establishing supportive scaffolding to maximise information use. Departments and agencies should then seek avenues for maximising accuracy and specificity in all three strategies, before looking to integrate them into broader wage-setting architecture and embedding them in information systems.</w:t>
      </w:r>
    </w:p>
    <w:p w14:paraId="3E20539C" w14:textId="204DB5C0" w:rsidR="004739C1" w:rsidRPr="00C95105" w:rsidRDefault="296618A9" w:rsidP="004739C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Before detailing specific recommendations for action, two important considerations should be raised to inform implementation planning. Firstly, for organisations planning approaches to pay equity, it is important to note that the biggest risk of ineffective information strategies for pay equity is not the waste of resources undertaking them, but legitimising pay inequity by embedding gender bias in the initiatives themselves. </w:t>
      </w:r>
    </w:p>
    <w:p w14:paraId="79346255" w14:textId="7769669A" w:rsidR="004739C1" w:rsidRPr="00C95105" w:rsidRDefault="0093280F" w:rsidP="004739C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Failure to recognise, acknowledge</w:t>
      </w:r>
      <w:r w:rsidR="650BAD7A" w:rsidRPr="00C95105">
        <w:rPr>
          <w:rFonts w:asciiTheme="minorHAnsi" w:hAnsiTheme="minorHAnsi" w:cstheme="minorHAnsi"/>
          <w:sz w:val="22"/>
          <w:szCs w:val="22"/>
        </w:rPr>
        <w:t>,</w:t>
      </w:r>
      <w:r w:rsidRPr="00C95105">
        <w:rPr>
          <w:rFonts w:asciiTheme="minorHAnsi" w:hAnsiTheme="minorHAnsi" w:cstheme="minorHAnsi"/>
          <w:sz w:val="22"/>
          <w:szCs w:val="22"/>
        </w:rPr>
        <w:t xml:space="preserve"> and remedy gender bias in organisational processes, including those designed to support pay equity such as job evaluation, was the primary barrier to strategy effectiveness in the early implementation studies of the 1970s and 1980s (Rubery, 2019; Acker, 2010). This review shows limited improvement on this front, which reinforces the </w:t>
      </w:r>
      <w:r w:rsidR="650BAD7A" w:rsidRPr="00C95105">
        <w:rPr>
          <w:rFonts w:asciiTheme="minorHAnsi" w:hAnsiTheme="minorHAnsi" w:cstheme="minorHAnsi"/>
          <w:sz w:val="22"/>
          <w:szCs w:val="22"/>
        </w:rPr>
        <w:t>ongoing</w:t>
      </w:r>
      <w:r w:rsidRPr="00C95105">
        <w:rPr>
          <w:rFonts w:asciiTheme="minorHAnsi" w:hAnsiTheme="minorHAnsi" w:cstheme="minorHAnsi"/>
          <w:sz w:val="22"/>
          <w:szCs w:val="22"/>
        </w:rPr>
        <w:t xml:space="preserve"> need for targeted education about sources of pay inequity and indicators of gender bias – unconscious or otherwise. Accountability mechanisms must then be enacted to ensure the translation of knowledge into practice; for example, transparency in individual manager decisions impacting employee pay.</w:t>
      </w:r>
    </w:p>
    <w:p w14:paraId="69AD4ED6" w14:textId="7E31B2CE" w:rsidR="004739C1" w:rsidRPr="00C95105" w:rsidRDefault="296618A9" w:rsidP="004739C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Secondly, the significance of the wage-setting context on organisational pay practices must be acknowledged. This review focused on organisation level pay equity strategies, as the target of workplace gender equality legislation. However, the limits of organisation level action on pay equity must be recognised, as organisations are not the only actors determining pay and pay practices. In the public sector particularly, the wage-setting of individual agencies can be directly influenced by personnel budget constraints, salary caps and overall funding cuts that can constrain the pursuit of pay equity, particularly via remedial pay. </w:t>
      </w:r>
    </w:p>
    <w:p w14:paraId="38B6609A" w14:textId="3C118CD7" w:rsidR="004739C1" w:rsidRPr="00C95105" w:rsidRDefault="0093280F" w:rsidP="004739C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Pay disparities between agencies may be </w:t>
      </w:r>
      <w:r w:rsidR="650BAD7A" w:rsidRPr="00C95105">
        <w:rPr>
          <w:rFonts w:asciiTheme="minorHAnsi" w:hAnsiTheme="minorHAnsi" w:cstheme="minorHAnsi"/>
          <w:sz w:val="22"/>
          <w:szCs w:val="22"/>
        </w:rPr>
        <w:t>equal to,</w:t>
      </w:r>
      <w:r w:rsidRPr="00C95105">
        <w:rPr>
          <w:rFonts w:asciiTheme="minorHAnsi" w:hAnsiTheme="minorHAnsi" w:cstheme="minorHAnsi"/>
          <w:sz w:val="22"/>
          <w:szCs w:val="22"/>
        </w:rPr>
        <w:t xml:space="preserve"> or more substantial </w:t>
      </w:r>
      <w:r w:rsidR="650BAD7A" w:rsidRPr="00C95105">
        <w:rPr>
          <w:rFonts w:asciiTheme="minorHAnsi" w:hAnsiTheme="minorHAnsi" w:cstheme="minorHAnsi"/>
          <w:sz w:val="22"/>
          <w:szCs w:val="22"/>
        </w:rPr>
        <w:t>than, those</w:t>
      </w:r>
      <w:r w:rsidRPr="00C95105">
        <w:rPr>
          <w:rFonts w:asciiTheme="minorHAnsi" w:hAnsiTheme="minorHAnsi" w:cstheme="minorHAnsi"/>
          <w:sz w:val="22"/>
          <w:szCs w:val="22"/>
        </w:rPr>
        <w:t xml:space="preserve"> within individual agencies, with salary bands in male-dominated agencies often higher than in female-</w:t>
      </w:r>
      <w:r w:rsidRPr="00C95105">
        <w:rPr>
          <w:rFonts w:asciiTheme="minorHAnsi" w:hAnsiTheme="minorHAnsi" w:cstheme="minorHAnsi"/>
          <w:sz w:val="22"/>
          <w:szCs w:val="22"/>
        </w:rPr>
        <w:lastRenderedPageBreak/>
        <w:t xml:space="preserve">dominated ones (Williamson, 2009). The wage-setting context also influences attitudes to pay and pay-equity, and in systems dominated by market-based wages, approaches to pay based on equity considerations can struggle to secure legitimacy (Figart, 2000). Public sector pay equity will require a whole-of-government approach, in addition to the co-operation and commitment of unions, industry bodies and professional associations – which all play varying roles in establishing rates of pay for different groups of workers. </w:t>
      </w:r>
    </w:p>
    <w:p w14:paraId="47A4CD42" w14:textId="4813FE16" w:rsidR="004739C1" w:rsidRPr="00C95105" w:rsidRDefault="0093280F" w:rsidP="004739C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In light of these considerations Table </w:t>
      </w:r>
      <w:r w:rsidR="00502438" w:rsidRPr="00C95105">
        <w:rPr>
          <w:rFonts w:asciiTheme="minorHAnsi" w:hAnsiTheme="minorHAnsi" w:cstheme="minorHAnsi"/>
          <w:sz w:val="22"/>
          <w:szCs w:val="22"/>
        </w:rPr>
        <w:t>5.</w:t>
      </w:r>
      <w:r w:rsidRPr="00C95105">
        <w:rPr>
          <w:rFonts w:asciiTheme="minorHAnsi" w:hAnsiTheme="minorHAnsi" w:cstheme="minorHAnsi"/>
          <w:sz w:val="22"/>
          <w:szCs w:val="22"/>
        </w:rPr>
        <w:t xml:space="preserve">6 sets out a roadmap for action that details the steps, in chronological order, that VPS departments and agencies can take to optimise the effectiveness of these information-based strategies for pay equity. Suggestions for immediate actions are provided under each of the key principles, but these principles should also form the basis of all associated strategic actions. Action items presented under Sections 1-3 relate to pay audits and pay gap transparency – as currently required under the </w:t>
      </w:r>
      <w:r w:rsidR="00F45F63" w:rsidRPr="00C95105">
        <w:rPr>
          <w:rFonts w:asciiTheme="minorHAnsi" w:hAnsiTheme="minorHAnsi" w:cstheme="minorHAnsi"/>
          <w:sz w:val="22"/>
          <w:szCs w:val="22"/>
        </w:rPr>
        <w:t>Gender Equality Act 2020 (Vic)</w:t>
      </w:r>
      <w:r w:rsidRPr="00C95105">
        <w:rPr>
          <w:rFonts w:asciiTheme="minorHAnsi" w:hAnsiTheme="minorHAnsi" w:cstheme="minorHAnsi"/>
          <w:sz w:val="22"/>
          <w:szCs w:val="22"/>
        </w:rPr>
        <w:t>. Section 4 would involve the incorporation of comparative job evaluation; prior to this, separate attention should be paid to ensuring that the existing job evaluation system supports gender pay equity in the initial valuation of positions, as well as in job resizing reviews.</w:t>
      </w:r>
    </w:p>
    <w:p w14:paraId="18634A99" w14:textId="32F882AF" w:rsidR="0093280F" w:rsidRPr="00C95105" w:rsidRDefault="296618A9" w:rsidP="004739C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Naturally, there are resource implications in many recommended actions. Most activities have only indirect costs stemming from personnel time. Some activities have direct financial costs, such as developing workforce capability via training and enhancing human resource information systems. However, these direct costs are offset by indirect savings; for example, enhancing human resource information systems saving manual processing time. Detailed cost estimations are beyond the scope of this review.</w:t>
      </w:r>
    </w:p>
    <w:p w14:paraId="0AA3448C" w14:textId="77777777" w:rsidR="004739C1" w:rsidRPr="00C95105" w:rsidRDefault="004739C1" w:rsidP="004739C1">
      <w:pPr>
        <w:spacing w:after="120"/>
        <w:ind w:firstLine="567"/>
        <w:rPr>
          <w:rFonts w:asciiTheme="minorHAnsi" w:hAnsiTheme="minorHAnsi" w:cstheme="minorHAnsi"/>
          <w:sz w:val="22"/>
          <w:szCs w:val="22"/>
        </w:rPr>
      </w:pPr>
    </w:p>
    <w:p w14:paraId="34319F75" w14:textId="69F887D1" w:rsidR="0093280F" w:rsidRPr="00C95105" w:rsidRDefault="0093280F" w:rsidP="004739C1">
      <w:pPr>
        <w:pStyle w:val="TableParagraph"/>
        <w:spacing w:after="120"/>
        <w:ind w:left="0"/>
        <w:rPr>
          <w:rFonts w:asciiTheme="minorHAnsi" w:hAnsiTheme="minorHAnsi" w:cstheme="minorHAnsi"/>
          <w:b/>
          <w:bCs/>
          <w:lang w:val="en-AU"/>
        </w:rPr>
      </w:pPr>
      <w:bookmarkStart w:id="543" w:name="_Toc96878654"/>
      <w:r w:rsidRPr="00C95105">
        <w:rPr>
          <w:rFonts w:asciiTheme="minorHAnsi" w:hAnsiTheme="minorHAnsi" w:cstheme="minorHAnsi"/>
          <w:b/>
          <w:bCs/>
          <w:lang w:val="en-AU"/>
        </w:rPr>
        <w:t xml:space="preserve">Table </w:t>
      </w:r>
      <w:r w:rsidR="004739C1" w:rsidRPr="00C95105">
        <w:rPr>
          <w:rFonts w:asciiTheme="minorHAnsi" w:hAnsiTheme="minorHAnsi" w:cstheme="minorHAnsi"/>
          <w:b/>
          <w:bCs/>
          <w:lang w:val="en-AU"/>
        </w:rPr>
        <w:t>5.</w:t>
      </w:r>
      <w:r w:rsidRPr="00C95105">
        <w:rPr>
          <w:rFonts w:asciiTheme="minorHAnsi" w:hAnsiTheme="minorHAnsi" w:cstheme="minorHAnsi"/>
          <w:b/>
          <w:bCs/>
          <w:lang w:val="en-AU"/>
        </w:rPr>
        <w:t xml:space="preserve">6. </w:t>
      </w:r>
      <w:r w:rsidRPr="00C95105">
        <w:rPr>
          <w:rFonts w:asciiTheme="minorHAnsi" w:hAnsiTheme="minorHAnsi" w:cstheme="minorHAnsi"/>
          <w:lang w:val="en-AU"/>
        </w:rPr>
        <w:t>Roadmap for action on information-based strategies for pay equity</w:t>
      </w:r>
      <w:bookmarkEnd w:id="543"/>
    </w:p>
    <w:tbl>
      <w:tblPr>
        <w:tblStyle w:val="TableGrid"/>
        <w:tblW w:w="9209" w:type="dxa"/>
        <w:tblBorders>
          <w:left w:val="none" w:sz="0" w:space="0" w:color="auto"/>
          <w:right w:val="none" w:sz="0" w:space="0" w:color="auto"/>
          <w:insideV w:val="none" w:sz="0" w:space="0" w:color="auto"/>
        </w:tblBorders>
        <w:tblLook w:val="04A0" w:firstRow="1" w:lastRow="0" w:firstColumn="1" w:lastColumn="0" w:noHBand="0" w:noVBand="1"/>
      </w:tblPr>
      <w:tblGrid>
        <w:gridCol w:w="2263"/>
        <w:gridCol w:w="6946"/>
      </w:tblGrid>
      <w:tr w:rsidR="0093280F" w:rsidRPr="00C95105" w14:paraId="24E03FBE" w14:textId="77777777" w:rsidTr="60DD2AB3">
        <w:tc>
          <w:tcPr>
            <w:tcW w:w="2263" w:type="dxa"/>
          </w:tcPr>
          <w:p w14:paraId="6EBF171B" w14:textId="77777777" w:rsidR="0093280F" w:rsidRPr="00C95105" w:rsidRDefault="0093280F" w:rsidP="00756FF3">
            <w:pPr>
              <w:pStyle w:val="ListParagraph"/>
              <w:numPr>
                <w:ilvl w:val="0"/>
                <w:numId w:val="47"/>
              </w:numPr>
              <w:spacing w:after="120"/>
              <w:ind w:left="317" w:hanging="77"/>
              <w:rPr>
                <w:rFonts w:asciiTheme="minorHAnsi" w:hAnsiTheme="minorHAnsi" w:cstheme="minorHAnsi"/>
                <w:b/>
                <w:bCs/>
                <w:i/>
                <w:iCs/>
                <w:sz w:val="22"/>
                <w:szCs w:val="22"/>
              </w:rPr>
            </w:pPr>
            <w:bookmarkStart w:id="544" w:name="_Toc96878404"/>
            <w:r w:rsidRPr="00C95105">
              <w:rPr>
                <w:rFonts w:asciiTheme="minorHAnsi" w:hAnsiTheme="minorHAnsi" w:cstheme="minorHAnsi"/>
                <w:b/>
                <w:bCs/>
                <w:i/>
                <w:iCs/>
                <w:sz w:val="22"/>
                <w:szCs w:val="22"/>
              </w:rPr>
              <w:t>Key objectives</w:t>
            </w:r>
            <w:bookmarkEnd w:id="544"/>
          </w:p>
        </w:tc>
        <w:tc>
          <w:tcPr>
            <w:tcW w:w="6946" w:type="dxa"/>
          </w:tcPr>
          <w:p w14:paraId="33E64B37" w14:textId="77777777" w:rsidR="0093280F" w:rsidRPr="00C95105" w:rsidRDefault="0093280F" w:rsidP="00532791">
            <w:pPr>
              <w:spacing w:after="120"/>
              <w:rPr>
                <w:rFonts w:asciiTheme="minorHAnsi" w:hAnsiTheme="minorHAnsi" w:cstheme="minorHAnsi"/>
                <w:b/>
                <w:bCs/>
                <w:sz w:val="22"/>
                <w:szCs w:val="22"/>
              </w:rPr>
            </w:pPr>
            <w:r w:rsidRPr="00C95105">
              <w:rPr>
                <w:rFonts w:asciiTheme="minorHAnsi" w:hAnsiTheme="minorHAnsi" w:cstheme="minorHAnsi"/>
                <w:b/>
                <w:bCs/>
                <w:sz w:val="22"/>
                <w:szCs w:val="22"/>
              </w:rPr>
              <w:t>Information-based strategies must have a clear strategic purpose to avoid redundancy.</w:t>
            </w:r>
          </w:p>
        </w:tc>
      </w:tr>
      <w:tr w:rsidR="0093280F" w:rsidRPr="00C95105" w14:paraId="6A68F354" w14:textId="77777777" w:rsidTr="60DD2AB3">
        <w:tc>
          <w:tcPr>
            <w:tcW w:w="2263" w:type="dxa"/>
          </w:tcPr>
          <w:p w14:paraId="49FA2FCB"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Use pay equity information to increase accountability</w:t>
            </w:r>
          </w:p>
        </w:tc>
        <w:tc>
          <w:tcPr>
            <w:tcW w:w="6946" w:type="dxa"/>
          </w:tcPr>
          <w:p w14:paraId="1E085B6F"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Accounting exercises such as pay audit and pay transparency must be used to increase the accountability of both organisations and managers for equity in pay-related decisions. Without accountability, accounting information is a limited value.</w:t>
            </w:r>
          </w:p>
          <w:p w14:paraId="41A87F40"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Actions:</w:t>
            </w:r>
          </w:p>
          <w:p w14:paraId="7826907D" w14:textId="0F86415C" w:rsidR="0093280F" w:rsidRPr="00C95105" w:rsidRDefault="00F45F63" w:rsidP="00534510">
            <w:pPr>
              <w:pStyle w:val="ListParagraph"/>
              <w:numPr>
                <w:ilvl w:val="0"/>
                <w:numId w:val="25"/>
              </w:numPr>
              <w:spacing w:after="120"/>
              <w:ind w:left="459" w:hanging="283"/>
              <w:rPr>
                <w:rFonts w:asciiTheme="minorHAnsi" w:hAnsiTheme="minorHAnsi" w:cstheme="minorHAnsi"/>
                <w:sz w:val="22"/>
                <w:szCs w:val="22"/>
              </w:rPr>
            </w:pPr>
            <w:bookmarkStart w:id="545" w:name="_Toc96878405"/>
            <w:r w:rsidRPr="00C95105">
              <w:rPr>
                <w:rFonts w:asciiTheme="minorHAnsi" w:hAnsiTheme="minorHAnsi" w:cstheme="minorHAnsi"/>
                <w:sz w:val="22"/>
                <w:szCs w:val="22"/>
              </w:rPr>
              <w:t xml:space="preserve">Gender Equality Act 2020 (Vic) </w:t>
            </w:r>
            <w:r w:rsidR="0093280F" w:rsidRPr="00C95105">
              <w:rPr>
                <w:rFonts w:asciiTheme="minorHAnsi" w:hAnsiTheme="minorHAnsi" w:cstheme="minorHAnsi"/>
                <w:sz w:val="22"/>
                <w:szCs w:val="22"/>
              </w:rPr>
              <w:t>establishes accountability mechanisms for organisation level accountability; in addition to these:</w:t>
            </w:r>
            <w:bookmarkEnd w:id="545"/>
          </w:p>
          <w:p w14:paraId="7A820E3B" w14:textId="77777777"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46" w:name="_Toc96878406"/>
            <w:r w:rsidRPr="00C95105">
              <w:rPr>
                <w:rFonts w:asciiTheme="minorHAnsi" w:hAnsiTheme="minorHAnsi" w:cstheme="minorHAnsi"/>
                <w:sz w:val="22"/>
                <w:szCs w:val="22"/>
              </w:rPr>
              <w:t>departments and agencies should establish accountability mechanisms for managers who make pay-related decisions; for example, creating transparency in line manager decisions by making aggregate performance or promotion rates by demographic characteristics known to equity and diversity managers and included in line manager performance reviews.</w:t>
            </w:r>
            <w:bookmarkEnd w:id="546"/>
            <w:r w:rsidRPr="00C95105">
              <w:rPr>
                <w:rFonts w:asciiTheme="minorHAnsi" w:hAnsiTheme="minorHAnsi" w:cstheme="minorHAnsi"/>
                <w:sz w:val="22"/>
                <w:szCs w:val="22"/>
              </w:rPr>
              <w:t xml:space="preserve"> </w:t>
            </w:r>
          </w:p>
        </w:tc>
      </w:tr>
      <w:tr w:rsidR="0093280F" w:rsidRPr="00C95105" w14:paraId="7D64FBCE" w14:textId="77777777" w:rsidTr="60DD2AB3">
        <w:tc>
          <w:tcPr>
            <w:tcW w:w="2263" w:type="dxa"/>
          </w:tcPr>
          <w:p w14:paraId="574BCE22"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Use pay equity information to support awareness about the causes and consequences of inequity</w:t>
            </w:r>
          </w:p>
        </w:tc>
        <w:tc>
          <w:tcPr>
            <w:tcW w:w="6946" w:type="dxa"/>
          </w:tcPr>
          <w:p w14:paraId="122FC86B"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Pay equity information must be used to support reductions of conscious, unconscious and systemic bias amongst managers with responsibility for pay-related decisions to mitigate the emergence of new forms of inequity as old ones are remedied. </w:t>
            </w:r>
          </w:p>
          <w:p w14:paraId="4E287116"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Action:</w:t>
            </w:r>
          </w:p>
          <w:p w14:paraId="00872606" w14:textId="77777777"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47" w:name="_Toc96878407"/>
            <w:r w:rsidRPr="00C95105">
              <w:rPr>
                <w:rFonts w:asciiTheme="minorHAnsi" w:hAnsiTheme="minorHAnsi" w:cstheme="minorHAnsi"/>
                <w:sz w:val="22"/>
                <w:szCs w:val="22"/>
              </w:rPr>
              <w:t>Incorporate the information generated in pay audits into equity and diversity training for managers to illustrate patterns of inequality in their immediate context.</w:t>
            </w:r>
            <w:bookmarkEnd w:id="547"/>
          </w:p>
          <w:p w14:paraId="5BCA5D2A" w14:textId="77777777"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48" w:name="_Toc96878408"/>
            <w:r w:rsidRPr="00C95105">
              <w:rPr>
                <w:rFonts w:asciiTheme="minorHAnsi" w:hAnsiTheme="minorHAnsi" w:cstheme="minorHAnsi"/>
                <w:sz w:val="22"/>
                <w:szCs w:val="22"/>
              </w:rPr>
              <w:lastRenderedPageBreak/>
              <w:t>Use the information generated in pay audits to support contextual relevance in anti-discrimination training or awareness campaigns.</w:t>
            </w:r>
            <w:bookmarkEnd w:id="548"/>
            <w:r w:rsidRPr="00C95105">
              <w:rPr>
                <w:rFonts w:asciiTheme="minorHAnsi" w:hAnsiTheme="minorHAnsi" w:cstheme="minorHAnsi"/>
                <w:sz w:val="22"/>
                <w:szCs w:val="22"/>
              </w:rPr>
              <w:t xml:space="preserve"> </w:t>
            </w:r>
          </w:p>
        </w:tc>
      </w:tr>
      <w:tr w:rsidR="0093280F" w:rsidRPr="00C95105" w14:paraId="516CC835" w14:textId="77777777" w:rsidTr="60DD2AB3">
        <w:tc>
          <w:tcPr>
            <w:tcW w:w="2263" w:type="dxa"/>
          </w:tcPr>
          <w:p w14:paraId="261D1A8E" w14:textId="77777777" w:rsidR="0093280F" w:rsidRPr="00C95105" w:rsidRDefault="0093280F" w:rsidP="00756FF3">
            <w:pPr>
              <w:pStyle w:val="ListParagraph"/>
              <w:numPr>
                <w:ilvl w:val="0"/>
                <w:numId w:val="47"/>
              </w:numPr>
              <w:spacing w:after="120"/>
              <w:ind w:left="317" w:hanging="77"/>
              <w:rPr>
                <w:rFonts w:asciiTheme="minorHAnsi" w:hAnsiTheme="minorHAnsi" w:cstheme="minorHAnsi"/>
                <w:b/>
                <w:bCs/>
                <w:sz w:val="22"/>
                <w:szCs w:val="22"/>
                <w:u w:val="single"/>
              </w:rPr>
            </w:pPr>
            <w:bookmarkStart w:id="549" w:name="_Toc96878409"/>
            <w:r w:rsidRPr="00C95105">
              <w:rPr>
                <w:rFonts w:asciiTheme="minorHAnsi" w:hAnsiTheme="minorHAnsi" w:cstheme="minorHAnsi"/>
                <w:b/>
                <w:bCs/>
                <w:i/>
                <w:iCs/>
                <w:sz w:val="22"/>
                <w:szCs w:val="22"/>
              </w:rPr>
              <w:lastRenderedPageBreak/>
              <w:t>Actions to support information use</w:t>
            </w:r>
            <w:bookmarkEnd w:id="549"/>
          </w:p>
        </w:tc>
        <w:tc>
          <w:tcPr>
            <w:tcW w:w="6946" w:type="dxa"/>
          </w:tcPr>
          <w:p w14:paraId="459071DB" w14:textId="77777777" w:rsidR="0093280F" w:rsidRPr="00C95105" w:rsidRDefault="0093280F" w:rsidP="00532791">
            <w:pPr>
              <w:spacing w:after="120"/>
              <w:rPr>
                <w:rFonts w:asciiTheme="minorHAnsi" w:hAnsiTheme="minorHAnsi" w:cstheme="minorHAnsi"/>
                <w:b/>
                <w:bCs/>
                <w:sz w:val="22"/>
                <w:szCs w:val="22"/>
              </w:rPr>
            </w:pPr>
            <w:r w:rsidRPr="00C95105">
              <w:rPr>
                <w:rFonts w:asciiTheme="minorHAnsi" w:hAnsiTheme="minorHAnsi" w:cstheme="minorHAnsi"/>
                <w:b/>
                <w:bCs/>
                <w:sz w:val="22"/>
                <w:szCs w:val="22"/>
              </w:rPr>
              <w:t>Both organisation and service level action will be required to support pay equity in the VPS.</w:t>
            </w:r>
          </w:p>
        </w:tc>
      </w:tr>
      <w:tr w:rsidR="0093280F" w:rsidRPr="00C95105" w14:paraId="6AA2B4AF" w14:textId="77777777" w:rsidTr="60DD2AB3">
        <w:tc>
          <w:tcPr>
            <w:tcW w:w="2263" w:type="dxa"/>
          </w:tcPr>
          <w:p w14:paraId="55497770"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Develop workforce statistical capability</w:t>
            </w:r>
          </w:p>
        </w:tc>
        <w:tc>
          <w:tcPr>
            <w:tcW w:w="6946" w:type="dxa"/>
          </w:tcPr>
          <w:p w14:paraId="7E77E9E3"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Workforce capability in statistical analysis and statistical literacy amongst general employees is necessary to enable widespread engagement with pay audit methods and findings.</w:t>
            </w:r>
          </w:p>
          <w:p w14:paraId="5954A060"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Action: </w:t>
            </w:r>
          </w:p>
          <w:p w14:paraId="1E9966E8" w14:textId="03AE33F6"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50" w:name="_Toc96878410"/>
            <w:r w:rsidRPr="00C95105">
              <w:rPr>
                <w:rFonts w:asciiTheme="minorHAnsi" w:hAnsiTheme="minorHAnsi" w:cstheme="minorHAnsi"/>
                <w:sz w:val="22"/>
                <w:szCs w:val="22"/>
              </w:rPr>
              <w:t xml:space="preserve">Develop statistical capability in the VPS equity and diversity workforce (e.g., analyst training) to support the generation and use of </w:t>
            </w:r>
            <w:r w:rsidR="005C4C4F" w:rsidRPr="00C95105">
              <w:rPr>
                <w:rFonts w:asciiTheme="minorHAnsi" w:hAnsiTheme="minorHAnsi" w:cstheme="minorHAnsi"/>
                <w:sz w:val="22"/>
                <w:szCs w:val="22"/>
              </w:rPr>
              <w:t>high-quality</w:t>
            </w:r>
            <w:r w:rsidRPr="00C95105">
              <w:rPr>
                <w:rFonts w:asciiTheme="minorHAnsi" w:hAnsiTheme="minorHAnsi" w:cstheme="minorHAnsi"/>
                <w:sz w:val="22"/>
                <w:szCs w:val="22"/>
              </w:rPr>
              <w:t xml:space="preserve"> pay equity data, including that generated via pay audits.</w:t>
            </w:r>
            <w:bookmarkEnd w:id="550"/>
            <w:r w:rsidRPr="00C95105">
              <w:rPr>
                <w:rFonts w:asciiTheme="minorHAnsi" w:hAnsiTheme="minorHAnsi" w:cstheme="minorHAnsi"/>
                <w:sz w:val="22"/>
                <w:szCs w:val="22"/>
              </w:rPr>
              <w:t xml:space="preserve">  </w:t>
            </w:r>
          </w:p>
          <w:p w14:paraId="7E0D988F" w14:textId="77777777"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51" w:name="_Toc96878411"/>
            <w:r w:rsidRPr="00C95105">
              <w:rPr>
                <w:rFonts w:asciiTheme="minorHAnsi" w:hAnsiTheme="minorHAnsi" w:cstheme="minorHAnsi"/>
                <w:sz w:val="22"/>
                <w:szCs w:val="22"/>
              </w:rPr>
              <w:t>Develop statistical literacy in the broader VPS workforce by presenting pay audit results in non-expert language to support employees’ ability to use of pay gap disclosure to make informed pay and employment decisions.</w:t>
            </w:r>
            <w:bookmarkEnd w:id="551"/>
          </w:p>
        </w:tc>
      </w:tr>
      <w:tr w:rsidR="0093280F" w:rsidRPr="00C95105" w14:paraId="4198D633" w14:textId="77777777" w:rsidTr="60DD2AB3">
        <w:tc>
          <w:tcPr>
            <w:tcW w:w="2263" w:type="dxa"/>
          </w:tcPr>
          <w:p w14:paraId="7EFA9ED2"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Link pay strategies to pay-setting </w:t>
            </w:r>
          </w:p>
        </w:tc>
        <w:tc>
          <w:tcPr>
            <w:tcW w:w="6946" w:type="dxa"/>
          </w:tcPr>
          <w:p w14:paraId="6FABEB2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If individuals conducting pay audits are specialists who do not have the authority to adjust pay or pay practices and/or do not have working relationships with the individuals who do, there is an increased risk that pay audit information will not be used. </w:t>
            </w:r>
          </w:p>
          <w:p w14:paraId="3169239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Action:</w:t>
            </w:r>
          </w:p>
          <w:p w14:paraId="29872B67" w14:textId="77777777"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52" w:name="_Toc96878412"/>
            <w:r w:rsidRPr="00C95105">
              <w:rPr>
                <w:rFonts w:asciiTheme="minorHAnsi" w:hAnsiTheme="minorHAnsi" w:cstheme="minorHAnsi"/>
                <w:sz w:val="22"/>
                <w:szCs w:val="22"/>
              </w:rPr>
              <w:t>Link pay audits to pay system planning and/or pay-related decisions to increase the likelihood of the information being used; for example, incorporate pay audit results into enterprise bargaining, or create strategic partnerships between equity and diversity managers, remuneration managers and line managers making pay-related decisions.</w:t>
            </w:r>
            <w:bookmarkEnd w:id="552"/>
          </w:p>
        </w:tc>
      </w:tr>
      <w:tr w:rsidR="0093280F" w:rsidRPr="00C95105" w14:paraId="59155599" w14:textId="77777777" w:rsidTr="60DD2AB3">
        <w:tc>
          <w:tcPr>
            <w:tcW w:w="2263" w:type="dxa"/>
          </w:tcPr>
          <w:p w14:paraId="1F5E3CD1"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Provide information and education about pay equity to employees</w:t>
            </w:r>
          </w:p>
        </w:tc>
        <w:tc>
          <w:tcPr>
            <w:tcW w:w="6946" w:type="dxa"/>
          </w:tcPr>
          <w:p w14:paraId="7D4FF30A" w14:textId="20EC27FC"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Knowledge about the meaning of pay equity, its causes and its consequences, is necessary to support positive attitudes towards pay equity initiatives and support legitimacy in pay audit and pay gap information.</w:t>
            </w:r>
          </w:p>
          <w:p w14:paraId="7F2BD405"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Action:</w:t>
            </w:r>
          </w:p>
          <w:p w14:paraId="4F71BABA" w14:textId="77777777"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53" w:name="_Toc96878413"/>
            <w:r w:rsidRPr="00C95105">
              <w:rPr>
                <w:rFonts w:asciiTheme="minorHAnsi" w:hAnsiTheme="minorHAnsi" w:cstheme="minorHAnsi"/>
                <w:sz w:val="22"/>
                <w:szCs w:val="22"/>
              </w:rPr>
              <w:t>Communicate a clear definition of pay equity, its causes and consequences, in addition to pay audit results and pay gap disclosure; where possible, this should be done prior to analysis.</w:t>
            </w:r>
            <w:bookmarkEnd w:id="553"/>
            <w:r w:rsidRPr="00C95105">
              <w:rPr>
                <w:rFonts w:asciiTheme="minorHAnsi" w:hAnsiTheme="minorHAnsi" w:cstheme="minorHAnsi"/>
                <w:sz w:val="22"/>
                <w:szCs w:val="22"/>
              </w:rPr>
              <w:t xml:space="preserve"> </w:t>
            </w:r>
          </w:p>
        </w:tc>
      </w:tr>
      <w:tr w:rsidR="0093280F" w:rsidRPr="00C95105" w14:paraId="0A97583B" w14:textId="77777777" w:rsidTr="60DD2AB3">
        <w:tc>
          <w:tcPr>
            <w:tcW w:w="2263" w:type="dxa"/>
          </w:tcPr>
          <w:p w14:paraId="2281BB3B" w14:textId="77777777" w:rsidR="0093280F" w:rsidRPr="00C95105" w:rsidRDefault="0093280F" w:rsidP="00756FF3">
            <w:pPr>
              <w:pStyle w:val="ListParagraph"/>
              <w:numPr>
                <w:ilvl w:val="0"/>
                <w:numId w:val="47"/>
              </w:numPr>
              <w:spacing w:after="120"/>
              <w:ind w:left="317" w:hanging="77"/>
              <w:rPr>
                <w:rFonts w:asciiTheme="minorHAnsi" w:hAnsiTheme="minorHAnsi" w:cstheme="minorHAnsi"/>
                <w:b/>
                <w:bCs/>
                <w:i/>
                <w:iCs/>
                <w:sz w:val="22"/>
                <w:szCs w:val="22"/>
              </w:rPr>
            </w:pPr>
            <w:bookmarkStart w:id="554" w:name="_Toc96878414"/>
            <w:r w:rsidRPr="00C95105">
              <w:rPr>
                <w:rFonts w:asciiTheme="minorHAnsi" w:hAnsiTheme="minorHAnsi" w:cstheme="minorHAnsi"/>
                <w:b/>
                <w:bCs/>
                <w:i/>
                <w:iCs/>
                <w:sz w:val="22"/>
                <w:szCs w:val="22"/>
              </w:rPr>
              <w:t>Actions to improve information quality</w:t>
            </w:r>
            <w:bookmarkEnd w:id="554"/>
          </w:p>
        </w:tc>
        <w:tc>
          <w:tcPr>
            <w:tcW w:w="6946" w:type="dxa"/>
          </w:tcPr>
          <w:p w14:paraId="65F88872" w14:textId="63325431" w:rsidR="0093280F" w:rsidRPr="00C95105" w:rsidRDefault="0093280F" w:rsidP="00532791">
            <w:pPr>
              <w:spacing w:after="120"/>
              <w:rPr>
                <w:rFonts w:asciiTheme="minorHAnsi" w:hAnsiTheme="minorHAnsi" w:cstheme="minorHAnsi"/>
                <w:b/>
                <w:bCs/>
                <w:sz w:val="22"/>
                <w:szCs w:val="22"/>
              </w:rPr>
            </w:pPr>
            <w:r w:rsidRPr="00C95105">
              <w:rPr>
                <w:rFonts w:asciiTheme="minorHAnsi" w:hAnsiTheme="minorHAnsi" w:cstheme="minorHAnsi"/>
                <w:b/>
                <w:bCs/>
                <w:sz w:val="22"/>
                <w:szCs w:val="22"/>
              </w:rPr>
              <w:t xml:space="preserve">VPS methods for each of the strategies establish baseline standards for accuracy and bias suppression. In the future, departments and agencies may wish to progress to more advanced methods to calculate adjusted gender pay gaps to further maximise accuracy and disaggregation. An adjusted pay gap is the gap that cannot be explained by any factor other than </w:t>
            </w:r>
            <w:r w:rsidR="005C4C4F" w:rsidRPr="00C95105">
              <w:rPr>
                <w:rFonts w:asciiTheme="minorHAnsi" w:hAnsiTheme="minorHAnsi" w:cstheme="minorHAnsi"/>
                <w:b/>
                <w:bCs/>
                <w:sz w:val="22"/>
                <w:szCs w:val="22"/>
              </w:rPr>
              <w:t>gender and</w:t>
            </w:r>
            <w:r w:rsidRPr="00C95105">
              <w:rPr>
                <w:rFonts w:asciiTheme="minorHAnsi" w:hAnsiTheme="minorHAnsi" w:cstheme="minorHAnsi"/>
                <w:b/>
                <w:bCs/>
                <w:sz w:val="22"/>
                <w:szCs w:val="22"/>
              </w:rPr>
              <w:t xml:space="preserve"> is a particularly useful measure of pay inequity. </w:t>
            </w:r>
          </w:p>
        </w:tc>
      </w:tr>
      <w:tr w:rsidR="0093280F" w:rsidRPr="00C95105" w14:paraId="2877B1BF" w14:textId="77777777" w:rsidTr="60DD2AB3">
        <w:tc>
          <w:tcPr>
            <w:tcW w:w="2263" w:type="dxa"/>
          </w:tcPr>
          <w:p w14:paraId="6B20889A"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Minimise gender bias in calculations of adjusted pay gaps </w:t>
            </w:r>
          </w:p>
        </w:tc>
        <w:tc>
          <w:tcPr>
            <w:tcW w:w="6946" w:type="dxa"/>
          </w:tcPr>
          <w:p w14:paraId="5A256C7D"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Accuracy in adjusted pay gap calculations is achieved when the gap calculated is as close as possible to the true adjusted gap. Achieving this means ensuring that all factors included as legitimate sources of pay variation are as free as possible from gender bias. For example, if performance is included as a legitimate reason for pay variation, but the </w:t>
            </w:r>
            <w:r w:rsidRPr="00C95105">
              <w:rPr>
                <w:rFonts w:asciiTheme="minorHAnsi" w:hAnsiTheme="minorHAnsi" w:cstheme="minorHAnsi"/>
                <w:sz w:val="22"/>
                <w:szCs w:val="22"/>
              </w:rPr>
              <w:lastRenderedPageBreak/>
              <w:t>performance measurement method is gender bias, the adjusted pay gap will reflect that bias and subsequently be less accurate.</w:t>
            </w:r>
          </w:p>
          <w:p w14:paraId="68BFCAA7"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Action:</w:t>
            </w:r>
          </w:p>
          <w:p w14:paraId="20CE614E" w14:textId="77777777"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55" w:name="_Toc96878415"/>
            <w:r w:rsidRPr="00C95105">
              <w:rPr>
                <w:rFonts w:asciiTheme="minorHAnsi" w:hAnsiTheme="minorHAnsi" w:cstheme="minorHAnsi"/>
                <w:sz w:val="22"/>
                <w:szCs w:val="22"/>
              </w:rPr>
              <w:t>Assess all factors nominated as legitimate causes of pay variation for potential bias; this may involve analysing performance measurement, promotion, recruitment and appointment systems.</w:t>
            </w:r>
            <w:bookmarkEnd w:id="555"/>
          </w:p>
        </w:tc>
      </w:tr>
      <w:tr w:rsidR="0093280F" w:rsidRPr="00C95105" w14:paraId="35DBA66C" w14:textId="77777777" w:rsidTr="60DD2AB3">
        <w:tc>
          <w:tcPr>
            <w:tcW w:w="2263" w:type="dxa"/>
          </w:tcPr>
          <w:p w14:paraId="12EAC003"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Maximise the level of detail in information inputs and outputs</w:t>
            </w:r>
          </w:p>
        </w:tc>
        <w:tc>
          <w:tcPr>
            <w:tcW w:w="6946" w:type="dxa"/>
          </w:tcPr>
          <w:p w14:paraId="52D4DB7A"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The more specific the information is with reference to the causes of pay disparity and the individuals affected, the more valuable the information will be.</w:t>
            </w:r>
          </w:p>
          <w:p w14:paraId="4AF4AD7D"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Action:</w:t>
            </w:r>
          </w:p>
          <w:p w14:paraId="27B069E8" w14:textId="77777777"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56" w:name="_Toc96878416"/>
            <w:r w:rsidRPr="00C95105">
              <w:rPr>
                <w:rFonts w:asciiTheme="minorHAnsi" w:hAnsiTheme="minorHAnsi" w:cstheme="minorHAnsi"/>
                <w:sz w:val="22"/>
                <w:szCs w:val="22"/>
              </w:rPr>
              <w:t>When conducting analysis and when disclosing results, include the most specific details useful while maintaining individual privacy and confidentiality. This may include information such as intersectional characteristics (both individually and collectively), as well as information about relating to job type, occupation, education, supervisory duties, career stage.</w:t>
            </w:r>
            <w:bookmarkEnd w:id="556"/>
          </w:p>
        </w:tc>
      </w:tr>
      <w:tr w:rsidR="0093280F" w:rsidRPr="00C95105" w14:paraId="6B49458B" w14:textId="77777777" w:rsidTr="60DD2AB3">
        <w:tc>
          <w:tcPr>
            <w:tcW w:w="2263" w:type="dxa"/>
          </w:tcPr>
          <w:p w14:paraId="468C5F77" w14:textId="77777777" w:rsidR="0093280F" w:rsidRPr="00C95105" w:rsidRDefault="0093280F" w:rsidP="00756FF3">
            <w:pPr>
              <w:pStyle w:val="ListParagraph"/>
              <w:numPr>
                <w:ilvl w:val="0"/>
                <w:numId w:val="47"/>
              </w:numPr>
              <w:spacing w:after="120"/>
              <w:ind w:left="317" w:hanging="77"/>
              <w:rPr>
                <w:rFonts w:asciiTheme="minorHAnsi" w:hAnsiTheme="minorHAnsi" w:cstheme="minorHAnsi"/>
                <w:b/>
                <w:bCs/>
                <w:i/>
                <w:iCs/>
                <w:sz w:val="22"/>
                <w:szCs w:val="22"/>
              </w:rPr>
            </w:pPr>
            <w:bookmarkStart w:id="557" w:name="_Toc96878417"/>
            <w:r w:rsidRPr="00C95105">
              <w:rPr>
                <w:rFonts w:asciiTheme="minorHAnsi" w:hAnsiTheme="minorHAnsi" w:cstheme="minorHAnsi"/>
                <w:b/>
                <w:bCs/>
                <w:i/>
                <w:iCs/>
                <w:sz w:val="22"/>
                <w:szCs w:val="22"/>
              </w:rPr>
              <w:t>Integration with other information systems and organisational processes</w:t>
            </w:r>
            <w:bookmarkEnd w:id="557"/>
          </w:p>
        </w:tc>
        <w:tc>
          <w:tcPr>
            <w:tcW w:w="6946" w:type="dxa"/>
          </w:tcPr>
          <w:p w14:paraId="12373718" w14:textId="1D997F38" w:rsidR="0093280F" w:rsidRPr="00C95105" w:rsidRDefault="0093280F" w:rsidP="00532791">
            <w:pPr>
              <w:spacing w:after="120"/>
              <w:rPr>
                <w:rFonts w:asciiTheme="minorHAnsi" w:hAnsiTheme="minorHAnsi" w:cstheme="minorHAnsi"/>
                <w:b/>
                <w:bCs/>
                <w:sz w:val="22"/>
                <w:szCs w:val="22"/>
              </w:rPr>
            </w:pPr>
            <w:r w:rsidRPr="00C95105">
              <w:rPr>
                <w:rFonts w:asciiTheme="minorHAnsi" w:hAnsiTheme="minorHAnsi" w:cstheme="minorHAnsi"/>
                <w:b/>
                <w:bCs/>
                <w:sz w:val="22"/>
                <w:szCs w:val="22"/>
              </w:rPr>
              <w:t>Over time, the strategies should be embedded in broader wage-setting and information systems architecture rather than operating as stand-alone initiatives. This will improve information use and may reduce information processing workloads. Feedback loops should also be created between pay audits and organisational processes commonly subject to gender bias such as performance measurement, recruitment, appointment and promotion to ensure process reviews are initiated if pay audit results suggest bias in a particular system or manager’s decision making.</w:t>
            </w:r>
          </w:p>
        </w:tc>
      </w:tr>
      <w:tr w:rsidR="0093280F" w:rsidRPr="00C95105" w14:paraId="745728AC" w14:textId="77777777" w:rsidTr="60DD2AB3">
        <w:tc>
          <w:tcPr>
            <w:tcW w:w="2263" w:type="dxa"/>
          </w:tcPr>
          <w:p w14:paraId="74FDDDAE"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Integrate pay-related information systems with pay-setting architecture </w:t>
            </w:r>
          </w:p>
        </w:tc>
        <w:tc>
          <w:tcPr>
            <w:tcW w:w="6946" w:type="dxa"/>
          </w:tcPr>
          <w:p w14:paraId="4A2E4389" w14:textId="5C31A051" w:rsidR="0093280F" w:rsidRPr="00C95105" w:rsidRDefault="296618A9" w:rsidP="00870FD0">
            <w:pPr>
              <w:spacing w:after="120"/>
              <w:rPr>
                <w:rFonts w:asciiTheme="minorHAnsi" w:hAnsiTheme="minorHAnsi" w:cstheme="minorHAnsi"/>
                <w:sz w:val="22"/>
                <w:szCs w:val="22"/>
              </w:rPr>
            </w:pPr>
            <w:r w:rsidRPr="00C95105">
              <w:rPr>
                <w:rFonts w:asciiTheme="minorHAnsi" w:hAnsiTheme="minorHAnsi" w:cstheme="minorHAnsi"/>
                <w:sz w:val="22"/>
                <w:szCs w:val="22"/>
              </w:rPr>
              <w:t xml:space="preserve">Integrating pay-equity information strategies and pay-setting systems will further support information use by reducing reliance on relationships between business units. At this stage, incorporating scope for comparative job evaluation using a comparable format to existing job sizing reviews </w:t>
            </w:r>
            <w:r w:rsidR="00870FD0" w:rsidRPr="00C95105">
              <w:rPr>
                <w:rFonts w:asciiTheme="minorHAnsi" w:hAnsiTheme="minorHAnsi" w:cstheme="minorHAnsi"/>
                <w:sz w:val="22"/>
                <w:szCs w:val="22"/>
              </w:rPr>
              <w:t xml:space="preserve">(i.e., </w:t>
            </w:r>
            <w:r w:rsidR="00BA6344" w:rsidRPr="00C95105">
              <w:rPr>
                <w:rFonts w:asciiTheme="minorHAnsi" w:hAnsiTheme="minorHAnsi" w:cstheme="minorHAnsi"/>
                <w:sz w:val="22"/>
                <w:szCs w:val="22"/>
              </w:rPr>
              <w:t xml:space="preserve">to </w:t>
            </w:r>
            <w:r w:rsidR="00870FD0" w:rsidRPr="00C95105">
              <w:rPr>
                <w:rFonts w:asciiTheme="minorHAnsi" w:hAnsiTheme="minorHAnsi" w:cstheme="minorHAnsi"/>
                <w:sz w:val="22"/>
                <w:szCs w:val="22"/>
              </w:rPr>
              <w:t>measur</w:t>
            </w:r>
            <w:r w:rsidR="00BA6344" w:rsidRPr="00C95105">
              <w:rPr>
                <w:rFonts w:asciiTheme="minorHAnsi" w:hAnsiTheme="minorHAnsi" w:cstheme="minorHAnsi"/>
                <w:sz w:val="22"/>
                <w:szCs w:val="22"/>
              </w:rPr>
              <w:t>e</w:t>
            </w:r>
            <w:r w:rsidR="00870FD0" w:rsidRPr="00C95105">
              <w:rPr>
                <w:rFonts w:asciiTheme="minorHAnsi" w:hAnsiTheme="minorHAnsi" w:cstheme="minorHAnsi"/>
                <w:sz w:val="22"/>
                <w:szCs w:val="22"/>
              </w:rPr>
              <w:t xml:space="preserve"> and secur</w:t>
            </w:r>
            <w:r w:rsidR="00BA6344" w:rsidRPr="00C95105">
              <w:rPr>
                <w:rFonts w:asciiTheme="minorHAnsi" w:hAnsiTheme="minorHAnsi" w:cstheme="minorHAnsi"/>
                <w:sz w:val="22"/>
                <w:szCs w:val="22"/>
              </w:rPr>
              <w:t xml:space="preserve">e </w:t>
            </w:r>
            <w:r w:rsidR="00870FD0" w:rsidRPr="00C95105">
              <w:rPr>
                <w:rFonts w:asciiTheme="minorHAnsi" w:hAnsiTheme="minorHAnsi" w:cstheme="minorHAnsi"/>
                <w:sz w:val="22"/>
                <w:szCs w:val="22"/>
              </w:rPr>
              <w:t xml:space="preserve">agreement </w:t>
            </w:r>
            <w:r w:rsidR="00BA6344" w:rsidRPr="00C95105">
              <w:rPr>
                <w:rFonts w:asciiTheme="minorHAnsi" w:hAnsiTheme="minorHAnsi" w:cstheme="minorHAnsi"/>
                <w:sz w:val="22"/>
                <w:szCs w:val="22"/>
              </w:rPr>
              <w:t xml:space="preserve">between workers and management </w:t>
            </w:r>
            <w:r w:rsidR="00870FD0" w:rsidRPr="00C95105">
              <w:rPr>
                <w:rFonts w:asciiTheme="minorHAnsi" w:hAnsiTheme="minorHAnsi" w:cstheme="minorHAnsi"/>
                <w:sz w:val="22"/>
                <w:szCs w:val="22"/>
              </w:rPr>
              <w:t>about the time and staffing</w:t>
            </w:r>
            <w:r w:rsidR="00BA6344" w:rsidRPr="00C95105">
              <w:rPr>
                <w:rFonts w:asciiTheme="minorHAnsi" w:hAnsiTheme="minorHAnsi" w:cstheme="minorHAnsi"/>
                <w:sz w:val="22"/>
                <w:szCs w:val="22"/>
              </w:rPr>
              <w:t xml:space="preserve"> </w:t>
            </w:r>
            <w:r w:rsidR="00870FD0" w:rsidRPr="00C95105">
              <w:rPr>
                <w:rFonts w:asciiTheme="minorHAnsi" w:hAnsiTheme="minorHAnsi" w:cstheme="minorHAnsi"/>
                <w:sz w:val="22"/>
                <w:szCs w:val="22"/>
              </w:rPr>
              <w:t>levels needed to complete</w:t>
            </w:r>
            <w:r w:rsidR="00BA6344" w:rsidRPr="00C95105">
              <w:rPr>
                <w:rFonts w:asciiTheme="minorHAnsi" w:hAnsiTheme="minorHAnsi" w:cstheme="minorHAnsi"/>
                <w:sz w:val="22"/>
                <w:szCs w:val="22"/>
              </w:rPr>
              <w:t xml:space="preserve"> work tasks </w:t>
            </w:r>
            <w:r w:rsidR="00870FD0" w:rsidRPr="00C95105">
              <w:rPr>
                <w:rFonts w:asciiTheme="minorHAnsi" w:hAnsiTheme="minorHAnsi" w:cstheme="minorHAnsi"/>
                <w:sz w:val="22"/>
                <w:szCs w:val="22"/>
              </w:rPr>
              <w:t xml:space="preserve">required </w:t>
            </w:r>
            <w:r w:rsidR="00BA6344" w:rsidRPr="00C95105">
              <w:rPr>
                <w:rFonts w:asciiTheme="minorHAnsi" w:hAnsiTheme="minorHAnsi" w:cstheme="minorHAnsi"/>
                <w:sz w:val="22"/>
                <w:szCs w:val="22"/>
              </w:rPr>
              <w:t>to create a product or deliver a</w:t>
            </w:r>
            <w:r w:rsidR="00870FD0" w:rsidRPr="00C95105">
              <w:rPr>
                <w:rFonts w:asciiTheme="minorHAnsi" w:hAnsiTheme="minorHAnsi" w:cstheme="minorHAnsi"/>
                <w:sz w:val="22"/>
                <w:szCs w:val="22"/>
              </w:rPr>
              <w:t xml:space="preserve"> service) </w:t>
            </w:r>
            <w:r w:rsidRPr="00C95105">
              <w:rPr>
                <w:rFonts w:asciiTheme="minorHAnsi" w:hAnsiTheme="minorHAnsi" w:cstheme="minorHAnsi"/>
                <w:sz w:val="22"/>
                <w:szCs w:val="22"/>
              </w:rPr>
              <w:t xml:space="preserve">will further support system integration for pay equity. </w:t>
            </w:r>
          </w:p>
          <w:p w14:paraId="6BE1CB30"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Action:</w:t>
            </w:r>
          </w:p>
          <w:p w14:paraId="503CEA45" w14:textId="77777777" w:rsidR="0093280F" w:rsidRPr="00C95105" w:rsidRDefault="0093280F" w:rsidP="00534510">
            <w:pPr>
              <w:pStyle w:val="ListParagraph"/>
              <w:numPr>
                <w:ilvl w:val="0"/>
                <w:numId w:val="25"/>
              </w:numPr>
              <w:spacing w:after="120"/>
              <w:ind w:left="459" w:hanging="283"/>
              <w:rPr>
                <w:rFonts w:asciiTheme="minorHAnsi" w:hAnsiTheme="minorHAnsi" w:cstheme="minorHAnsi"/>
                <w:sz w:val="22"/>
                <w:szCs w:val="22"/>
              </w:rPr>
            </w:pPr>
            <w:bookmarkStart w:id="558" w:name="_Toc96878418"/>
            <w:r w:rsidRPr="00C95105">
              <w:rPr>
                <w:rFonts w:asciiTheme="minorHAnsi" w:hAnsiTheme="minorHAnsi" w:cstheme="minorHAnsi"/>
                <w:sz w:val="22"/>
                <w:szCs w:val="22"/>
              </w:rPr>
              <w:t>Create procedural connections between pay audits and pay-setting systems; for example, require pay audit results be considered during enterprise bargaining.</w:t>
            </w:r>
            <w:bookmarkEnd w:id="558"/>
          </w:p>
          <w:p w14:paraId="4BF44064" w14:textId="40A02AA6" w:rsidR="0093280F" w:rsidRPr="00C95105" w:rsidRDefault="296618A9" w:rsidP="00534510">
            <w:pPr>
              <w:pStyle w:val="ListParagraph"/>
              <w:numPr>
                <w:ilvl w:val="0"/>
                <w:numId w:val="25"/>
              </w:numPr>
              <w:spacing w:after="120"/>
              <w:ind w:left="459" w:hanging="283"/>
              <w:rPr>
                <w:rFonts w:asciiTheme="minorHAnsi" w:hAnsiTheme="minorHAnsi" w:cstheme="minorHAnsi"/>
                <w:sz w:val="22"/>
                <w:szCs w:val="22"/>
              </w:rPr>
            </w:pPr>
            <w:bookmarkStart w:id="559" w:name="_Toc96878419"/>
            <w:r w:rsidRPr="00C95105">
              <w:rPr>
                <w:rFonts w:asciiTheme="minorHAnsi" w:hAnsiTheme="minorHAnsi" w:cstheme="minorHAnsi"/>
                <w:sz w:val="22"/>
                <w:szCs w:val="22"/>
              </w:rPr>
              <w:t xml:space="preserve">Create scope for comparative job evaluation using a comparable format to existing job sizing reviews if pay audits identify clear pay </w:t>
            </w:r>
            <w:r w:rsidR="000A2E91" w:rsidRPr="00C95105">
              <w:rPr>
                <w:rFonts w:asciiTheme="minorHAnsi" w:hAnsiTheme="minorHAnsi" w:cstheme="minorHAnsi"/>
                <w:sz w:val="22"/>
                <w:szCs w:val="22"/>
              </w:rPr>
              <w:t>in</w:t>
            </w:r>
            <w:r w:rsidRPr="00C95105">
              <w:rPr>
                <w:rFonts w:asciiTheme="minorHAnsi" w:hAnsiTheme="minorHAnsi" w:cstheme="minorHAnsi"/>
                <w:sz w:val="22"/>
                <w:szCs w:val="22"/>
              </w:rPr>
              <w:t>equities between positions dominated by distinct demographic groups (e.g., men and women, Indigenous and non-Indigenous).</w:t>
            </w:r>
            <w:bookmarkEnd w:id="559"/>
          </w:p>
        </w:tc>
      </w:tr>
      <w:tr w:rsidR="0093280F" w:rsidRPr="00C95105" w14:paraId="6073ECE8" w14:textId="77777777" w:rsidTr="60DD2AB3">
        <w:tc>
          <w:tcPr>
            <w:tcW w:w="2263" w:type="dxa"/>
          </w:tcPr>
          <w:p w14:paraId="4EC04159"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Embed pay-related information into human resource information systems</w:t>
            </w:r>
          </w:p>
        </w:tc>
        <w:tc>
          <w:tcPr>
            <w:tcW w:w="6946" w:type="dxa"/>
          </w:tcPr>
          <w:p w14:paraId="4097DEB4" w14:textId="323FF19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Embedding pay equity information strategy inputs and outputs in existing information systems will support process automation and live pay equity information for real time monitoring. Over time, departments and agencies should look to develop lead indicators for each of the workplace </w:t>
            </w:r>
            <w:r w:rsidRPr="00C95105">
              <w:rPr>
                <w:rFonts w:asciiTheme="minorHAnsi" w:hAnsiTheme="minorHAnsi" w:cstheme="minorHAnsi"/>
                <w:sz w:val="22"/>
                <w:szCs w:val="22"/>
              </w:rPr>
              <w:lastRenderedPageBreak/>
              <w:t xml:space="preserve">equality indicators nominated in the </w:t>
            </w:r>
            <w:r w:rsidR="00F45F63" w:rsidRPr="00C95105">
              <w:rPr>
                <w:rFonts w:asciiTheme="minorHAnsi" w:hAnsiTheme="minorHAnsi" w:cstheme="minorHAnsi"/>
                <w:sz w:val="22"/>
                <w:szCs w:val="22"/>
              </w:rPr>
              <w:t xml:space="preserve">Gender Equality Act 2020 (Vic) </w:t>
            </w:r>
            <w:r w:rsidRPr="00C95105">
              <w:rPr>
                <w:rFonts w:asciiTheme="minorHAnsi" w:hAnsiTheme="minorHAnsi" w:cstheme="minorHAnsi"/>
                <w:sz w:val="22"/>
                <w:szCs w:val="22"/>
              </w:rPr>
              <w:t>to support quality improvement.</w:t>
            </w:r>
          </w:p>
          <w:p w14:paraId="1D478465" w14:textId="77777777" w:rsidR="0093280F" w:rsidRPr="00C95105" w:rsidRDefault="0093280F" w:rsidP="00532791">
            <w:pPr>
              <w:spacing w:after="120"/>
              <w:rPr>
                <w:rFonts w:asciiTheme="minorHAnsi" w:hAnsiTheme="minorHAnsi" w:cstheme="minorHAnsi"/>
                <w:sz w:val="22"/>
                <w:szCs w:val="22"/>
              </w:rPr>
            </w:pPr>
            <w:r w:rsidRPr="00C95105">
              <w:rPr>
                <w:rFonts w:asciiTheme="minorHAnsi" w:hAnsiTheme="minorHAnsi" w:cstheme="minorHAnsi"/>
                <w:sz w:val="22"/>
                <w:szCs w:val="22"/>
              </w:rPr>
              <w:t>Action:</w:t>
            </w:r>
          </w:p>
          <w:p w14:paraId="5BAEEAD6" w14:textId="7CD5AF82" w:rsidR="0093280F" w:rsidRPr="00C95105" w:rsidRDefault="296618A9" w:rsidP="00534510">
            <w:pPr>
              <w:pStyle w:val="ListParagraph"/>
              <w:numPr>
                <w:ilvl w:val="0"/>
                <w:numId w:val="25"/>
              </w:numPr>
              <w:spacing w:after="120"/>
              <w:ind w:left="459" w:hanging="283"/>
              <w:rPr>
                <w:rFonts w:asciiTheme="minorHAnsi" w:hAnsiTheme="minorHAnsi" w:cstheme="minorHAnsi"/>
                <w:sz w:val="22"/>
                <w:szCs w:val="22"/>
              </w:rPr>
            </w:pPr>
            <w:bookmarkStart w:id="560" w:name="_Toc96878420"/>
            <w:r w:rsidRPr="00C95105">
              <w:rPr>
                <w:rFonts w:asciiTheme="minorHAnsi" w:hAnsiTheme="minorHAnsi" w:cstheme="minorHAnsi"/>
                <w:sz w:val="22"/>
                <w:szCs w:val="22"/>
              </w:rPr>
              <w:t>Develop human resource information systems to ensure data storage and linkages between data sets (e.g., personal information, payroll, job evaluation) that enable live data monitoring and automatic pay equity reporting.</w:t>
            </w:r>
            <w:bookmarkEnd w:id="560"/>
            <w:r w:rsidRPr="00C95105">
              <w:rPr>
                <w:rFonts w:asciiTheme="minorHAnsi" w:hAnsiTheme="minorHAnsi" w:cstheme="minorHAnsi"/>
                <w:sz w:val="22"/>
                <w:szCs w:val="22"/>
              </w:rPr>
              <w:t xml:space="preserve"> </w:t>
            </w:r>
          </w:p>
        </w:tc>
      </w:tr>
    </w:tbl>
    <w:p w14:paraId="71F25ED8" w14:textId="1F99C3FC" w:rsidR="0093280F" w:rsidRPr="00C95105" w:rsidRDefault="0093280F" w:rsidP="0093280F">
      <w:pPr>
        <w:spacing w:after="120"/>
        <w:jc w:val="both"/>
        <w:rPr>
          <w:rFonts w:asciiTheme="minorHAnsi" w:hAnsiTheme="minorHAnsi" w:cstheme="minorHAnsi"/>
          <w:sz w:val="22"/>
          <w:szCs w:val="22"/>
        </w:rPr>
      </w:pPr>
    </w:p>
    <w:p w14:paraId="3D08A619" w14:textId="1F99C3FC" w:rsidR="0093280F" w:rsidRPr="00C95105" w:rsidRDefault="0093280F" w:rsidP="00756FF3">
      <w:pPr>
        <w:pStyle w:val="Heading2"/>
        <w:numPr>
          <w:ilvl w:val="1"/>
          <w:numId w:val="26"/>
        </w:numPr>
        <w:spacing w:before="0" w:after="120"/>
        <w:ind w:left="426" w:hanging="426"/>
        <w:rPr>
          <w:rFonts w:asciiTheme="minorHAnsi" w:hAnsiTheme="minorHAnsi" w:cstheme="minorHAnsi"/>
          <w:b/>
          <w:bCs/>
        </w:rPr>
      </w:pPr>
      <w:bookmarkStart w:id="561" w:name="_Toc96957733"/>
      <w:r w:rsidRPr="00C95105">
        <w:rPr>
          <w:rFonts w:asciiTheme="minorHAnsi" w:hAnsiTheme="minorHAnsi" w:cstheme="minorHAnsi"/>
          <w:b/>
          <w:bCs/>
        </w:rPr>
        <w:t>Conclusions</w:t>
      </w:r>
      <w:bookmarkEnd w:id="561"/>
    </w:p>
    <w:p w14:paraId="0FD8D9BD" w14:textId="63E577DA" w:rsidR="004739C1" w:rsidRPr="00C95105" w:rsidRDefault="296618A9" w:rsidP="004739C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There is a clear need for more evidence on effective pay equity practice within organisations, including more evaluation of strategies’ impact on an organisation’s gender pay gap. The quantity of organisational research on the three pay equity strategies is clearly at odds with the number of organisations implementing them. This review yielded only twelve studies published over the past twenty years despite the hundreds</w:t>
      </w:r>
      <w:r w:rsidR="00A01DA0" w:rsidRPr="00C95105">
        <w:rPr>
          <w:rFonts w:asciiTheme="minorHAnsi" w:hAnsiTheme="minorHAnsi" w:cstheme="minorHAnsi"/>
          <w:sz w:val="22"/>
          <w:szCs w:val="22"/>
        </w:rPr>
        <w:t>, if not</w:t>
      </w:r>
      <w:r w:rsidRPr="00C95105">
        <w:rPr>
          <w:rFonts w:asciiTheme="minorHAnsi" w:hAnsiTheme="minorHAnsi" w:cstheme="minorHAnsi"/>
          <w:sz w:val="22"/>
          <w:szCs w:val="22"/>
        </w:rPr>
        <w:t xml:space="preserve"> thousands</w:t>
      </w:r>
      <w:r w:rsidR="10FA726C" w:rsidRPr="00C95105">
        <w:rPr>
          <w:rFonts w:asciiTheme="minorHAnsi" w:hAnsiTheme="minorHAnsi" w:cstheme="minorHAnsi"/>
          <w:sz w:val="22"/>
          <w:szCs w:val="22"/>
        </w:rPr>
        <w:t>,</w:t>
      </w:r>
      <w:r w:rsidRPr="00C95105">
        <w:rPr>
          <w:rFonts w:asciiTheme="minorHAnsi" w:hAnsiTheme="minorHAnsi" w:cstheme="minorHAnsi"/>
          <w:sz w:val="22"/>
          <w:szCs w:val="22"/>
        </w:rPr>
        <w:t xml:space="preserve"> of organisations implementing them every year under legislative mandate. The limited empirical research is likely a reflection of employers’ reluctance to share pay related data with researchers. </w:t>
      </w:r>
    </w:p>
    <w:p w14:paraId="0D25D42C" w14:textId="5B068930" w:rsidR="0093280F" w:rsidRPr="00C95105" w:rsidRDefault="296618A9" w:rsidP="004739C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all review studies reporting on organisational pay data, the authors were directly involved in the pay equity strategy – typically as an expert adviser. Even if organisations continue to be wary of sharing data with academic researchers, both organisations and agencies monitoring pay gap reporting should work to build the evidence base on effective organisation level pay equity initiatives by evaluating both implementation process and impact on pay gaps over short, medium</w:t>
      </w:r>
      <w:r w:rsidR="10FA726C" w:rsidRPr="00C95105">
        <w:rPr>
          <w:rFonts w:asciiTheme="minorHAnsi" w:hAnsiTheme="minorHAnsi" w:cstheme="minorHAnsi"/>
          <w:sz w:val="22"/>
          <w:szCs w:val="22"/>
        </w:rPr>
        <w:t>,</w:t>
      </w:r>
      <w:r w:rsidRPr="00C95105">
        <w:rPr>
          <w:rFonts w:asciiTheme="minorHAnsi" w:hAnsiTheme="minorHAnsi" w:cstheme="minorHAnsi"/>
          <w:sz w:val="22"/>
          <w:szCs w:val="22"/>
        </w:rPr>
        <w:t xml:space="preserve"> and long term. The VPS is in a unique position to build a strong evidence base on th</w:t>
      </w:r>
      <w:r w:rsidR="00B73C34" w:rsidRPr="00C95105">
        <w:rPr>
          <w:rFonts w:asciiTheme="minorHAnsi" w:hAnsiTheme="minorHAnsi" w:cstheme="minorHAnsi"/>
          <w:sz w:val="22"/>
          <w:szCs w:val="22"/>
        </w:rPr>
        <w:t>e</w:t>
      </w:r>
      <w:r w:rsidRPr="00C95105">
        <w:rPr>
          <w:rFonts w:asciiTheme="minorHAnsi" w:hAnsiTheme="minorHAnsi" w:cstheme="minorHAnsi"/>
          <w:sz w:val="22"/>
          <w:szCs w:val="22"/>
        </w:rPr>
        <w:t xml:space="preserve"> implementation of a uniform approach to pay equity information strategies, and to be one of the first to develop knowledge about intersectional pay inequity. </w:t>
      </w:r>
    </w:p>
    <w:p w14:paraId="7F494B69" w14:textId="77777777" w:rsidR="000733B5" w:rsidRPr="00C95105" w:rsidRDefault="000733B5" w:rsidP="004739C1">
      <w:pPr>
        <w:spacing w:after="120"/>
        <w:ind w:firstLine="567"/>
        <w:rPr>
          <w:rFonts w:asciiTheme="minorHAnsi" w:hAnsiTheme="minorHAnsi" w:cstheme="minorHAnsi"/>
          <w:sz w:val="22"/>
          <w:szCs w:val="22"/>
        </w:rPr>
      </w:pPr>
    </w:p>
    <w:p w14:paraId="3A3DB86D" w14:textId="77777777" w:rsidR="0093280F" w:rsidRPr="00C95105" w:rsidRDefault="0093280F" w:rsidP="00756FF3">
      <w:pPr>
        <w:pStyle w:val="Heading2"/>
        <w:numPr>
          <w:ilvl w:val="1"/>
          <w:numId w:val="26"/>
        </w:numPr>
        <w:spacing w:before="0" w:after="120"/>
        <w:ind w:left="426" w:hanging="426"/>
        <w:rPr>
          <w:rFonts w:asciiTheme="minorHAnsi" w:hAnsiTheme="minorHAnsi" w:cstheme="minorHAnsi"/>
          <w:b/>
          <w:bCs/>
        </w:rPr>
      </w:pPr>
      <w:bookmarkStart w:id="562" w:name="_Toc96957734"/>
      <w:r w:rsidRPr="00C95105">
        <w:rPr>
          <w:rFonts w:asciiTheme="minorHAnsi" w:hAnsiTheme="minorHAnsi" w:cstheme="minorHAnsi"/>
          <w:b/>
          <w:bCs/>
        </w:rPr>
        <w:t>Cited References</w:t>
      </w:r>
      <w:bookmarkEnd w:id="562"/>
    </w:p>
    <w:p w14:paraId="5DF93A1B"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Acker, J. (1991). </w:t>
      </w:r>
      <w:r w:rsidRPr="00C95105">
        <w:rPr>
          <w:rFonts w:asciiTheme="minorHAnsi" w:hAnsiTheme="minorHAnsi" w:cstheme="minorHAnsi"/>
          <w:i/>
          <w:iCs/>
          <w:sz w:val="22"/>
          <w:szCs w:val="22"/>
        </w:rPr>
        <w:t>Doing comparable worth</w:t>
      </w:r>
      <w:r w:rsidRPr="00C95105">
        <w:rPr>
          <w:rFonts w:asciiTheme="minorHAnsi" w:hAnsiTheme="minorHAnsi" w:cstheme="minorHAnsi"/>
          <w:sz w:val="22"/>
          <w:szCs w:val="22"/>
        </w:rPr>
        <w:t>. Temple University Press, USA</w:t>
      </w:r>
    </w:p>
    <w:p w14:paraId="3D371060"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Ainsworth, S., Knox, A., &amp; O'Flynn, J. (2010). ‘A blinding lack of progress’: management rhetoric and affirmative action. </w:t>
      </w:r>
      <w:r w:rsidRPr="00C95105">
        <w:rPr>
          <w:rFonts w:asciiTheme="minorHAnsi" w:hAnsiTheme="minorHAnsi" w:cstheme="minorHAnsi"/>
          <w:i/>
          <w:iCs/>
          <w:sz w:val="22"/>
          <w:szCs w:val="22"/>
        </w:rPr>
        <w:t>Gender, Work &amp; Organization</w:t>
      </w:r>
      <w:r w:rsidRPr="00C95105">
        <w:rPr>
          <w:rFonts w:asciiTheme="minorHAnsi" w:hAnsiTheme="minorHAnsi" w:cstheme="minorHAnsi"/>
          <w:sz w:val="22"/>
          <w:szCs w:val="22"/>
        </w:rPr>
        <w:t>, 17(6), 658-678.</w:t>
      </w:r>
    </w:p>
    <w:p w14:paraId="047C024E"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Arksey, H., &amp; O'Malley, L. (2005). Scoping studies: towards a methodological framework. </w:t>
      </w:r>
      <w:r w:rsidRPr="00C95105">
        <w:rPr>
          <w:rFonts w:asciiTheme="minorHAnsi" w:hAnsiTheme="minorHAnsi" w:cstheme="minorHAnsi"/>
          <w:i/>
          <w:iCs/>
          <w:sz w:val="22"/>
          <w:szCs w:val="22"/>
        </w:rPr>
        <w:t>International journal of social research methodology</w:t>
      </w:r>
      <w:r w:rsidRPr="00C95105">
        <w:rPr>
          <w:rFonts w:asciiTheme="minorHAnsi" w:hAnsiTheme="minorHAnsi" w:cstheme="minorHAnsi"/>
          <w:sz w:val="22"/>
          <w:szCs w:val="22"/>
        </w:rPr>
        <w:t>, 8(1), 19-32.</w:t>
      </w:r>
    </w:p>
    <w:p w14:paraId="24710C21"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Cowper-Coles, M., Glennie, M., Borges, A. M., &amp; Schmid, C. (2021). </w:t>
      </w:r>
      <w:r w:rsidRPr="00C95105">
        <w:rPr>
          <w:rFonts w:asciiTheme="minorHAnsi" w:hAnsiTheme="minorHAnsi" w:cstheme="minorHAnsi"/>
          <w:i/>
          <w:iCs/>
          <w:sz w:val="22"/>
          <w:szCs w:val="22"/>
        </w:rPr>
        <w:t>Bridging the gap? An analysis of gender pay gap reporting in six countries</w:t>
      </w:r>
      <w:r w:rsidRPr="00C95105">
        <w:rPr>
          <w:rFonts w:asciiTheme="minorHAnsi" w:hAnsiTheme="minorHAnsi" w:cstheme="minorHAnsi"/>
          <w:sz w:val="22"/>
          <w:szCs w:val="22"/>
        </w:rPr>
        <w:t xml:space="preserve">. Report for the United Nations Foundation </w:t>
      </w:r>
      <w:hyperlink r:id="rId118" w:history="1">
        <w:r w:rsidRPr="00C95105">
          <w:rPr>
            <w:rStyle w:val="Hyperlink"/>
            <w:rFonts w:asciiTheme="minorHAnsi" w:hAnsiTheme="minorHAnsi" w:cstheme="minorHAnsi"/>
            <w:sz w:val="22"/>
            <w:szCs w:val="22"/>
          </w:rPr>
          <w:t>https://www.kcl.ac.uk/giwl/assets/bridging-the-gap-full-report.pdf</w:t>
        </w:r>
      </w:hyperlink>
    </w:p>
    <w:p w14:paraId="1FEB24C2" w14:textId="77777777" w:rsidR="0093280F" w:rsidRPr="00C95105" w:rsidRDefault="0093280F" w:rsidP="00DA5F66">
      <w:pPr>
        <w:spacing w:after="120"/>
        <w:ind w:left="567" w:hanging="567"/>
        <w:rPr>
          <w:rFonts w:asciiTheme="minorHAnsi" w:hAnsiTheme="minorHAnsi" w:cstheme="minorHAnsi"/>
          <w:color w:val="222222"/>
          <w:sz w:val="22"/>
          <w:szCs w:val="22"/>
          <w:shd w:val="clear" w:color="auto" w:fill="FFFFFF"/>
        </w:rPr>
      </w:pPr>
      <w:r w:rsidRPr="00C95105">
        <w:rPr>
          <w:rFonts w:asciiTheme="minorHAnsi" w:hAnsiTheme="minorHAnsi" w:cstheme="minorHAnsi"/>
          <w:color w:val="222222"/>
          <w:sz w:val="22"/>
          <w:szCs w:val="22"/>
          <w:shd w:val="clear" w:color="auto" w:fill="FFFFFF"/>
        </w:rPr>
        <w:t>Figart, D. M. (2000). Equal pay for equal work: The role of job evaluation in an evolving social norm. </w:t>
      </w:r>
      <w:r w:rsidRPr="00C95105">
        <w:rPr>
          <w:rFonts w:asciiTheme="minorHAnsi" w:hAnsiTheme="minorHAnsi" w:cstheme="minorHAnsi"/>
          <w:i/>
          <w:iCs/>
          <w:color w:val="222222"/>
          <w:sz w:val="22"/>
          <w:szCs w:val="22"/>
          <w:shd w:val="clear" w:color="auto" w:fill="FFFFFF"/>
        </w:rPr>
        <w:t>Journal of Economic Issues</w:t>
      </w:r>
      <w:r w:rsidRPr="00C95105">
        <w:rPr>
          <w:rFonts w:asciiTheme="minorHAnsi" w:hAnsiTheme="minorHAnsi" w:cstheme="minorHAnsi"/>
          <w:color w:val="222222"/>
          <w:sz w:val="22"/>
          <w:szCs w:val="22"/>
          <w:shd w:val="clear" w:color="auto" w:fill="FFFFFF"/>
        </w:rPr>
        <w:t>, </w:t>
      </w:r>
      <w:r w:rsidRPr="00C95105">
        <w:rPr>
          <w:rFonts w:asciiTheme="minorHAnsi" w:hAnsiTheme="minorHAnsi" w:cstheme="minorHAnsi"/>
          <w:i/>
          <w:iCs/>
          <w:color w:val="222222"/>
          <w:sz w:val="22"/>
          <w:szCs w:val="22"/>
          <w:shd w:val="clear" w:color="auto" w:fill="FFFFFF"/>
        </w:rPr>
        <w:t>34</w:t>
      </w:r>
      <w:r w:rsidRPr="00C95105">
        <w:rPr>
          <w:rFonts w:asciiTheme="minorHAnsi" w:hAnsiTheme="minorHAnsi" w:cstheme="minorHAnsi"/>
          <w:color w:val="222222"/>
          <w:sz w:val="22"/>
          <w:szCs w:val="22"/>
          <w:shd w:val="clear" w:color="auto" w:fill="FFFFFF"/>
        </w:rPr>
        <w:t>(1), 1-19.</w:t>
      </w:r>
    </w:p>
    <w:p w14:paraId="5D3EC649" w14:textId="77777777" w:rsidR="000733B5" w:rsidRPr="00C95105" w:rsidRDefault="000733B5" w:rsidP="000733B5">
      <w:pPr>
        <w:pStyle w:val="CommentText"/>
        <w:spacing w:after="120"/>
        <w:ind w:left="567" w:hanging="567"/>
        <w:rPr>
          <w:rFonts w:asciiTheme="minorHAnsi" w:eastAsia="Calibri" w:hAnsiTheme="minorHAnsi" w:cstheme="minorHAnsi"/>
          <w:color w:val="000000" w:themeColor="text1"/>
          <w:sz w:val="22"/>
          <w:szCs w:val="22"/>
        </w:rPr>
      </w:pPr>
      <w:r w:rsidRPr="00C95105">
        <w:rPr>
          <w:rFonts w:asciiTheme="minorHAnsi" w:eastAsia="Calibri" w:hAnsiTheme="minorHAnsi" w:cstheme="minorHAnsi"/>
          <w:color w:val="000000" w:themeColor="text1"/>
          <w:sz w:val="22"/>
          <w:szCs w:val="22"/>
        </w:rPr>
        <w:t>Gender Equality Act 2020 (Vic). Retrieved from https://www.legislation.vic.gov.au/as-made/acts/gender-equality-act-2020</w:t>
      </w:r>
    </w:p>
    <w:p w14:paraId="1AEDE6FE"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color w:val="222222"/>
          <w:sz w:val="22"/>
          <w:szCs w:val="22"/>
          <w:shd w:val="clear" w:color="auto" w:fill="FFFFFF"/>
        </w:rPr>
        <w:t>Georgeac, O., &amp; Rattan, A. (2019). Progress in women’s representation in top leadership weakens people’s disturbance with gender inequality in other domains. </w:t>
      </w:r>
      <w:r w:rsidRPr="00C95105">
        <w:rPr>
          <w:rFonts w:asciiTheme="minorHAnsi" w:hAnsiTheme="minorHAnsi" w:cstheme="minorHAnsi"/>
          <w:i/>
          <w:iCs/>
          <w:color w:val="222222"/>
          <w:sz w:val="22"/>
          <w:szCs w:val="22"/>
          <w:shd w:val="clear" w:color="auto" w:fill="FFFFFF"/>
        </w:rPr>
        <w:t>Journal of Experimental Psychology: General</w:t>
      </w:r>
      <w:r w:rsidRPr="00C95105">
        <w:rPr>
          <w:rFonts w:asciiTheme="minorHAnsi" w:hAnsiTheme="minorHAnsi" w:cstheme="minorHAnsi"/>
          <w:color w:val="222222"/>
          <w:sz w:val="22"/>
          <w:szCs w:val="22"/>
          <w:shd w:val="clear" w:color="auto" w:fill="FFFFFF"/>
        </w:rPr>
        <w:t>, </w:t>
      </w:r>
      <w:r w:rsidRPr="00C95105">
        <w:rPr>
          <w:rFonts w:asciiTheme="minorHAnsi" w:hAnsiTheme="minorHAnsi" w:cstheme="minorHAnsi"/>
          <w:i/>
          <w:iCs/>
          <w:color w:val="222222"/>
          <w:sz w:val="22"/>
          <w:szCs w:val="22"/>
          <w:shd w:val="clear" w:color="auto" w:fill="FFFFFF"/>
        </w:rPr>
        <w:t>148</w:t>
      </w:r>
      <w:r w:rsidRPr="00C95105">
        <w:rPr>
          <w:rFonts w:asciiTheme="minorHAnsi" w:hAnsiTheme="minorHAnsi" w:cstheme="minorHAnsi"/>
          <w:color w:val="222222"/>
          <w:sz w:val="22"/>
          <w:szCs w:val="22"/>
          <w:shd w:val="clear" w:color="auto" w:fill="FFFFFF"/>
        </w:rPr>
        <w:t>(8), 1435</w:t>
      </w:r>
    </w:p>
    <w:p w14:paraId="33C360D0"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Glennie, M., von Reibneitz, A., William, J., &amp; Bordia, S. (2021). </w:t>
      </w:r>
      <w:r w:rsidRPr="00C95105">
        <w:rPr>
          <w:rFonts w:asciiTheme="minorHAnsi" w:hAnsiTheme="minorHAnsi" w:cstheme="minorHAnsi"/>
          <w:i/>
          <w:iCs/>
          <w:sz w:val="22"/>
          <w:szCs w:val="22"/>
        </w:rPr>
        <w:t>Gender pay gap reporting in Australia</w:t>
      </w:r>
      <w:r w:rsidRPr="00C95105">
        <w:rPr>
          <w:rFonts w:asciiTheme="minorHAnsi" w:hAnsiTheme="minorHAnsi" w:cstheme="minorHAnsi"/>
          <w:sz w:val="22"/>
          <w:szCs w:val="22"/>
        </w:rPr>
        <w:t>. Report for the United Nations Foundation</w:t>
      </w:r>
    </w:p>
    <w:p w14:paraId="6965CA6D" w14:textId="77777777" w:rsidR="0093280F" w:rsidRPr="00C95105" w:rsidRDefault="004E2360" w:rsidP="00DA5F66">
      <w:pPr>
        <w:spacing w:after="120"/>
        <w:ind w:left="567" w:hanging="567"/>
        <w:rPr>
          <w:rFonts w:asciiTheme="minorHAnsi" w:hAnsiTheme="minorHAnsi" w:cstheme="minorHAnsi"/>
          <w:sz w:val="22"/>
          <w:szCs w:val="22"/>
        </w:rPr>
      </w:pPr>
      <w:hyperlink r:id="rId119" w:history="1">
        <w:r w:rsidR="0093280F" w:rsidRPr="00C95105">
          <w:rPr>
            <w:rStyle w:val="Hyperlink"/>
            <w:rFonts w:asciiTheme="minorHAnsi" w:hAnsiTheme="minorHAnsi" w:cstheme="minorHAnsi"/>
            <w:sz w:val="22"/>
            <w:szCs w:val="22"/>
          </w:rPr>
          <w:t>https://giwl.anu.edu.au/sites/default/files/docs/2021/10/Gender%20pay%20gap%20reporting%20in%20Australia%20-%20time%20for%20an%20upgrade.pdf</w:t>
        </w:r>
      </w:hyperlink>
    </w:p>
    <w:p w14:paraId="0113A0A7"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color w:val="215E9F"/>
          <w:sz w:val="22"/>
          <w:szCs w:val="22"/>
          <w:u w:val="single"/>
        </w:rPr>
        <w:t>https://www.wgea.gov.au/pay-equity</w:t>
      </w:r>
      <w:r w:rsidRPr="00C95105">
        <w:rPr>
          <w:rFonts w:asciiTheme="minorHAnsi" w:hAnsiTheme="minorHAnsi" w:cstheme="minorHAnsi"/>
          <w:color w:val="000000"/>
          <w:sz w:val="22"/>
          <w:szCs w:val="22"/>
        </w:rPr>
        <w:t>.</w:t>
      </w:r>
      <w:r w:rsidRPr="00C95105">
        <w:rPr>
          <w:rFonts w:asciiTheme="minorHAnsi" w:hAnsiTheme="minorHAnsi" w:cstheme="minorHAnsi"/>
          <w:sz w:val="22"/>
          <w:szCs w:val="22"/>
        </w:rPr>
        <w:t xml:space="preserve"> </w:t>
      </w:r>
    </w:p>
    <w:p w14:paraId="6906CD1B" w14:textId="77777777" w:rsidR="0093280F" w:rsidRPr="00C95105" w:rsidRDefault="004E2360" w:rsidP="00DA5F66">
      <w:pPr>
        <w:spacing w:after="120"/>
        <w:ind w:left="567" w:hanging="567"/>
        <w:rPr>
          <w:rFonts w:asciiTheme="minorHAnsi" w:hAnsiTheme="minorHAnsi" w:cstheme="minorHAnsi"/>
          <w:sz w:val="22"/>
          <w:szCs w:val="22"/>
        </w:rPr>
      </w:pPr>
      <w:hyperlink r:id="rId120" w:history="1">
        <w:r w:rsidR="0093280F" w:rsidRPr="00C95105">
          <w:rPr>
            <w:rStyle w:val="Hyperlink"/>
            <w:rFonts w:asciiTheme="minorHAnsi" w:hAnsiTheme="minorHAnsi" w:cstheme="minorHAnsi"/>
            <w:sz w:val="22"/>
            <w:szCs w:val="22"/>
          </w:rPr>
          <w:t>https://www.wgea.gov.au/publications/australias-gender-equality-scorecard</w:t>
        </w:r>
      </w:hyperlink>
      <w:r w:rsidR="0093280F" w:rsidRPr="00C95105">
        <w:rPr>
          <w:rFonts w:asciiTheme="minorHAnsi" w:hAnsiTheme="minorHAnsi" w:cstheme="minorHAnsi"/>
          <w:sz w:val="22"/>
          <w:szCs w:val="22"/>
        </w:rPr>
        <w:t xml:space="preserve">. </w:t>
      </w:r>
    </w:p>
    <w:p w14:paraId="44F7659E"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KPMG Consulting. (2019). </w:t>
      </w:r>
      <w:r w:rsidRPr="00C95105">
        <w:rPr>
          <w:rFonts w:asciiTheme="minorHAnsi" w:hAnsiTheme="minorHAnsi" w:cstheme="minorHAnsi"/>
          <w:i/>
          <w:iCs/>
          <w:sz w:val="22"/>
          <w:szCs w:val="22"/>
        </w:rPr>
        <w:t>She's price (d) less: the economics of the gender pay gap</w:t>
      </w:r>
      <w:r w:rsidRPr="00C95105">
        <w:rPr>
          <w:rFonts w:asciiTheme="minorHAnsi" w:hAnsiTheme="minorHAnsi" w:cstheme="minorHAnsi"/>
          <w:sz w:val="22"/>
          <w:szCs w:val="22"/>
        </w:rPr>
        <w:t xml:space="preserve">. </w:t>
      </w:r>
      <w:hyperlink r:id="rId121" w:history="1">
        <w:r w:rsidRPr="00C95105">
          <w:rPr>
            <w:rStyle w:val="Hyperlink"/>
            <w:rFonts w:asciiTheme="minorHAnsi" w:hAnsiTheme="minorHAnsi" w:cstheme="minorHAnsi"/>
            <w:sz w:val="22"/>
            <w:szCs w:val="22"/>
          </w:rPr>
          <w:t>https://home.kpmg/content/dam/kpmg/au/pdf/2019/gender-pay-gap-economics-full-report-2019.pdf</w:t>
        </w:r>
      </w:hyperlink>
    </w:p>
    <w:p w14:paraId="62023769"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Pawson, R., Greenhalgh, T., Harvey, G., &amp; Walshe, K. (2005). Realist review-a new method of systematic review designed for complex policy interventions. </w:t>
      </w:r>
      <w:r w:rsidRPr="00C95105">
        <w:rPr>
          <w:rFonts w:asciiTheme="minorHAnsi" w:hAnsiTheme="minorHAnsi" w:cstheme="minorHAnsi"/>
          <w:i/>
          <w:iCs/>
          <w:sz w:val="22"/>
          <w:szCs w:val="22"/>
        </w:rPr>
        <w:t>Journal of health services research &amp; policy</w:t>
      </w:r>
      <w:r w:rsidRPr="00C95105">
        <w:rPr>
          <w:rFonts w:asciiTheme="minorHAnsi" w:hAnsiTheme="minorHAnsi" w:cstheme="minorHAnsi"/>
          <w:sz w:val="22"/>
          <w:szCs w:val="22"/>
        </w:rPr>
        <w:t>, 10(1_suppl): 21-34.</w:t>
      </w:r>
    </w:p>
    <w:p w14:paraId="0A14AF42" w14:textId="77777777" w:rsidR="0093280F" w:rsidRPr="00C95105" w:rsidRDefault="0093280F" w:rsidP="00DA5F66">
      <w:pPr>
        <w:spacing w:after="120"/>
        <w:ind w:left="567" w:hanging="567"/>
        <w:rPr>
          <w:rFonts w:asciiTheme="minorHAnsi" w:eastAsiaTheme="minorHAnsi" w:hAnsiTheme="minorHAnsi" w:cstheme="minorHAnsi"/>
          <w:color w:val="000000"/>
          <w:sz w:val="22"/>
          <w:szCs w:val="22"/>
          <w:lang w:eastAsia="en-US"/>
        </w:rPr>
      </w:pPr>
      <w:r w:rsidRPr="00C95105">
        <w:rPr>
          <w:rFonts w:asciiTheme="minorHAnsi" w:eastAsiaTheme="minorHAnsi" w:hAnsiTheme="minorHAnsi" w:cstheme="minorHAnsi"/>
          <w:color w:val="000000"/>
          <w:sz w:val="22"/>
          <w:szCs w:val="22"/>
          <w:lang w:eastAsia="en-US"/>
        </w:rPr>
        <w:t xml:space="preserve">Rubery, J. (2019). </w:t>
      </w:r>
      <w:r w:rsidRPr="00C95105">
        <w:rPr>
          <w:rFonts w:asciiTheme="minorHAnsi" w:eastAsiaTheme="minorHAnsi" w:hAnsiTheme="minorHAnsi" w:cstheme="minorHAnsi"/>
          <w:sz w:val="22"/>
          <w:szCs w:val="22"/>
          <w:lang w:eastAsia="en-US"/>
        </w:rPr>
        <w:t xml:space="preserve">Joan Acker and </w:t>
      </w:r>
      <w:r w:rsidRPr="00C95105">
        <w:rPr>
          <w:rFonts w:asciiTheme="minorHAnsi" w:eastAsiaTheme="minorHAnsi" w:hAnsiTheme="minorHAnsi" w:cstheme="minorHAnsi"/>
          <w:color w:val="000000"/>
          <w:sz w:val="22"/>
          <w:szCs w:val="22"/>
          <w:lang w:eastAsia="en-US"/>
        </w:rPr>
        <w:t xml:space="preserve">Doing Comparable Worth. </w:t>
      </w:r>
      <w:r w:rsidRPr="00C95105">
        <w:rPr>
          <w:rFonts w:asciiTheme="minorHAnsi" w:eastAsiaTheme="minorHAnsi" w:hAnsiTheme="minorHAnsi" w:cstheme="minorHAnsi"/>
          <w:i/>
          <w:iCs/>
          <w:color w:val="000000"/>
          <w:sz w:val="22"/>
          <w:szCs w:val="22"/>
          <w:lang w:eastAsia="en-US"/>
        </w:rPr>
        <w:t>Gender, Work and Organization</w:t>
      </w:r>
      <w:r w:rsidRPr="00C95105">
        <w:rPr>
          <w:rFonts w:asciiTheme="minorHAnsi" w:eastAsiaTheme="minorHAnsi" w:hAnsiTheme="minorHAnsi" w:cstheme="minorHAnsi"/>
          <w:color w:val="000000"/>
          <w:sz w:val="22"/>
          <w:szCs w:val="22"/>
          <w:lang w:eastAsia="en-US"/>
        </w:rPr>
        <w:t xml:space="preserve"> 26(12): 1786-1793.</w:t>
      </w:r>
    </w:p>
    <w:p w14:paraId="569430F8"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color w:val="222222"/>
          <w:sz w:val="22"/>
          <w:szCs w:val="22"/>
          <w:shd w:val="clear" w:color="auto" w:fill="FFFFFF"/>
        </w:rPr>
        <w:t xml:space="preserve">Rubery, J., &amp; Grimshaw, D. (2013). The forty year pursuit of equal pay: a case of constantly moving goal posts. </w:t>
      </w:r>
      <w:r w:rsidRPr="00C95105">
        <w:rPr>
          <w:rFonts w:asciiTheme="minorHAnsi" w:hAnsiTheme="minorHAnsi" w:cstheme="minorHAnsi"/>
          <w:i/>
          <w:iCs/>
          <w:color w:val="222222"/>
          <w:sz w:val="22"/>
          <w:szCs w:val="22"/>
          <w:shd w:val="clear" w:color="auto" w:fill="FFFFFF"/>
        </w:rPr>
        <w:t>Cambridge Journal of Economics</w:t>
      </w:r>
      <w:r w:rsidRPr="00C95105">
        <w:rPr>
          <w:rFonts w:asciiTheme="minorHAnsi" w:hAnsiTheme="minorHAnsi" w:cstheme="minorHAnsi"/>
          <w:color w:val="222222"/>
          <w:sz w:val="22"/>
          <w:szCs w:val="22"/>
          <w:shd w:val="clear" w:color="auto" w:fill="FFFFFF"/>
        </w:rPr>
        <w:t xml:space="preserve"> 39:319-344. </w:t>
      </w:r>
    </w:p>
    <w:p w14:paraId="0E278A91"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color w:val="222222"/>
          <w:sz w:val="22"/>
          <w:szCs w:val="22"/>
          <w:shd w:val="clear" w:color="auto" w:fill="FFFFFF"/>
        </w:rPr>
        <w:t>Steccolini, I. (2018). Accounting and the post-new public management: Re-considering publicness in accounting research. </w:t>
      </w:r>
      <w:r w:rsidRPr="00C95105">
        <w:rPr>
          <w:rFonts w:asciiTheme="minorHAnsi" w:hAnsiTheme="minorHAnsi" w:cstheme="minorHAnsi"/>
          <w:i/>
          <w:iCs/>
          <w:color w:val="222222"/>
          <w:sz w:val="22"/>
          <w:szCs w:val="22"/>
          <w:shd w:val="clear" w:color="auto" w:fill="FFFFFF"/>
        </w:rPr>
        <w:t>Accounting, Auditing &amp; Accountability Journal</w:t>
      </w:r>
      <w:r w:rsidRPr="00C95105">
        <w:rPr>
          <w:rFonts w:asciiTheme="minorHAnsi" w:hAnsiTheme="minorHAnsi" w:cstheme="minorHAnsi"/>
          <w:color w:val="222222"/>
          <w:sz w:val="22"/>
          <w:szCs w:val="22"/>
          <w:shd w:val="clear" w:color="auto" w:fill="FFFFFF"/>
        </w:rPr>
        <w:t xml:space="preserve"> 32(1): 255-279.</w:t>
      </w:r>
    </w:p>
    <w:p w14:paraId="1DFB8271"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color w:val="222222"/>
          <w:sz w:val="22"/>
          <w:szCs w:val="22"/>
          <w:shd w:val="clear" w:color="auto" w:fill="FFFFFF"/>
        </w:rPr>
        <w:t>Trotman, K. T., Tan, H. C., &amp; Ang, N. (2011). Fifty‐year overview of judgment and decision‐making research in accounting. </w:t>
      </w:r>
      <w:r w:rsidRPr="00C95105">
        <w:rPr>
          <w:rFonts w:asciiTheme="minorHAnsi" w:hAnsiTheme="minorHAnsi" w:cstheme="minorHAnsi"/>
          <w:i/>
          <w:iCs/>
          <w:color w:val="222222"/>
          <w:sz w:val="22"/>
          <w:szCs w:val="22"/>
          <w:shd w:val="clear" w:color="auto" w:fill="FFFFFF"/>
        </w:rPr>
        <w:t>Accounting &amp; Finance</w:t>
      </w:r>
      <w:r w:rsidRPr="00C95105">
        <w:rPr>
          <w:rFonts w:asciiTheme="minorHAnsi" w:hAnsiTheme="minorHAnsi" w:cstheme="minorHAnsi"/>
          <w:color w:val="222222"/>
          <w:sz w:val="22"/>
          <w:szCs w:val="22"/>
          <w:shd w:val="clear" w:color="auto" w:fill="FFFFFF"/>
        </w:rPr>
        <w:t>, </w:t>
      </w:r>
      <w:r w:rsidRPr="00C95105">
        <w:rPr>
          <w:rFonts w:asciiTheme="minorHAnsi" w:hAnsiTheme="minorHAnsi" w:cstheme="minorHAnsi"/>
          <w:i/>
          <w:iCs/>
          <w:color w:val="222222"/>
          <w:sz w:val="22"/>
          <w:szCs w:val="22"/>
          <w:shd w:val="clear" w:color="auto" w:fill="FFFFFF"/>
        </w:rPr>
        <w:t>51</w:t>
      </w:r>
      <w:r w:rsidRPr="00C95105">
        <w:rPr>
          <w:rFonts w:asciiTheme="minorHAnsi" w:hAnsiTheme="minorHAnsi" w:cstheme="minorHAnsi"/>
          <w:color w:val="222222"/>
          <w:sz w:val="22"/>
          <w:szCs w:val="22"/>
          <w:shd w:val="clear" w:color="auto" w:fill="FFFFFF"/>
        </w:rPr>
        <w:t>(1):278-360.</w:t>
      </w:r>
    </w:p>
    <w:p w14:paraId="54C7F181"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color w:val="222222"/>
          <w:sz w:val="22"/>
          <w:szCs w:val="22"/>
          <w:shd w:val="clear" w:color="auto" w:fill="FFFFFF"/>
        </w:rPr>
        <w:t>Whitehouse, G., Zetlin, D., &amp; Earnshaw, J. (2001). Prosecuting pay equity: Evolving strategies in Britain and Australia. </w:t>
      </w:r>
      <w:r w:rsidRPr="00C95105">
        <w:rPr>
          <w:rFonts w:asciiTheme="minorHAnsi" w:hAnsiTheme="minorHAnsi" w:cstheme="minorHAnsi"/>
          <w:i/>
          <w:iCs/>
          <w:color w:val="222222"/>
          <w:sz w:val="22"/>
          <w:szCs w:val="22"/>
          <w:shd w:val="clear" w:color="auto" w:fill="FFFFFF"/>
        </w:rPr>
        <w:t>Gender, Work &amp; Organization</w:t>
      </w:r>
      <w:r w:rsidRPr="00C95105">
        <w:rPr>
          <w:rFonts w:asciiTheme="minorHAnsi" w:hAnsiTheme="minorHAnsi" w:cstheme="minorHAnsi"/>
          <w:color w:val="222222"/>
          <w:sz w:val="22"/>
          <w:szCs w:val="22"/>
          <w:shd w:val="clear" w:color="auto" w:fill="FFFFFF"/>
        </w:rPr>
        <w:t>, </w:t>
      </w:r>
      <w:r w:rsidRPr="00C95105">
        <w:rPr>
          <w:rFonts w:asciiTheme="minorHAnsi" w:hAnsiTheme="minorHAnsi" w:cstheme="minorHAnsi"/>
          <w:i/>
          <w:iCs/>
          <w:color w:val="222222"/>
          <w:sz w:val="22"/>
          <w:szCs w:val="22"/>
          <w:shd w:val="clear" w:color="auto" w:fill="FFFFFF"/>
        </w:rPr>
        <w:t>8</w:t>
      </w:r>
      <w:r w:rsidRPr="00C95105">
        <w:rPr>
          <w:rFonts w:asciiTheme="minorHAnsi" w:hAnsiTheme="minorHAnsi" w:cstheme="minorHAnsi"/>
          <w:color w:val="222222"/>
          <w:sz w:val="22"/>
          <w:szCs w:val="22"/>
          <w:shd w:val="clear" w:color="auto" w:fill="FFFFFF"/>
        </w:rPr>
        <w:t>(4):365-386.</w:t>
      </w:r>
    </w:p>
    <w:p w14:paraId="1588D482"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Williamson, S. (2009). Bargaining for gender equality in the Australian Public Service. </w:t>
      </w:r>
      <w:r w:rsidRPr="00C95105">
        <w:rPr>
          <w:rFonts w:asciiTheme="minorHAnsi" w:hAnsiTheme="minorHAnsi" w:cstheme="minorHAnsi"/>
          <w:i/>
          <w:iCs/>
          <w:sz w:val="22"/>
          <w:szCs w:val="22"/>
        </w:rPr>
        <w:t>Labour &amp; Industry: a journal of the social and economic relations of work</w:t>
      </w:r>
      <w:r w:rsidRPr="00C95105">
        <w:rPr>
          <w:rFonts w:asciiTheme="minorHAnsi" w:hAnsiTheme="minorHAnsi" w:cstheme="minorHAnsi"/>
          <w:sz w:val="22"/>
          <w:szCs w:val="22"/>
        </w:rPr>
        <w:t xml:space="preserve"> 20(2):159-180.</w:t>
      </w:r>
    </w:p>
    <w:p w14:paraId="3D4D2F42"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Workplace Gender Equality Agency (2021). </w:t>
      </w:r>
      <w:r w:rsidRPr="00C95105">
        <w:rPr>
          <w:rFonts w:asciiTheme="minorHAnsi" w:hAnsiTheme="minorHAnsi" w:cstheme="minorHAnsi"/>
          <w:i/>
          <w:iCs/>
          <w:sz w:val="22"/>
          <w:szCs w:val="22"/>
        </w:rPr>
        <w:t>Pay equity</w:t>
      </w:r>
      <w:r w:rsidRPr="00C95105">
        <w:rPr>
          <w:rFonts w:asciiTheme="minorHAnsi" w:hAnsiTheme="minorHAnsi" w:cstheme="minorHAnsi"/>
          <w:sz w:val="22"/>
          <w:szCs w:val="22"/>
        </w:rPr>
        <w:t>.</w:t>
      </w:r>
    </w:p>
    <w:p w14:paraId="551ABB03" w14:textId="77777777" w:rsidR="0093280F" w:rsidRPr="00C95105" w:rsidRDefault="0093280F" w:rsidP="00DA5F66">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Workplace Gender Equality Agency (2022). </w:t>
      </w:r>
      <w:r w:rsidRPr="00C95105">
        <w:rPr>
          <w:rFonts w:asciiTheme="minorHAnsi" w:hAnsiTheme="minorHAnsi" w:cstheme="minorHAnsi"/>
          <w:i/>
          <w:iCs/>
          <w:sz w:val="22"/>
          <w:szCs w:val="22"/>
        </w:rPr>
        <w:t>Australia’s gender equality scorecard</w:t>
      </w:r>
      <w:r w:rsidRPr="00C95105">
        <w:rPr>
          <w:rFonts w:asciiTheme="minorHAnsi" w:hAnsiTheme="minorHAnsi" w:cstheme="minorHAnsi"/>
          <w:sz w:val="22"/>
          <w:szCs w:val="22"/>
        </w:rPr>
        <w:t>.</w:t>
      </w:r>
    </w:p>
    <w:p w14:paraId="7D85393A" w14:textId="77777777" w:rsidR="0093280F" w:rsidRPr="00C95105" w:rsidRDefault="0093280F" w:rsidP="0093280F">
      <w:pPr>
        <w:spacing w:after="120"/>
        <w:rPr>
          <w:rFonts w:asciiTheme="minorHAnsi" w:hAnsiTheme="minorHAnsi" w:cstheme="minorHAnsi"/>
          <w:sz w:val="22"/>
          <w:szCs w:val="22"/>
        </w:rPr>
      </w:pPr>
    </w:p>
    <w:p w14:paraId="7AF16FC9" w14:textId="77777777" w:rsidR="0093280F" w:rsidRPr="00C95105" w:rsidRDefault="0093280F" w:rsidP="00756FF3">
      <w:pPr>
        <w:pStyle w:val="Heading2"/>
        <w:numPr>
          <w:ilvl w:val="1"/>
          <w:numId w:val="26"/>
        </w:numPr>
        <w:spacing w:before="0" w:after="120"/>
        <w:ind w:left="426" w:hanging="426"/>
        <w:rPr>
          <w:rFonts w:asciiTheme="minorHAnsi" w:hAnsiTheme="minorHAnsi" w:cstheme="minorHAnsi"/>
          <w:b/>
          <w:bCs/>
        </w:rPr>
      </w:pPr>
      <w:bookmarkStart w:id="563" w:name="_Toc96957735"/>
      <w:r w:rsidRPr="00C95105">
        <w:rPr>
          <w:rFonts w:asciiTheme="minorHAnsi" w:hAnsiTheme="minorHAnsi" w:cstheme="minorHAnsi"/>
          <w:b/>
          <w:bCs/>
        </w:rPr>
        <w:t>Reviewed References</w:t>
      </w:r>
      <w:bookmarkEnd w:id="563"/>
    </w:p>
    <w:p w14:paraId="1B5A6CD4"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Castilla, E. J. (2015). Accounting for the gap: A firm study manipulating organizational accountability and transparency in pay decisions. </w:t>
      </w:r>
      <w:r w:rsidRPr="00C95105">
        <w:rPr>
          <w:rFonts w:asciiTheme="minorHAnsi" w:hAnsiTheme="minorHAnsi" w:cstheme="minorHAnsi"/>
          <w:i/>
          <w:iCs/>
          <w:sz w:val="22"/>
          <w:szCs w:val="22"/>
        </w:rPr>
        <w:t>Organization Science</w:t>
      </w:r>
      <w:r w:rsidRPr="00C95105">
        <w:rPr>
          <w:rFonts w:asciiTheme="minorHAnsi" w:hAnsiTheme="minorHAnsi" w:cstheme="minorHAnsi"/>
          <w:sz w:val="22"/>
          <w:szCs w:val="22"/>
        </w:rPr>
        <w:t xml:space="preserve"> 26(2): 311-333.</w:t>
      </w:r>
    </w:p>
    <w:p w14:paraId="770DCFC3"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Chaudhuri, D. and Ghosh, P. (2020). Making organisations gender equal-A long journey: Experience from a non-profit in India. </w:t>
      </w:r>
      <w:r w:rsidRPr="00C95105">
        <w:rPr>
          <w:rFonts w:asciiTheme="minorHAnsi" w:hAnsiTheme="minorHAnsi" w:cstheme="minorHAnsi"/>
          <w:i/>
          <w:iCs/>
          <w:color w:val="000000"/>
          <w:sz w:val="22"/>
          <w:szCs w:val="22"/>
        </w:rPr>
        <w:t>Journal of International Women's Studies</w:t>
      </w:r>
      <w:r w:rsidRPr="00C95105">
        <w:rPr>
          <w:rFonts w:asciiTheme="minorHAnsi" w:hAnsiTheme="minorHAnsi" w:cstheme="minorHAnsi"/>
          <w:color w:val="000000"/>
          <w:sz w:val="22"/>
          <w:szCs w:val="22"/>
        </w:rPr>
        <w:t xml:space="preserve"> 21(2): 143-152.</w:t>
      </w:r>
    </w:p>
    <w:p w14:paraId="67E8685E"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Cloutier, J. and Lamarche, B. (2015). Perceived justice as predictors of a successful pay equity plan: A Canadian case study. </w:t>
      </w:r>
      <w:r w:rsidRPr="00C95105">
        <w:rPr>
          <w:rFonts w:asciiTheme="minorHAnsi" w:hAnsiTheme="minorHAnsi" w:cstheme="minorHAnsi"/>
          <w:i/>
          <w:iCs/>
          <w:sz w:val="22"/>
          <w:szCs w:val="22"/>
        </w:rPr>
        <w:t>Gender in Management</w:t>
      </w:r>
      <w:r w:rsidRPr="00C95105">
        <w:rPr>
          <w:rFonts w:asciiTheme="minorHAnsi" w:hAnsiTheme="minorHAnsi" w:cstheme="minorHAnsi"/>
          <w:sz w:val="22"/>
          <w:szCs w:val="22"/>
        </w:rPr>
        <w:t xml:space="preserve"> 30(4): 270-285.</w:t>
      </w:r>
    </w:p>
    <w:p w14:paraId="59F8DA27"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Currie, J. and Hill, B. (2013). Gendered universities and the wage gap: Case study of a pay equity audit in an Australian University. </w:t>
      </w:r>
      <w:r w:rsidRPr="00C95105">
        <w:rPr>
          <w:rFonts w:asciiTheme="minorHAnsi" w:hAnsiTheme="minorHAnsi" w:cstheme="minorHAnsi"/>
          <w:i/>
          <w:iCs/>
          <w:sz w:val="22"/>
          <w:szCs w:val="22"/>
        </w:rPr>
        <w:t>Higher Education Policy</w:t>
      </w:r>
      <w:r w:rsidRPr="00C95105">
        <w:rPr>
          <w:rFonts w:asciiTheme="minorHAnsi" w:hAnsiTheme="minorHAnsi" w:cstheme="minorHAnsi"/>
          <w:sz w:val="22"/>
          <w:szCs w:val="22"/>
        </w:rPr>
        <w:t xml:space="preserve"> 26(1): 65-82.</w:t>
      </w:r>
    </w:p>
    <w:p w14:paraId="3AD5FB9C"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Garforth, L. and Kerr, A. (2009). Women and science: What's the problem? </w:t>
      </w:r>
      <w:r w:rsidRPr="00C95105">
        <w:rPr>
          <w:rFonts w:asciiTheme="minorHAnsi" w:hAnsiTheme="minorHAnsi" w:cstheme="minorHAnsi"/>
          <w:i/>
          <w:iCs/>
          <w:color w:val="000000"/>
          <w:sz w:val="22"/>
          <w:szCs w:val="22"/>
        </w:rPr>
        <w:t>Social Politics</w:t>
      </w:r>
      <w:r w:rsidRPr="00C95105">
        <w:rPr>
          <w:rFonts w:asciiTheme="minorHAnsi" w:hAnsiTheme="minorHAnsi" w:cstheme="minorHAnsi"/>
          <w:color w:val="000000"/>
          <w:sz w:val="22"/>
          <w:szCs w:val="22"/>
        </w:rPr>
        <w:t xml:space="preserve"> 16(3): 379-403.</w:t>
      </w:r>
    </w:p>
    <w:p w14:paraId="3E2269A9"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Ikävalko, H. and Roosa, K. (2021). The role of work orientation and gender on feelings toward pay. </w:t>
      </w:r>
      <w:r w:rsidRPr="00C95105">
        <w:rPr>
          <w:rFonts w:asciiTheme="minorHAnsi" w:hAnsiTheme="minorHAnsi" w:cstheme="minorHAnsi"/>
          <w:i/>
          <w:iCs/>
          <w:sz w:val="22"/>
          <w:szCs w:val="22"/>
        </w:rPr>
        <w:t>Gender in Management</w:t>
      </w:r>
      <w:r w:rsidRPr="00C95105">
        <w:rPr>
          <w:rFonts w:asciiTheme="minorHAnsi" w:hAnsiTheme="minorHAnsi" w:cstheme="minorHAnsi"/>
          <w:sz w:val="22"/>
          <w:szCs w:val="22"/>
        </w:rPr>
        <w:t xml:space="preserve"> 36(3): 349-367.</w:t>
      </w:r>
    </w:p>
    <w:p w14:paraId="493C5801"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McDonald, J. A. and Thornton, R. J. (2001). Comparable worth in academe: Professors at Ontario universities. </w:t>
      </w:r>
      <w:r w:rsidRPr="00C95105">
        <w:rPr>
          <w:rFonts w:asciiTheme="minorHAnsi" w:hAnsiTheme="minorHAnsi" w:cstheme="minorHAnsi"/>
          <w:i/>
          <w:iCs/>
          <w:sz w:val="22"/>
          <w:szCs w:val="22"/>
        </w:rPr>
        <w:t>Canadian Public Policy</w:t>
      </w:r>
      <w:r w:rsidRPr="00C95105">
        <w:rPr>
          <w:rFonts w:asciiTheme="minorHAnsi" w:hAnsiTheme="minorHAnsi" w:cstheme="minorHAnsi"/>
          <w:sz w:val="22"/>
          <w:szCs w:val="22"/>
        </w:rPr>
        <w:t xml:space="preserve"> 27(3): 357-373.</w:t>
      </w:r>
    </w:p>
    <w:p w14:paraId="2B08EF83"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Pochic, S. and Chappe, V. A. (2019). Battles through and about statistics in French pay equity </w:t>
      </w:r>
      <w:r w:rsidRPr="00C95105">
        <w:rPr>
          <w:rFonts w:asciiTheme="minorHAnsi" w:hAnsiTheme="minorHAnsi" w:cstheme="minorHAnsi"/>
          <w:sz w:val="22"/>
          <w:szCs w:val="22"/>
        </w:rPr>
        <w:lastRenderedPageBreak/>
        <w:t xml:space="preserve">bargaining: The politics of quantification at workplace level. </w:t>
      </w:r>
      <w:r w:rsidRPr="00C95105">
        <w:rPr>
          <w:rFonts w:asciiTheme="minorHAnsi" w:hAnsiTheme="minorHAnsi" w:cstheme="minorHAnsi"/>
          <w:i/>
          <w:iCs/>
          <w:sz w:val="22"/>
          <w:szCs w:val="22"/>
        </w:rPr>
        <w:t>Gender, Work and Organization</w:t>
      </w:r>
      <w:r w:rsidRPr="00C95105">
        <w:rPr>
          <w:rFonts w:asciiTheme="minorHAnsi" w:hAnsiTheme="minorHAnsi" w:cstheme="minorHAnsi"/>
          <w:sz w:val="22"/>
          <w:szCs w:val="22"/>
        </w:rPr>
        <w:t xml:space="preserve"> 26(5): 650-667.</w:t>
      </w:r>
    </w:p>
    <w:p w14:paraId="10D94391"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Salminen-Karlsson, M. and Fogelberg Eriksson, A. (2021). Decoupling gender equality from gender pay audits in Swedish municipalities. </w:t>
      </w:r>
      <w:r w:rsidRPr="00C95105">
        <w:rPr>
          <w:rFonts w:asciiTheme="minorHAnsi" w:hAnsiTheme="minorHAnsi" w:cstheme="minorHAnsi"/>
          <w:i/>
          <w:iCs/>
          <w:sz w:val="22"/>
          <w:szCs w:val="22"/>
        </w:rPr>
        <w:t>Economic and Industrial Democracy</w:t>
      </w:r>
      <w:r w:rsidRPr="00C95105">
        <w:rPr>
          <w:rFonts w:asciiTheme="minorHAnsi" w:hAnsiTheme="minorHAnsi" w:cstheme="minorHAnsi"/>
          <w:sz w:val="22"/>
          <w:szCs w:val="22"/>
        </w:rPr>
        <w:t xml:space="preserve"> 2021: 1-22</w:t>
      </w:r>
    </w:p>
    <w:p w14:paraId="7A01D662"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Ugarte, S. M. and Rubery, J. (2021). Gender pay equity: Exploring the impact of formal, consistent and transparent human resource management practices and information. </w:t>
      </w:r>
      <w:r w:rsidRPr="00C95105">
        <w:rPr>
          <w:rFonts w:asciiTheme="minorHAnsi" w:hAnsiTheme="minorHAnsi" w:cstheme="minorHAnsi"/>
          <w:i/>
          <w:iCs/>
          <w:sz w:val="22"/>
          <w:szCs w:val="22"/>
        </w:rPr>
        <w:t>Human Resource Management Journal</w:t>
      </w:r>
      <w:r w:rsidRPr="00C95105">
        <w:rPr>
          <w:rFonts w:asciiTheme="minorHAnsi" w:hAnsiTheme="minorHAnsi" w:cstheme="minorHAnsi"/>
          <w:sz w:val="22"/>
          <w:szCs w:val="22"/>
        </w:rPr>
        <w:t xml:space="preserve"> 31(1): 242-258.</w:t>
      </w:r>
    </w:p>
    <w:p w14:paraId="338A5D19" w14:textId="77777777" w:rsidR="0093280F" w:rsidRPr="00C95105" w:rsidRDefault="0093280F" w:rsidP="00DA5F66">
      <w:pPr>
        <w:widowControl w:val="0"/>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Wright, A. (2011). Modernising" away gender pay inequality? Some evidence from the local government sector on using job evaluation. </w:t>
      </w:r>
      <w:r w:rsidRPr="00C95105">
        <w:rPr>
          <w:rFonts w:asciiTheme="minorHAnsi" w:hAnsiTheme="minorHAnsi" w:cstheme="minorHAnsi"/>
          <w:i/>
          <w:iCs/>
          <w:sz w:val="22"/>
          <w:szCs w:val="22"/>
        </w:rPr>
        <w:t>Employee Relations</w:t>
      </w:r>
      <w:r w:rsidRPr="00C95105">
        <w:rPr>
          <w:rFonts w:asciiTheme="minorHAnsi" w:hAnsiTheme="minorHAnsi" w:cstheme="minorHAnsi"/>
          <w:sz w:val="22"/>
          <w:szCs w:val="22"/>
        </w:rPr>
        <w:t xml:space="preserve"> 33(2):159-178.</w:t>
      </w:r>
    </w:p>
    <w:p w14:paraId="5E224659" w14:textId="77777777" w:rsidR="0093280F" w:rsidRPr="00C95105" w:rsidRDefault="0093280F" w:rsidP="0093280F">
      <w:pPr>
        <w:widowControl w:val="0"/>
        <w:autoSpaceDE w:val="0"/>
        <w:autoSpaceDN w:val="0"/>
        <w:adjustRightInd w:val="0"/>
        <w:spacing w:after="120"/>
        <w:ind w:left="709" w:hanging="709"/>
        <w:rPr>
          <w:rFonts w:asciiTheme="minorHAnsi" w:hAnsiTheme="minorHAnsi" w:cstheme="minorHAnsi"/>
          <w:sz w:val="22"/>
          <w:szCs w:val="22"/>
        </w:rPr>
      </w:pPr>
    </w:p>
    <w:p w14:paraId="2F93AB25" w14:textId="77777777" w:rsidR="003B7F36" w:rsidRPr="00C95105" w:rsidRDefault="003B7F36" w:rsidP="003B7F36">
      <w:pPr>
        <w:textAlignment w:val="baseline"/>
        <w:rPr>
          <w:rFonts w:asciiTheme="minorHAnsi" w:hAnsiTheme="minorHAnsi" w:cstheme="minorHAnsi"/>
          <w:sz w:val="18"/>
          <w:szCs w:val="18"/>
        </w:rPr>
      </w:pPr>
    </w:p>
    <w:p w14:paraId="01865673" w14:textId="77777777" w:rsidR="007106C2" w:rsidRPr="00C95105" w:rsidRDefault="003B7F36" w:rsidP="003B7F36">
      <w:pPr>
        <w:textAlignment w:val="baseline"/>
        <w:rPr>
          <w:rFonts w:asciiTheme="minorHAnsi" w:hAnsiTheme="minorHAnsi" w:cstheme="minorHAnsi"/>
          <w:sz w:val="22"/>
          <w:szCs w:val="22"/>
        </w:rPr>
        <w:sectPr w:rsidR="007106C2" w:rsidRPr="00C95105" w:rsidSect="00FF16B6">
          <w:headerReference w:type="even" r:id="rId122"/>
          <w:headerReference w:type="default" r:id="rId123"/>
          <w:footerReference w:type="default" r:id="rId124"/>
          <w:headerReference w:type="first" r:id="rId125"/>
          <w:pgSz w:w="11900" w:h="16840"/>
          <w:pgMar w:top="1440" w:right="1440" w:bottom="1440" w:left="1440" w:header="708" w:footer="708" w:gutter="0"/>
          <w:cols w:space="708"/>
          <w:docGrid w:linePitch="360"/>
        </w:sectPr>
      </w:pPr>
      <w:r w:rsidRPr="00C95105">
        <w:rPr>
          <w:rFonts w:asciiTheme="minorHAnsi" w:hAnsiTheme="minorHAnsi" w:cstheme="minorHAnsi"/>
          <w:sz w:val="22"/>
          <w:szCs w:val="22"/>
        </w:rPr>
        <w:t> </w:t>
      </w:r>
    </w:p>
    <w:p w14:paraId="16E692C4" w14:textId="5B815486" w:rsidR="00EC58B5" w:rsidRPr="000619E5" w:rsidRDefault="00B40D51" w:rsidP="000619E5">
      <w:pPr>
        <w:pStyle w:val="Heading1"/>
        <w:spacing w:before="0" w:after="120"/>
        <w:jc w:val="center"/>
        <w:rPr>
          <w:rFonts w:asciiTheme="minorHAnsi" w:hAnsiTheme="minorHAnsi" w:cstheme="minorHAnsi"/>
          <w:color w:val="FFFFFF" w:themeColor="background1"/>
        </w:rPr>
      </w:pPr>
      <w:bookmarkStart w:id="564" w:name="_Toc96957736"/>
      <w:r w:rsidRPr="000619E5">
        <w:rPr>
          <w:rFonts w:asciiTheme="minorHAnsi" w:hAnsiTheme="minorHAnsi" w:cstheme="minorHAnsi"/>
          <w:b/>
          <w:bCs/>
          <w:color w:val="FFFFFF" w:themeColor="background1"/>
        </w:rPr>
        <w:lastRenderedPageBreak/>
        <w:t xml:space="preserve">Chapter 6 - </w:t>
      </w:r>
      <w:r w:rsidR="00EC58B5" w:rsidRPr="000619E5">
        <w:rPr>
          <w:rFonts w:asciiTheme="minorHAnsi" w:hAnsiTheme="minorHAnsi" w:cstheme="minorHAnsi"/>
          <w:color w:val="FFFFFF" w:themeColor="background1"/>
        </w:rPr>
        <w:t>Gender Targets and Quotas in Leadership Roles:</w:t>
      </w:r>
      <w:r w:rsidR="005E5841" w:rsidRPr="000619E5">
        <w:rPr>
          <w:rFonts w:asciiTheme="minorHAnsi" w:hAnsiTheme="minorHAnsi" w:cstheme="minorHAnsi"/>
          <w:color w:val="FFFFFF" w:themeColor="background1"/>
        </w:rPr>
        <w:t xml:space="preserve"> </w:t>
      </w:r>
      <w:r w:rsidR="00EC58B5" w:rsidRPr="000619E5">
        <w:rPr>
          <w:rFonts w:asciiTheme="minorHAnsi" w:hAnsiTheme="minorHAnsi" w:cstheme="minorHAnsi"/>
          <w:color w:val="FFFFFF" w:themeColor="background1"/>
        </w:rPr>
        <w:t>Examining Secondary Gender Equality Outcomes</w:t>
      </w:r>
      <w:bookmarkEnd w:id="564"/>
    </w:p>
    <w:p w14:paraId="2699199C" w14:textId="77777777" w:rsidR="00EC58B5" w:rsidRPr="000619E5" w:rsidRDefault="00EC58B5" w:rsidP="000619E5">
      <w:pPr>
        <w:spacing w:after="120"/>
        <w:rPr>
          <w:rFonts w:asciiTheme="minorHAnsi" w:hAnsiTheme="minorHAnsi" w:cstheme="minorHAnsi"/>
          <w:color w:val="FFFFFF" w:themeColor="background1"/>
          <w:sz w:val="22"/>
          <w:szCs w:val="22"/>
        </w:rPr>
      </w:pPr>
    </w:p>
    <w:p w14:paraId="6ADC3C9F" w14:textId="55FA840B" w:rsidR="00EC58B5" w:rsidRPr="00C95105" w:rsidRDefault="000619E5" w:rsidP="00EC58B5">
      <w:pPr>
        <w:spacing w:after="120"/>
        <w:rPr>
          <w:rFonts w:asciiTheme="minorHAnsi" w:hAnsiTheme="minorHAnsi" w:cstheme="minorHAnsi"/>
          <w:sz w:val="22"/>
          <w:szCs w:val="22"/>
        </w:rPr>
      </w:pPr>
      <w:r w:rsidRPr="00C95105">
        <w:rPr>
          <w:rFonts w:asciiTheme="minorHAnsi" w:hAnsiTheme="minorHAnsi" w:cstheme="minorHAnsi"/>
          <w:noProof/>
          <w:color w:val="000000" w:themeColor="text1"/>
          <w:sz w:val="28"/>
          <w:szCs w:val="28"/>
        </w:rPr>
        <mc:AlternateContent>
          <mc:Choice Requires="wps">
            <w:drawing>
              <wp:anchor distT="0" distB="0" distL="114300" distR="114300" simplePos="0" relativeHeight="251658268" behindDoc="1" locked="1" layoutInCell="1" allowOverlap="1" wp14:anchorId="3D2D356D" wp14:editId="00889273">
                <wp:simplePos x="0" y="0"/>
                <wp:positionH relativeFrom="page">
                  <wp:posOffset>-288925</wp:posOffset>
                </wp:positionH>
                <wp:positionV relativeFrom="page">
                  <wp:posOffset>-117475</wp:posOffset>
                </wp:positionV>
                <wp:extent cx="8011160" cy="1709420"/>
                <wp:effectExtent l="0" t="0" r="2540" b="5080"/>
                <wp:wrapNone/>
                <wp:docPr id="148"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11160" cy="1709420"/>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58BA6" id="Divider A BG" o:spid="_x0000_s1026" alt="&quot;&quot;" style="position:absolute;margin-left:-22.75pt;margin-top:-9.25pt;width:630.8pt;height:134.6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" fillcolor="#1c407f" stroked="f" strokeweight="1pt">
                <o:lock v:ext="edit" aspectratio="t"/>
                <w10:wrap anchorx="page" anchory="page"/>
                <w10:anchorlock/>
              </v:rect>
            </w:pict>
          </mc:Fallback>
        </mc:AlternateContent>
      </w:r>
      <w:r w:rsidR="00EC58B5" w:rsidRPr="00C95105">
        <w:rPr>
          <w:rFonts w:asciiTheme="minorHAnsi" w:hAnsiTheme="minorHAnsi" w:cstheme="minorHAnsi"/>
          <w:i/>
          <w:iCs/>
          <w:sz w:val="22"/>
          <w:szCs w:val="22"/>
        </w:rPr>
        <w:t xml:space="preserve">Dr Melanie McGrath, </w:t>
      </w:r>
      <w:r w:rsidR="00EC58B5" w:rsidRPr="00C95105">
        <w:rPr>
          <w:rFonts w:asciiTheme="minorHAnsi" w:hAnsiTheme="minorHAnsi" w:cstheme="minorHAnsi"/>
          <w:sz w:val="22"/>
          <w:szCs w:val="22"/>
        </w:rPr>
        <w:t>The University of Melbourne</w:t>
      </w:r>
    </w:p>
    <w:p w14:paraId="1E0E9314" w14:textId="1556F96A" w:rsidR="00EC58B5" w:rsidRPr="00C95105" w:rsidRDefault="00EC58B5" w:rsidP="00EC58B5">
      <w:pPr>
        <w:spacing w:after="120"/>
        <w:rPr>
          <w:rFonts w:asciiTheme="minorHAnsi" w:hAnsiTheme="minorHAnsi" w:cstheme="minorHAnsi"/>
          <w:sz w:val="22"/>
          <w:szCs w:val="22"/>
        </w:rPr>
      </w:pPr>
      <w:r w:rsidRPr="00C95105">
        <w:rPr>
          <w:rFonts w:asciiTheme="minorHAnsi" w:hAnsiTheme="minorHAnsi" w:cstheme="minorHAnsi"/>
          <w:i/>
          <w:iCs/>
          <w:sz w:val="22"/>
          <w:szCs w:val="22"/>
        </w:rPr>
        <w:t>Prof Michelle Ryan</w:t>
      </w:r>
      <w:r w:rsidRPr="00C95105">
        <w:rPr>
          <w:rFonts w:asciiTheme="minorHAnsi" w:hAnsiTheme="minorHAnsi" w:cstheme="minorHAnsi"/>
          <w:sz w:val="22"/>
          <w:szCs w:val="22"/>
        </w:rPr>
        <w:t>, The Australian National University</w:t>
      </w:r>
    </w:p>
    <w:p w14:paraId="302D2EB9" w14:textId="77777777" w:rsidR="00EC58B5" w:rsidRPr="00C95105" w:rsidRDefault="00EC58B5" w:rsidP="00EC58B5">
      <w:pPr>
        <w:spacing w:after="120"/>
        <w:rPr>
          <w:rFonts w:asciiTheme="minorHAnsi" w:hAnsiTheme="minorHAnsi" w:cstheme="minorHAnsi"/>
          <w:sz w:val="22"/>
          <w:szCs w:val="22"/>
        </w:rPr>
      </w:pPr>
      <w:r w:rsidRPr="00C95105">
        <w:rPr>
          <w:rFonts w:asciiTheme="minorHAnsi" w:hAnsiTheme="minorHAnsi" w:cstheme="minorHAnsi"/>
          <w:i/>
          <w:iCs/>
          <w:sz w:val="22"/>
          <w:szCs w:val="22"/>
        </w:rPr>
        <w:t>Dr Victor Sojo</w:t>
      </w:r>
      <w:r w:rsidRPr="00C95105">
        <w:rPr>
          <w:rFonts w:asciiTheme="minorHAnsi" w:hAnsiTheme="minorHAnsi" w:cstheme="minorHAnsi"/>
          <w:sz w:val="22"/>
          <w:szCs w:val="22"/>
        </w:rPr>
        <w:t>, The University of Melbourne</w:t>
      </w:r>
    </w:p>
    <w:p w14:paraId="7D04DA70" w14:textId="77777777" w:rsidR="00EC58B5" w:rsidRPr="00C95105" w:rsidRDefault="00EC58B5" w:rsidP="00EC58B5">
      <w:pPr>
        <w:spacing w:after="120"/>
        <w:rPr>
          <w:rFonts w:asciiTheme="minorHAnsi" w:hAnsiTheme="minorHAnsi" w:cstheme="minorHAnsi"/>
          <w:sz w:val="22"/>
          <w:szCs w:val="22"/>
        </w:rPr>
      </w:pPr>
    </w:p>
    <w:p w14:paraId="3E3CE516" w14:textId="64C5D9F7" w:rsidR="00EC58B5" w:rsidRPr="00C95105" w:rsidRDefault="00EC58B5" w:rsidP="00756FF3">
      <w:pPr>
        <w:pStyle w:val="Heading2"/>
        <w:numPr>
          <w:ilvl w:val="1"/>
          <w:numId w:val="35"/>
        </w:numPr>
        <w:spacing w:before="0" w:after="120"/>
        <w:ind w:left="426" w:hanging="426"/>
        <w:rPr>
          <w:rFonts w:asciiTheme="minorHAnsi" w:hAnsiTheme="minorHAnsi" w:cstheme="minorHAnsi"/>
          <w:b/>
          <w:bCs/>
        </w:rPr>
      </w:pPr>
      <w:bookmarkStart w:id="565" w:name="_Toc96957737"/>
      <w:r w:rsidRPr="00C95105">
        <w:rPr>
          <w:rFonts w:asciiTheme="minorHAnsi" w:hAnsiTheme="minorHAnsi" w:cstheme="minorHAnsi"/>
          <w:b/>
          <w:bCs/>
        </w:rPr>
        <w:t>Executive Summary</w:t>
      </w:r>
      <w:bookmarkEnd w:id="565"/>
      <w:r w:rsidRPr="00C95105">
        <w:rPr>
          <w:rFonts w:asciiTheme="minorHAnsi" w:hAnsiTheme="minorHAnsi" w:cstheme="minorHAnsi"/>
          <w:b/>
          <w:bCs/>
        </w:rPr>
        <w:tab/>
      </w:r>
    </w:p>
    <w:p w14:paraId="412D5422" w14:textId="039A9A02" w:rsidR="00EC58B5" w:rsidRPr="00C95105" w:rsidRDefault="00EC58B5" w:rsidP="00B40D51">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We conducted a rapid </w:t>
      </w:r>
      <w:r w:rsidR="00C27F5A" w:rsidRPr="00C95105">
        <w:rPr>
          <w:rFonts w:asciiTheme="minorHAnsi" w:hAnsiTheme="minorHAnsi" w:cstheme="minorHAnsi"/>
          <w:sz w:val="22"/>
          <w:szCs w:val="22"/>
        </w:rPr>
        <w:t xml:space="preserve">systematic </w:t>
      </w:r>
      <w:r w:rsidRPr="00C95105">
        <w:rPr>
          <w:rFonts w:asciiTheme="minorHAnsi" w:hAnsiTheme="minorHAnsi" w:cstheme="minorHAnsi"/>
          <w:sz w:val="22"/>
          <w:szCs w:val="22"/>
        </w:rPr>
        <w:t>review of the available evidence for the impact of leadership gender quotas on the extent of women’s influence, public attitudes, and gender-relevant labour market indicators. After systematically searching literature from academia, industry and government, we analysed 76 publications reporting outcomes related to board and electoral gender quotas. Key findings for each outcome category are:</w:t>
      </w:r>
    </w:p>
    <w:p w14:paraId="03017FB6" w14:textId="77777777" w:rsidR="00EC58B5" w:rsidRPr="00C95105" w:rsidRDefault="00EC58B5" w:rsidP="00EC58B5">
      <w:pPr>
        <w:spacing w:after="120"/>
        <w:rPr>
          <w:rFonts w:asciiTheme="minorHAnsi" w:hAnsiTheme="minorHAnsi" w:cstheme="minorHAnsi"/>
          <w:b/>
          <w:bCs/>
          <w:sz w:val="22"/>
          <w:szCs w:val="22"/>
        </w:rPr>
      </w:pPr>
      <w:r w:rsidRPr="00C95105">
        <w:rPr>
          <w:rFonts w:asciiTheme="minorHAnsi" w:hAnsiTheme="minorHAnsi" w:cstheme="minorHAnsi"/>
          <w:b/>
          <w:bCs/>
          <w:sz w:val="22"/>
          <w:szCs w:val="22"/>
        </w:rPr>
        <w:t>Extent of women’s influence</w:t>
      </w:r>
    </w:p>
    <w:p w14:paraId="6B8D170C" w14:textId="77777777" w:rsidR="00EC58B5" w:rsidRPr="00C95105" w:rsidRDefault="00EC58B5" w:rsidP="00756FF3">
      <w:pPr>
        <w:pStyle w:val="ListParagraph"/>
        <w:numPr>
          <w:ilvl w:val="0"/>
          <w:numId w:val="31"/>
        </w:numPr>
        <w:spacing w:after="120"/>
        <w:ind w:left="714" w:hanging="357"/>
        <w:contextualSpacing w:val="0"/>
        <w:rPr>
          <w:rFonts w:asciiTheme="minorHAnsi" w:hAnsiTheme="minorHAnsi" w:cstheme="minorHAnsi"/>
          <w:sz w:val="22"/>
          <w:szCs w:val="22"/>
        </w:rPr>
      </w:pPr>
      <w:bookmarkStart w:id="566" w:name="_Toc96878421"/>
      <w:r w:rsidRPr="00C95105">
        <w:rPr>
          <w:rFonts w:asciiTheme="minorHAnsi" w:hAnsiTheme="minorHAnsi" w:cstheme="minorHAnsi"/>
          <w:sz w:val="22"/>
          <w:szCs w:val="22"/>
        </w:rPr>
        <w:t>Although quotas are effective in increasing the numbers of women on boards and elected bodies, they do not appear to have any impact on the share of women in senior roles such as board chair or mayor in the five to ten years after implementation.</w:t>
      </w:r>
      <w:bookmarkEnd w:id="566"/>
      <w:r w:rsidRPr="00C95105">
        <w:rPr>
          <w:rFonts w:asciiTheme="minorHAnsi" w:hAnsiTheme="minorHAnsi" w:cstheme="minorHAnsi"/>
          <w:sz w:val="22"/>
          <w:szCs w:val="22"/>
        </w:rPr>
        <w:t xml:space="preserve"> </w:t>
      </w:r>
    </w:p>
    <w:p w14:paraId="1EBA0E77" w14:textId="02A3CA5B" w:rsidR="00EC58B5" w:rsidRPr="00C95105" w:rsidRDefault="00EC58B5" w:rsidP="00756FF3">
      <w:pPr>
        <w:pStyle w:val="ListParagraph"/>
        <w:numPr>
          <w:ilvl w:val="0"/>
          <w:numId w:val="31"/>
        </w:numPr>
        <w:spacing w:after="120"/>
        <w:ind w:left="714" w:hanging="357"/>
        <w:contextualSpacing w:val="0"/>
        <w:rPr>
          <w:rFonts w:asciiTheme="minorHAnsi" w:hAnsiTheme="minorHAnsi" w:cstheme="minorHAnsi"/>
          <w:sz w:val="22"/>
          <w:szCs w:val="22"/>
        </w:rPr>
      </w:pPr>
      <w:bookmarkStart w:id="567" w:name="_Toc96878422"/>
      <w:r w:rsidRPr="00C95105">
        <w:rPr>
          <w:rFonts w:asciiTheme="minorHAnsi" w:hAnsiTheme="minorHAnsi" w:cstheme="minorHAnsi"/>
          <w:sz w:val="22"/>
          <w:szCs w:val="22"/>
        </w:rPr>
        <w:t xml:space="preserve">Gender quotas increase attention to women’s policy interests in parliaments and political parties. Policy areas of interest to women such as health, education, social justice, and welfare, are discussed more frequently and the subject of an increasing number of introduced bills after the implementation of </w:t>
      </w:r>
      <w:r w:rsidR="00CB4798" w:rsidRPr="00C95105">
        <w:rPr>
          <w:rFonts w:asciiTheme="minorHAnsi" w:hAnsiTheme="minorHAnsi" w:cstheme="minorHAnsi"/>
          <w:sz w:val="22"/>
          <w:szCs w:val="22"/>
        </w:rPr>
        <w:t xml:space="preserve">gender </w:t>
      </w:r>
      <w:r w:rsidRPr="00C95105">
        <w:rPr>
          <w:rFonts w:asciiTheme="minorHAnsi" w:hAnsiTheme="minorHAnsi" w:cstheme="minorHAnsi"/>
          <w:sz w:val="22"/>
          <w:szCs w:val="22"/>
        </w:rPr>
        <w:t>quotas.</w:t>
      </w:r>
      <w:bookmarkEnd w:id="567"/>
    </w:p>
    <w:p w14:paraId="62C9B362" w14:textId="1B698C2A" w:rsidR="00EC58B5" w:rsidRPr="00C95105" w:rsidRDefault="00EC58B5" w:rsidP="00756FF3">
      <w:pPr>
        <w:pStyle w:val="ListParagraph"/>
        <w:numPr>
          <w:ilvl w:val="0"/>
          <w:numId w:val="31"/>
        </w:numPr>
        <w:spacing w:after="120"/>
        <w:ind w:left="714" w:hanging="357"/>
        <w:rPr>
          <w:rFonts w:asciiTheme="minorHAnsi" w:hAnsiTheme="minorHAnsi" w:cstheme="minorHAnsi"/>
          <w:sz w:val="22"/>
          <w:szCs w:val="22"/>
        </w:rPr>
      </w:pPr>
      <w:bookmarkStart w:id="568" w:name="_Toc96878423"/>
      <w:r w:rsidRPr="00C95105">
        <w:rPr>
          <w:rFonts w:asciiTheme="minorHAnsi" w:hAnsiTheme="minorHAnsi" w:cstheme="minorHAnsi"/>
          <w:sz w:val="22"/>
          <w:szCs w:val="22"/>
        </w:rPr>
        <w:t>However, institutional factors, including women’s lack of access to agenda-setting roles, consistently prevent this attention from translating into concrete policy outcomes.</w:t>
      </w:r>
      <w:bookmarkEnd w:id="568"/>
    </w:p>
    <w:p w14:paraId="6EF3B3BB" w14:textId="77777777" w:rsidR="00EC58B5" w:rsidRPr="00C95105" w:rsidRDefault="00EC58B5" w:rsidP="00EC58B5">
      <w:pPr>
        <w:spacing w:after="120"/>
        <w:rPr>
          <w:rFonts w:asciiTheme="minorHAnsi" w:hAnsiTheme="minorHAnsi" w:cstheme="minorHAnsi"/>
          <w:b/>
          <w:bCs/>
          <w:sz w:val="22"/>
          <w:szCs w:val="22"/>
        </w:rPr>
      </w:pPr>
      <w:r w:rsidRPr="00C95105">
        <w:rPr>
          <w:rFonts w:asciiTheme="minorHAnsi" w:hAnsiTheme="minorHAnsi" w:cstheme="minorHAnsi"/>
          <w:b/>
          <w:bCs/>
          <w:sz w:val="22"/>
          <w:szCs w:val="22"/>
        </w:rPr>
        <w:t>Impact on public attitudes</w:t>
      </w:r>
    </w:p>
    <w:p w14:paraId="1642F3D0" w14:textId="21A07D04" w:rsidR="00EC58B5" w:rsidRPr="00C95105" w:rsidRDefault="00EC58B5" w:rsidP="00756FF3">
      <w:pPr>
        <w:pStyle w:val="ListParagraph"/>
        <w:numPr>
          <w:ilvl w:val="0"/>
          <w:numId w:val="30"/>
        </w:numPr>
        <w:spacing w:after="120"/>
        <w:ind w:left="714" w:hanging="357"/>
        <w:rPr>
          <w:rFonts w:asciiTheme="minorHAnsi" w:hAnsiTheme="minorHAnsi" w:cstheme="minorHAnsi"/>
          <w:sz w:val="22"/>
          <w:szCs w:val="22"/>
        </w:rPr>
      </w:pPr>
      <w:bookmarkStart w:id="569" w:name="_Toc96878424"/>
      <w:r w:rsidRPr="00C95105">
        <w:rPr>
          <w:rFonts w:asciiTheme="minorHAnsi" w:hAnsiTheme="minorHAnsi" w:cstheme="minorHAnsi"/>
          <w:sz w:val="22"/>
          <w:szCs w:val="22"/>
        </w:rPr>
        <w:t>The implementation of quotas has a positive effect on perceptions of the competence and effectiveness of women leaders and attitudes towards gender equality.</w:t>
      </w:r>
      <w:bookmarkEnd w:id="569"/>
    </w:p>
    <w:p w14:paraId="2190352D" w14:textId="77777777" w:rsidR="00EC58B5" w:rsidRPr="00C95105" w:rsidRDefault="00EC58B5" w:rsidP="00756FF3">
      <w:pPr>
        <w:pStyle w:val="ListParagraph"/>
        <w:numPr>
          <w:ilvl w:val="0"/>
          <w:numId w:val="30"/>
        </w:numPr>
        <w:spacing w:after="120"/>
        <w:ind w:left="714" w:hanging="357"/>
        <w:contextualSpacing w:val="0"/>
        <w:rPr>
          <w:rFonts w:asciiTheme="minorHAnsi" w:hAnsiTheme="minorHAnsi" w:cstheme="minorHAnsi"/>
          <w:sz w:val="22"/>
          <w:szCs w:val="22"/>
        </w:rPr>
      </w:pPr>
      <w:bookmarkStart w:id="570" w:name="_Toc96878425"/>
      <w:r w:rsidRPr="00C95105">
        <w:rPr>
          <w:rFonts w:asciiTheme="minorHAnsi" w:hAnsiTheme="minorHAnsi" w:cstheme="minorHAnsi"/>
          <w:sz w:val="22"/>
          <w:szCs w:val="22"/>
        </w:rPr>
        <w:t>Increases in women’s electoral representation arising from gender quotas enhances women’s trust in, and engagement with, government service provision. This has the potential to strengthen policy impact across a wide range of areas not limited to gender issues.</w:t>
      </w:r>
      <w:bookmarkEnd w:id="570"/>
    </w:p>
    <w:p w14:paraId="3454C52F" w14:textId="77777777" w:rsidR="00EC58B5" w:rsidRPr="00C95105" w:rsidRDefault="00EC58B5" w:rsidP="00EC58B5">
      <w:pPr>
        <w:spacing w:after="120"/>
        <w:rPr>
          <w:rFonts w:asciiTheme="minorHAnsi" w:hAnsiTheme="minorHAnsi" w:cstheme="minorHAnsi"/>
          <w:b/>
          <w:bCs/>
          <w:sz w:val="22"/>
          <w:szCs w:val="22"/>
        </w:rPr>
      </w:pPr>
      <w:r w:rsidRPr="00C95105">
        <w:rPr>
          <w:rFonts w:asciiTheme="minorHAnsi" w:hAnsiTheme="minorHAnsi" w:cstheme="minorHAnsi"/>
          <w:b/>
          <w:bCs/>
          <w:sz w:val="22"/>
          <w:szCs w:val="22"/>
        </w:rPr>
        <w:t>Labour market indicators</w:t>
      </w:r>
    </w:p>
    <w:p w14:paraId="331D5AA4" w14:textId="012C116E" w:rsidR="00EC58B5" w:rsidRPr="00C95105" w:rsidRDefault="00EC58B5" w:rsidP="00756FF3">
      <w:pPr>
        <w:pStyle w:val="ListParagraph"/>
        <w:numPr>
          <w:ilvl w:val="0"/>
          <w:numId w:val="32"/>
        </w:numPr>
        <w:spacing w:after="120"/>
        <w:rPr>
          <w:rFonts w:asciiTheme="minorHAnsi" w:hAnsiTheme="minorHAnsi" w:cstheme="minorHAnsi"/>
          <w:sz w:val="22"/>
          <w:szCs w:val="22"/>
        </w:rPr>
      </w:pPr>
      <w:bookmarkStart w:id="571" w:name="_Toc96878426"/>
      <w:r w:rsidRPr="00C95105">
        <w:rPr>
          <w:rFonts w:asciiTheme="minorHAnsi" w:hAnsiTheme="minorHAnsi" w:cstheme="minorHAnsi"/>
          <w:sz w:val="22"/>
          <w:szCs w:val="22"/>
        </w:rPr>
        <w:t>Within firms subject to board-level gender quotas, there is no evidence of a spill</w:t>
      </w:r>
      <w:r w:rsidR="00700A12" w:rsidRPr="00C95105">
        <w:rPr>
          <w:rFonts w:asciiTheme="minorHAnsi" w:hAnsiTheme="minorHAnsi" w:cstheme="minorHAnsi"/>
          <w:sz w:val="22"/>
          <w:szCs w:val="22"/>
        </w:rPr>
        <w:t>-</w:t>
      </w:r>
      <w:r w:rsidRPr="00C95105">
        <w:rPr>
          <w:rFonts w:asciiTheme="minorHAnsi" w:hAnsiTheme="minorHAnsi" w:cstheme="minorHAnsi"/>
          <w:sz w:val="22"/>
          <w:szCs w:val="22"/>
        </w:rPr>
        <w:t>over effect on women’s employment share, or the share of women working part-time at lower levels of the organisation.</w:t>
      </w:r>
      <w:bookmarkEnd w:id="571"/>
    </w:p>
    <w:p w14:paraId="082B12C2" w14:textId="77777777" w:rsidR="00EC58B5" w:rsidRPr="00C95105" w:rsidRDefault="00EC58B5" w:rsidP="00756FF3">
      <w:pPr>
        <w:pStyle w:val="ListParagraph"/>
        <w:numPr>
          <w:ilvl w:val="0"/>
          <w:numId w:val="32"/>
        </w:numPr>
        <w:spacing w:after="120"/>
        <w:rPr>
          <w:rFonts w:asciiTheme="minorHAnsi" w:hAnsiTheme="minorHAnsi" w:cstheme="minorHAnsi"/>
          <w:sz w:val="22"/>
          <w:szCs w:val="22"/>
        </w:rPr>
      </w:pPr>
      <w:bookmarkStart w:id="572" w:name="_Toc96878427"/>
      <w:r w:rsidRPr="00C95105">
        <w:rPr>
          <w:rFonts w:asciiTheme="minorHAnsi" w:hAnsiTheme="minorHAnsi" w:cstheme="minorHAnsi"/>
          <w:sz w:val="22"/>
          <w:szCs w:val="22"/>
        </w:rPr>
        <w:t>There is little evidence to suggest that greater number of women on boards has contributed to stronger representation of women among senior managers in organisations subject to board-level gender quotas.</w:t>
      </w:r>
      <w:bookmarkEnd w:id="572"/>
      <w:r w:rsidRPr="00C95105">
        <w:rPr>
          <w:rFonts w:asciiTheme="minorHAnsi" w:hAnsiTheme="minorHAnsi" w:cstheme="minorHAnsi"/>
          <w:sz w:val="22"/>
          <w:szCs w:val="22"/>
        </w:rPr>
        <w:t xml:space="preserve"> </w:t>
      </w:r>
    </w:p>
    <w:p w14:paraId="777B5365" w14:textId="77777777" w:rsidR="00EC58B5" w:rsidRPr="00C95105" w:rsidRDefault="00EC58B5" w:rsidP="00756FF3">
      <w:pPr>
        <w:pStyle w:val="ListParagraph"/>
        <w:numPr>
          <w:ilvl w:val="0"/>
          <w:numId w:val="32"/>
        </w:numPr>
        <w:spacing w:after="120"/>
        <w:rPr>
          <w:rFonts w:asciiTheme="minorHAnsi" w:hAnsiTheme="minorHAnsi" w:cstheme="minorHAnsi"/>
          <w:sz w:val="22"/>
          <w:szCs w:val="22"/>
        </w:rPr>
      </w:pPr>
      <w:bookmarkStart w:id="573" w:name="_Toc96878428"/>
      <w:r w:rsidRPr="00C95105">
        <w:rPr>
          <w:rFonts w:asciiTheme="minorHAnsi" w:hAnsiTheme="minorHAnsi" w:cstheme="minorHAnsi"/>
          <w:sz w:val="22"/>
          <w:szCs w:val="22"/>
        </w:rPr>
        <w:t>Gender pay gaps in executive management compensation persist after the introduction of board gender quotas. However, the gender gap in managerial pay is significantly smaller in countries that have implemented board quotas than those that have not.</w:t>
      </w:r>
      <w:bookmarkEnd w:id="573"/>
      <w:r w:rsidRPr="00C95105">
        <w:rPr>
          <w:rFonts w:asciiTheme="minorHAnsi" w:hAnsiTheme="minorHAnsi" w:cstheme="minorHAnsi"/>
          <w:sz w:val="22"/>
          <w:szCs w:val="22"/>
        </w:rPr>
        <w:t xml:space="preserve"> </w:t>
      </w:r>
    </w:p>
    <w:p w14:paraId="513B4F5D" w14:textId="77777777" w:rsidR="00EC58B5" w:rsidRPr="00C95105" w:rsidRDefault="00EC58B5" w:rsidP="00EC58B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the following report, we provide details of the method of the review and the contexts in which leadership gender quotas have been implemented. We also expand on our key findings and present policy implications arising from this evidence.</w:t>
      </w:r>
    </w:p>
    <w:p w14:paraId="6FDED4B1" w14:textId="77777777" w:rsidR="00EC58B5" w:rsidRPr="00C95105" w:rsidRDefault="00EC58B5" w:rsidP="00756FF3">
      <w:pPr>
        <w:pStyle w:val="Heading2"/>
        <w:numPr>
          <w:ilvl w:val="1"/>
          <w:numId w:val="35"/>
        </w:numPr>
        <w:spacing w:before="0" w:after="120"/>
        <w:ind w:left="426" w:hanging="426"/>
        <w:rPr>
          <w:rFonts w:asciiTheme="minorHAnsi" w:hAnsiTheme="minorHAnsi" w:cstheme="minorHAnsi"/>
          <w:b/>
          <w:bCs/>
        </w:rPr>
      </w:pPr>
      <w:bookmarkStart w:id="574" w:name="_Toc96957738"/>
      <w:r w:rsidRPr="00C95105">
        <w:rPr>
          <w:rFonts w:asciiTheme="minorHAnsi" w:hAnsiTheme="minorHAnsi" w:cstheme="minorHAnsi"/>
          <w:b/>
          <w:bCs/>
        </w:rPr>
        <w:lastRenderedPageBreak/>
        <w:t>Introduction</w:t>
      </w:r>
      <w:bookmarkEnd w:id="574"/>
    </w:p>
    <w:p w14:paraId="52927406" w14:textId="6B5BD9C8" w:rsidR="00F977D9" w:rsidRPr="00C95105" w:rsidRDefault="00EC58B5" w:rsidP="00F977D9">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Despite making up half of the Australian workforce, women continue to be underrepresented in the upper echelons of public and private sector organisations. Data from the Australian Public Service Employment Database indicates that in 2016 women held only 42.9% of Senior Executive Service officer roles and less than 38% of positions in the two highest bands of this classification (Hiscox, 2016). </w:t>
      </w:r>
      <w:r w:rsidR="5F352EB1" w:rsidRPr="00C95105">
        <w:rPr>
          <w:rFonts w:asciiTheme="minorHAnsi" w:hAnsiTheme="minorHAnsi" w:cstheme="minorHAnsi"/>
          <w:sz w:val="22"/>
          <w:szCs w:val="22"/>
        </w:rPr>
        <w:t>A</w:t>
      </w:r>
      <w:r w:rsidRPr="00C95105">
        <w:rPr>
          <w:rFonts w:asciiTheme="minorHAnsi" w:hAnsiTheme="minorHAnsi" w:cstheme="minorHAnsi"/>
          <w:sz w:val="22"/>
          <w:szCs w:val="22"/>
        </w:rPr>
        <w:t xml:space="preserve"> range of factors contribute to this persistent under-representation of women in leadership roles including gender discrimination in hiring and promotion, women’s disproportionate responsibility for household and caring tasks, and pervasive stereotypes around gender and what characterises a leader.</w:t>
      </w:r>
    </w:p>
    <w:p w14:paraId="420FCDFD" w14:textId="77777777" w:rsidR="00F722CE" w:rsidRPr="00C95105" w:rsidRDefault="00EC58B5" w:rsidP="001B7C5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Eliminating these structural barriers to women’s full participation will require long-term and multi-pronged commitments to gender equality. </w:t>
      </w:r>
      <w:r w:rsidR="00AE3B1F" w:rsidRPr="00C95105">
        <w:rPr>
          <w:rFonts w:asciiTheme="minorHAnsi" w:hAnsiTheme="minorHAnsi" w:cstheme="minorHAnsi"/>
          <w:sz w:val="22"/>
          <w:szCs w:val="22"/>
        </w:rPr>
        <w:t xml:space="preserve">Targets and </w:t>
      </w:r>
      <w:r w:rsidRPr="00C95105">
        <w:rPr>
          <w:rFonts w:asciiTheme="minorHAnsi" w:hAnsiTheme="minorHAnsi" w:cstheme="minorHAnsi"/>
          <w:sz w:val="22"/>
          <w:szCs w:val="22"/>
        </w:rPr>
        <w:t>Quotas for women in leadership present a short-term and effective means of improving women’s representation while this systematic change occurs</w:t>
      </w:r>
      <w:r w:rsidR="0057757E" w:rsidRPr="00C95105">
        <w:rPr>
          <w:rFonts w:asciiTheme="minorHAnsi" w:hAnsiTheme="minorHAnsi" w:cstheme="minorHAnsi"/>
          <w:sz w:val="22"/>
          <w:szCs w:val="22"/>
        </w:rPr>
        <w:t xml:space="preserve"> (Sojo, Wood, Wood, &amp; Wheeler, 2016)</w:t>
      </w:r>
      <w:r w:rsidRPr="00C95105">
        <w:rPr>
          <w:rFonts w:asciiTheme="minorHAnsi" w:hAnsiTheme="minorHAnsi" w:cstheme="minorHAnsi"/>
          <w:sz w:val="22"/>
          <w:szCs w:val="22"/>
        </w:rPr>
        <w:t xml:space="preserve">. </w:t>
      </w:r>
    </w:p>
    <w:p w14:paraId="00530160" w14:textId="525F1BC3" w:rsidR="00F45517" w:rsidRPr="00C95105" w:rsidRDefault="00C15EA3" w:rsidP="009F3109">
      <w:pPr>
        <w:spacing w:after="120"/>
        <w:ind w:firstLine="567"/>
        <w:rPr>
          <w:rFonts w:asciiTheme="minorHAnsi" w:hAnsiTheme="minorHAnsi" w:cstheme="minorBidi"/>
          <w:sz w:val="22"/>
          <w:szCs w:val="22"/>
        </w:rPr>
      </w:pPr>
      <w:r w:rsidRPr="00C95105">
        <w:rPr>
          <w:rFonts w:asciiTheme="minorHAnsi" w:hAnsiTheme="minorHAnsi" w:cstheme="minorHAnsi"/>
          <w:sz w:val="22"/>
          <w:szCs w:val="22"/>
        </w:rPr>
        <w:t>Gender t</w:t>
      </w:r>
      <w:r w:rsidR="00424C53" w:rsidRPr="00C95105">
        <w:rPr>
          <w:rFonts w:asciiTheme="minorHAnsi" w:hAnsiTheme="minorHAnsi" w:cstheme="minorHAnsi"/>
          <w:sz w:val="22"/>
          <w:szCs w:val="22"/>
        </w:rPr>
        <w:t xml:space="preserve">argets </w:t>
      </w:r>
      <w:r w:rsidR="00AE3B1F" w:rsidRPr="00C95105">
        <w:rPr>
          <w:rFonts w:asciiTheme="minorHAnsi" w:hAnsiTheme="minorHAnsi" w:cstheme="minorHAnsi"/>
          <w:sz w:val="22"/>
          <w:szCs w:val="22"/>
        </w:rPr>
        <w:t xml:space="preserve">operate by </w:t>
      </w:r>
      <w:r w:rsidR="00424C53" w:rsidRPr="00C95105">
        <w:rPr>
          <w:rFonts w:asciiTheme="minorHAnsi" w:hAnsiTheme="minorHAnsi" w:cstheme="minorHAnsi"/>
          <w:sz w:val="22"/>
          <w:szCs w:val="22"/>
        </w:rPr>
        <w:t>set</w:t>
      </w:r>
      <w:r w:rsidR="00AE3B1F" w:rsidRPr="00C95105">
        <w:rPr>
          <w:rFonts w:asciiTheme="minorHAnsi" w:hAnsiTheme="minorHAnsi" w:cstheme="minorHAnsi"/>
          <w:sz w:val="22"/>
          <w:szCs w:val="22"/>
        </w:rPr>
        <w:t>ting</w:t>
      </w:r>
      <w:r w:rsidR="00424C53" w:rsidRPr="00C95105">
        <w:rPr>
          <w:rFonts w:asciiTheme="minorHAnsi" w:hAnsiTheme="minorHAnsi" w:cstheme="minorHAnsi"/>
          <w:sz w:val="22"/>
          <w:szCs w:val="22"/>
        </w:rPr>
        <w:t xml:space="preserve"> goals for the expected percentage</w:t>
      </w:r>
      <w:r w:rsidR="00E108E1" w:rsidRPr="00C95105">
        <w:rPr>
          <w:rFonts w:asciiTheme="minorHAnsi" w:hAnsiTheme="minorHAnsi" w:cstheme="minorHAnsi"/>
          <w:sz w:val="22"/>
          <w:szCs w:val="22"/>
        </w:rPr>
        <w:t xml:space="preserve"> or </w:t>
      </w:r>
      <w:r w:rsidR="00424C53" w:rsidRPr="00C95105">
        <w:rPr>
          <w:rFonts w:asciiTheme="minorHAnsi" w:hAnsiTheme="minorHAnsi" w:cstheme="minorHAnsi"/>
          <w:sz w:val="22"/>
          <w:szCs w:val="22"/>
        </w:rPr>
        <w:t xml:space="preserve">number of </w:t>
      </w:r>
      <w:r w:rsidR="00007097" w:rsidRPr="00C95105">
        <w:rPr>
          <w:rFonts w:asciiTheme="minorHAnsi" w:hAnsiTheme="minorHAnsi" w:cstheme="minorHAnsi"/>
          <w:sz w:val="22"/>
          <w:szCs w:val="22"/>
        </w:rPr>
        <w:t xml:space="preserve">people from </w:t>
      </w:r>
      <w:r w:rsidR="009A5794" w:rsidRPr="00C95105">
        <w:rPr>
          <w:rFonts w:asciiTheme="minorHAnsi" w:hAnsiTheme="minorHAnsi" w:cstheme="minorHAnsi"/>
          <w:sz w:val="22"/>
          <w:szCs w:val="22"/>
        </w:rPr>
        <w:t>each gender group</w:t>
      </w:r>
      <w:r w:rsidR="00424C53" w:rsidRPr="00C95105">
        <w:rPr>
          <w:rFonts w:asciiTheme="minorHAnsi" w:hAnsiTheme="minorHAnsi" w:cstheme="minorHAnsi"/>
          <w:sz w:val="22"/>
          <w:szCs w:val="22"/>
        </w:rPr>
        <w:t xml:space="preserve"> to occupy or be nominated for </w:t>
      </w:r>
      <w:r w:rsidR="00993F09" w:rsidRPr="00C95105">
        <w:rPr>
          <w:rFonts w:asciiTheme="minorHAnsi" w:hAnsiTheme="minorHAnsi" w:cstheme="minorHAnsi"/>
          <w:sz w:val="22"/>
          <w:szCs w:val="22"/>
        </w:rPr>
        <w:t>specific</w:t>
      </w:r>
      <w:r w:rsidR="00424C53" w:rsidRPr="00C95105">
        <w:rPr>
          <w:rFonts w:asciiTheme="minorHAnsi" w:hAnsiTheme="minorHAnsi" w:cstheme="minorHAnsi"/>
          <w:sz w:val="22"/>
          <w:szCs w:val="22"/>
        </w:rPr>
        <w:t xml:space="preserve"> </w:t>
      </w:r>
      <w:r w:rsidR="00E108E1" w:rsidRPr="00C95105">
        <w:rPr>
          <w:rFonts w:asciiTheme="minorHAnsi" w:hAnsiTheme="minorHAnsi" w:cstheme="minorHAnsi"/>
          <w:sz w:val="22"/>
          <w:szCs w:val="22"/>
        </w:rPr>
        <w:t>roles</w:t>
      </w:r>
      <w:r w:rsidR="001B7C55" w:rsidRPr="00C95105">
        <w:rPr>
          <w:rFonts w:asciiTheme="minorHAnsi" w:hAnsiTheme="minorHAnsi" w:cstheme="minorHAnsi"/>
          <w:sz w:val="22"/>
          <w:szCs w:val="22"/>
        </w:rPr>
        <w:t xml:space="preserve">. Targets </w:t>
      </w:r>
      <w:r w:rsidR="001235B6" w:rsidRPr="00C95105">
        <w:rPr>
          <w:rFonts w:asciiTheme="minorHAnsi" w:hAnsiTheme="minorHAnsi" w:cstheme="minorHAnsi"/>
          <w:sz w:val="22"/>
          <w:szCs w:val="22"/>
        </w:rPr>
        <w:t xml:space="preserve">can vary </w:t>
      </w:r>
      <w:r w:rsidR="00F23E4D" w:rsidRPr="00C95105">
        <w:rPr>
          <w:rFonts w:asciiTheme="minorHAnsi" w:hAnsiTheme="minorHAnsi" w:cstheme="minorHAnsi"/>
          <w:sz w:val="22"/>
          <w:szCs w:val="22"/>
        </w:rPr>
        <w:t xml:space="preserve">substantially </w:t>
      </w:r>
      <w:r w:rsidR="00E91C6C" w:rsidRPr="00C95105">
        <w:rPr>
          <w:rFonts w:asciiTheme="minorHAnsi" w:hAnsiTheme="minorHAnsi" w:cstheme="minorHAnsi"/>
          <w:sz w:val="22"/>
          <w:szCs w:val="22"/>
        </w:rPr>
        <w:t>in their enforcement mechanisms or sanctions for failure to achieve the goal</w:t>
      </w:r>
      <w:r w:rsidR="003B4FDC" w:rsidRPr="00C95105">
        <w:rPr>
          <w:rFonts w:asciiTheme="minorHAnsi" w:hAnsiTheme="minorHAnsi" w:cstheme="minorHAnsi"/>
          <w:sz w:val="22"/>
          <w:szCs w:val="22"/>
        </w:rPr>
        <w:t>, leading to desc</w:t>
      </w:r>
      <w:r w:rsidR="00835BC3" w:rsidRPr="00C95105">
        <w:rPr>
          <w:rFonts w:asciiTheme="minorHAnsi" w:hAnsiTheme="minorHAnsi" w:cstheme="minorHAnsi"/>
          <w:sz w:val="22"/>
          <w:szCs w:val="22"/>
        </w:rPr>
        <w:t>riptors such</w:t>
      </w:r>
      <w:r w:rsidR="00087D79" w:rsidRPr="00C95105">
        <w:rPr>
          <w:rFonts w:asciiTheme="minorHAnsi" w:hAnsiTheme="minorHAnsi" w:cstheme="minorHAnsi"/>
          <w:sz w:val="22"/>
          <w:szCs w:val="22"/>
        </w:rPr>
        <w:t xml:space="preserve"> as</w:t>
      </w:r>
      <w:r w:rsidR="00835BC3" w:rsidRPr="00C95105">
        <w:rPr>
          <w:rFonts w:asciiTheme="minorHAnsi" w:hAnsiTheme="minorHAnsi" w:cstheme="minorHAnsi"/>
          <w:sz w:val="22"/>
          <w:szCs w:val="22"/>
        </w:rPr>
        <w:t xml:space="preserve"> </w:t>
      </w:r>
      <w:r w:rsidR="00ED35DB" w:rsidRPr="00C95105">
        <w:rPr>
          <w:rFonts w:asciiTheme="minorHAnsi" w:hAnsiTheme="minorHAnsi" w:cstheme="minorHAnsi"/>
          <w:sz w:val="22"/>
          <w:szCs w:val="22"/>
        </w:rPr>
        <w:t>‘weak targets’ with minimal enforcement, o</w:t>
      </w:r>
      <w:r w:rsidR="00233D52" w:rsidRPr="00C95105">
        <w:rPr>
          <w:rFonts w:asciiTheme="minorHAnsi" w:hAnsiTheme="minorHAnsi" w:cstheme="minorHAnsi"/>
          <w:sz w:val="22"/>
          <w:szCs w:val="22"/>
        </w:rPr>
        <w:t xml:space="preserve">r ‘hard targets’ that </w:t>
      </w:r>
      <w:r w:rsidR="00210BBF" w:rsidRPr="00C95105">
        <w:rPr>
          <w:rFonts w:asciiTheme="minorHAnsi" w:hAnsiTheme="minorHAnsi" w:cstheme="minorHAnsi"/>
          <w:sz w:val="22"/>
          <w:szCs w:val="22"/>
        </w:rPr>
        <w:t xml:space="preserve">without being called ‘quotas’ have </w:t>
      </w:r>
      <w:r w:rsidR="009C2545" w:rsidRPr="00C95105">
        <w:rPr>
          <w:rFonts w:asciiTheme="minorHAnsi" w:hAnsiTheme="minorHAnsi" w:cstheme="minorHAnsi"/>
          <w:sz w:val="22"/>
          <w:szCs w:val="22"/>
        </w:rPr>
        <w:t xml:space="preserve">robust </w:t>
      </w:r>
      <w:r w:rsidR="0099435F" w:rsidRPr="00C95105">
        <w:rPr>
          <w:rFonts w:asciiTheme="minorHAnsi" w:hAnsiTheme="minorHAnsi" w:cstheme="minorHAnsi"/>
          <w:sz w:val="22"/>
          <w:szCs w:val="22"/>
        </w:rPr>
        <w:t>scaffolding</w:t>
      </w:r>
      <w:r w:rsidR="009C2545" w:rsidRPr="00C95105">
        <w:rPr>
          <w:rFonts w:asciiTheme="minorHAnsi" w:hAnsiTheme="minorHAnsi" w:cstheme="minorHAnsi"/>
          <w:sz w:val="22"/>
          <w:szCs w:val="22"/>
        </w:rPr>
        <w:t xml:space="preserve"> around them to </w:t>
      </w:r>
      <w:r w:rsidR="0099435F" w:rsidRPr="00C95105">
        <w:rPr>
          <w:rFonts w:asciiTheme="minorHAnsi" w:hAnsiTheme="minorHAnsi" w:cstheme="minorHAnsi"/>
          <w:sz w:val="22"/>
          <w:szCs w:val="22"/>
        </w:rPr>
        <w:t xml:space="preserve">support </w:t>
      </w:r>
      <w:r w:rsidR="00D24CFD" w:rsidRPr="00C95105">
        <w:rPr>
          <w:rFonts w:asciiTheme="minorHAnsi" w:hAnsiTheme="minorHAnsi" w:cstheme="minorHAnsi"/>
          <w:sz w:val="22"/>
          <w:szCs w:val="22"/>
        </w:rPr>
        <w:t>achieving the set goal (Sojo et al., 2016).</w:t>
      </w:r>
      <w:r w:rsidR="009F3109" w:rsidRPr="00C95105">
        <w:rPr>
          <w:rFonts w:asciiTheme="minorHAnsi" w:hAnsiTheme="minorHAnsi" w:cstheme="minorHAnsi"/>
          <w:sz w:val="22"/>
          <w:szCs w:val="22"/>
        </w:rPr>
        <w:t xml:space="preserve"> </w:t>
      </w:r>
      <w:r w:rsidR="0065603A" w:rsidRPr="00C95105">
        <w:rPr>
          <w:rFonts w:asciiTheme="minorHAnsi" w:hAnsiTheme="minorHAnsi" w:cstheme="minorHAnsi"/>
          <w:sz w:val="22"/>
          <w:szCs w:val="22"/>
        </w:rPr>
        <w:t>On the other hand, q</w:t>
      </w:r>
      <w:r w:rsidR="00424C53" w:rsidRPr="00C95105">
        <w:rPr>
          <w:rFonts w:asciiTheme="minorHAnsi" w:hAnsiTheme="minorHAnsi" w:cstheme="minorHAnsi"/>
          <w:sz w:val="22"/>
          <w:szCs w:val="22"/>
        </w:rPr>
        <w:t xml:space="preserve">uotas are government or industry </w:t>
      </w:r>
      <w:r w:rsidR="00772773" w:rsidRPr="00C95105">
        <w:rPr>
          <w:rFonts w:asciiTheme="minorHAnsi" w:hAnsiTheme="minorHAnsi" w:cstheme="minorHAnsi"/>
          <w:sz w:val="22"/>
          <w:szCs w:val="22"/>
        </w:rPr>
        <w:t>mandated</w:t>
      </w:r>
      <w:r w:rsidR="00424C53" w:rsidRPr="00C95105">
        <w:rPr>
          <w:rFonts w:asciiTheme="minorHAnsi" w:hAnsiTheme="minorHAnsi" w:cstheme="minorHAnsi"/>
          <w:sz w:val="22"/>
          <w:szCs w:val="22"/>
        </w:rPr>
        <w:t xml:space="preserve"> percentages of representation or numbers of </w:t>
      </w:r>
      <w:r w:rsidR="003C660C" w:rsidRPr="00C95105">
        <w:rPr>
          <w:rFonts w:asciiTheme="minorHAnsi" w:hAnsiTheme="minorHAnsi" w:cstheme="minorHAnsi"/>
          <w:sz w:val="22"/>
          <w:szCs w:val="22"/>
        </w:rPr>
        <w:t>gender groups</w:t>
      </w:r>
      <w:r w:rsidR="001E0602" w:rsidRPr="00C95105">
        <w:rPr>
          <w:rFonts w:asciiTheme="minorHAnsi" w:hAnsiTheme="minorHAnsi" w:cstheme="minorHAnsi"/>
          <w:sz w:val="22"/>
          <w:szCs w:val="22"/>
        </w:rPr>
        <w:t xml:space="preserve"> </w:t>
      </w:r>
      <w:r w:rsidR="00424C53" w:rsidRPr="00C95105">
        <w:rPr>
          <w:rFonts w:asciiTheme="minorHAnsi" w:hAnsiTheme="minorHAnsi" w:cstheme="minorHAnsi"/>
          <w:sz w:val="22"/>
          <w:szCs w:val="22"/>
        </w:rPr>
        <w:t xml:space="preserve">in </w:t>
      </w:r>
      <w:r w:rsidR="00953560" w:rsidRPr="00C95105">
        <w:rPr>
          <w:rFonts w:asciiTheme="minorHAnsi" w:hAnsiTheme="minorHAnsi" w:cstheme="minorHAnsi"/>
          <w:sz w:val="22"/>
          <w:szCs w:val="22"/>
        </w:rPr>
        <w:t xml:space="preserve">lists of candidates or </w:t>
      </w:r>
      <w:r w:rsidR="00424C53" w:rsidRPr="00C95105">
        <w:rPr>
          <w:rFonts w:asciiTheme="minorHAnsi" w:hAnsiTheme="minorHAnsi" w:cstheme="minorHAnsi"/>
          <w:sz w:val="22"/>
          <w:szCs w:val="22"/>
        </w:rPr>
        <w:t>positions</w:t>
      </w:r>
      <w:r w:rsidR="000F554A" w:rsidRPr="00C95105">
        <w:rPr>
          <w:rFonts w:asciiTheme="minorHAnsi" w:hAnsiTheme="minorHAnsi" w:cstheme="minorHAnsi"/>
          <w:sz w:val="22"/>
          <w:szCs w:val="22"/>
        </w:rPr>
        <w:t xml:space="preserve">. </w:t>
      </w:r>
      <w:r w:rsidR="009A5013" w:rsidRPr="00C95105">
        <w:rPr>
          <w:rFonts w:asciiTheme="minorHAnsi" w:hAnsiTheme="minorHAnsi" w:cstheme="minorHAnsi"/>
          <w:sz w:val="22"/>
          <w:szCs w:val="22"/>
        </w:rPr>
        <w:t xml:space="preserve">These requirements </w:t>
      </w:r>
      <w:r w:rsidR="00D6528E" w:rsidRPr="00C95105">
        <w:rPr>
          <w:rFonts w:asciiTheme="minorHAnsi" w:hAnsiTheme="minorHAnsi" w:cstheme="minorHAnsi"/>
          <w:sz w:val="22"/>
          <w:szCs w:val="22"/>
        </w:rPr>
        <w:t xml:space="preserve">are typically </w:t>
      </w:r>
      <w:r w:rsidR="00424C53" w:rsidRPr="00C95105">
        <w:rPr>
          <w:rFonts w:asciiTheme="minorHAnsi" w:hAnsiTheme="minorHAnsi" w:cstheme="minorHAnsi"/>
          <w:sz w:val="22"/>
          <w:szCs w:val="22"/>
        </w:rPr>
        <w:t xml:space="preserve">paired with </w:t>
      </w:r>
      <w:r w:rsidR="00D6528E" w:rsidRPr="00C95105">
        <w:rPr>
          <w:rFonts w:asciiTheme="minorHAnsi" w:hAnsiTheme="minorHAnsi" w:cstheme="minorHAnsi"/>
          <w:sz w:val="22"/>
          <w:szCs w:val="22"/>
        </w:rPr>
        <w:t>robust</w:t>
      </w:r>
      <w:r w:rsidR="00424C53" w:rsidRPr="00C95105">
        <w:rPr>
          <w:rFonts w:asciiTheme="minorHAnsi" w:hAnsiTheme="minorHAnsi" w:cstheme="minorHAnsi"/>
          <w:sz w:val="22"/>
          <w:szCs w:val="22"/>
        </w:rPr>
        <w:t xml:space="preserve"> enforcement mechanisms</w:t>
      </w:r>
      <w:r w:rsidR="00F45517" w:rsidRPr="00C95105">
        <w:rPr>
          <w:rFonts w:asciiTheme="minorHAnsi" w:hAnsiTheme="minorHAnsi" w:cstheme="minorHAnsi"/>
          <w:sz w:val="22"/>
          <w:szCs w:val="22"/>
        </w:rPr>
        <w:t>, such as</w:t>
      </w:r>
      <w:r w:rsidR="00424C53" w:rsidRPr="00C95105">
        <w:rPr>
          <w:rFonts w:asciiTheme="minorHAnsi" w:hAnsiTheme="minorHAnsi" w:cstheme="minorHAnsi"/>
          <w:sz w:val="22"/>
          <w:szCs w:val="22"/>
        </w:rPr>
        <w:t xml:space="preserve"> close monitoring</w:t>
      </w:r>
      <w:r w:rsidR="00F722CE" w:rsidRPr="00C95105">
        <w:rPr>
          <w:rFonts w:asciiTheme="minorHAnsi" w:hAnsiTheme="minorHAnsi" w:cstheme="minorHAnsi"/>
          <w:sz w:val="22"/>
          <w:szCs w:val="22"/>
        </w:rPr>
        <w:t xml:space="preserve"> and</w:t>
      </w:r>
      <w:r w:rsidR="00F45517" w:rsidRPr="00C95105">
        <w:rPr>
          <w:rFonts w:asciiTheme="minorHAnsi" w:hAnsiTheme="minorHAnsi" w:cstheme="minorHAnsi"/>
          <w:sz w:val="22"/>
          <w:szCs w:val="22"/>
        </w:rPr>
        <w:t xml:space="preserve"> </w:t>
      </w:r>
      <w:r w:rsidR="00424C53" w:rsidRPr="00C95105">
        <w:rPr>
          <w:rFonts w:asciiTheme="minorHAnsi" w:hAnsiTheme="minorHAnsi" w:cstheme="minorHAnsi"/>
          <w:sz w:val="22"/>
          <w:szCs w:val="22"/>
        </w:rPr>
        <w:t>financial or operational penalties</w:t>
      </w:r>
      <w:r w:rsidR="00F45517" w:rsidRPr="00C95105">
        <w:rPr>
          <w:rFonts w:asciiTheme="minorHAnsi" w:hAnsiTheme="minorHAnsi" w:cstheme="minorHAnsi"/>
          <w:sz w:val="22"/>
          <w:szCs w:val="22"/>
        </w:rPr>
        <w:t xml:space="preserve"> </w:t>
      </w:r>
      <w:r w:rsidR="00424C53" w:rsidRPr="00C95105">
        <w:rPr>
          <w:rFonts w:asciiTheme="minorHAnsi" w:hAnsiTheme="minorHAnsi" w:cstheme="minorHAnsi"/>
          <w:sz w:val="22"/>
          <w:szCs w:val="22"/>
        </w:rPr>
        <w:t>for noncompliance</w:t>
      </w:r>
      <w:r w:rsidR="00F45517" w:rsidRPr="00C95105">
        <w:rPr>
          <w:rFonts w:asciiTheme="minorHAnsi" w:hAnsiTheme="minorHAnsi" w:cstheme="minorHAnsi"/>
          <w:sz w:val="22"/>
          <w:szCs w:val="22"/>
        </w:rPr>
        <w:t xml:space="preserve"> (</w:t>
      </w:r>
      <w:r w:rsidR="009225D1" w:rsidRPr="00C95105">
        <w:rPr>
          <w:rFonts w:asciiTheme="minorHAnsi" w:hAnsiTheme="minorHAnsi" w:cstheme="minorHAnsi"/>
          <w:sz w:val="22"/>
          <w:szCs w:val="22"/>
        </w:rPr>
        <w:t xml:space="preserve">European Parliament, 2011; </w:t>
      </w:r>
      <w:r w:rsidR="00F45517" w:rsidRPr="00C95105">
        <w:rPr>
          <w:rFonts w:asciiTheme="minorHAnsi" w:hAnsiTheme="minorHAnsi" w:cstheme="minorHAnsi"/>
          <w:sz w:val="22"/>
          <w:szCs w:val="22"/>
        </w:rPr>
        <w:t>Sojo et al., 2016).</w:t>
      </w:r>
      <w:r w:rsidR="009F3109" w:rsidRPr="00C95105">
        <w:rPr>
          <w:rFonts w:asciiTheme="minorHAnsi" w:hAnsiTheme="minorHAnsi" w:cstheme="minorHAnsi"/>
          <w:sz w:val="22"/>
          <w:szCs w:val="22"/>
        </w:rPr>
        <w:t xml:space="preserve"> The primary studies reviewed in this chapter were concerned with </w:t>
      </w:r>
      <w:r w:rsidR="009F3109" w:rsidRPr="00C95105">
        <w:rPr>
          <w:rFonts w:asciiTheme="minorHAnsi" w:hAnsiTheme="minorHAnsi" w:cstheme="minorHAnsi"/>
          <w:i/>
          <w:iCs/>
          <w:sz w:val="22"/>
          <w:szCs w:val="22"/>
        </w:rPr>
        <w:t xml:space="preserve">hard </w:t>
      </w:r>
      <w:r w:rsidR="00F90527" w:rsidRPr="00C95105">
        <w:rPr>
          <w:rFonts w:asciiTheme="minorHAnsi" w:hAnsiTheme="minorHAnsi" w:cstheme="minorHAnsi"/>
          <w:i/>
          <w:iCs/>
          <w:sz w:val="22"/>
          <w:szCs w:val="22"/>
        </w:rPr>
        <w:t>targets</w:t>
      </w:r>
      <w:r w:rsidR="009F3109" w:rsidRPr="00C95105">
        <w:rPr>
          <w:rFonts w:asciiTheme="minorHAnsi" w:hAnsiTheme="minorHAnsi" w:cstheme="minorHAnsi"/>
          <w:sz w:val="22"/>
          <w:szCs w:val="22"/>
        </w:rPr>
        <w:t xml:space="preserve"> and </w:t>
      </w:r>
      <w:r w:rsidR="009F3109" w:rsidRPr="00C95105">
        <w:rPr>
          <w:rFonts w:asciiTheme="minorHAnsi" w:hAnsiTheme="minorHAnsi" w:cstheme="minorHAnsi"/>
          <w:i/>
          <w:iCs/>
          <w:sz w:val="22"/>
          <w:szCs w:val="22"/>
        </w:rPr>
        <w:t>quotas</w:t>
      </w:r>
      <w:r w:rsidR="009F3109" w:rsidRPr="00C95105">
        <w:rPr>
          <w:rFonts w:asciiTheme="minorHAnsi" w:hAnsiTheme="minorHAnsi" w:cstheme="minorHAnsi"/>
          <w:sz w:val="22"/>
          <w:szCs w:val="22"/>
        </w:rPr>
        <w:t xml:space="preserve"> for women in political and corporate leadership.</w:t>
      </w:r>
    </w:p>
    <w:p w14:paraId="3E8523EB" w14:textId="202C42A3" w:rsidR="00F977D9" w:rsidRPr="00C95105" w:rsidRDefault="00EC58B5" w:rsidP="00F977D9">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the last 15 years</w:t>
      </w:r>
      <w:r w:rsidR="00CE4729" w:rsidRPr="00C95105">
        <w:rPr>
          <w:rFonts w:asciiTheme="minorHAnsi" w:hAnsiTheme="minorHAnsi" w:cstheme="minorHAnsi"/>
          <w:sz w:val="22"/>
          <w:szCs w:val="22"/>
        </w:rPr>
        <w:t>,</w:t>
      </w:r>
      <w:r w:rsidRPr="00C95105">
        <w:rPr>
          <w:rFonts w:asciiTheme="minorHAnsi" w:hAnsiTheme="minorHAnsi" w:cstheme="minorHAnsi"/>
          <w:sz w:val="22"/>
          <w:szCs w:val="22"/>
        </w:rPr>
        <w:t xml:space="preserve"> many jurisdictions have introduced targets and quotas to increase the parity of gender representation in leadership roles. In 2004 Norway introduced one of the earliest quotas for women on corporate boards (Bertrand et al., 2019) and was followed soon after by Denmark, Finland, France, Ireland, Iceland, and Spain (Maume et al., 2019). </w:t>
      </w:r>
      <w:r w:rsidR="6E5A14A6" w:rsidRPr="00C95105">
        <w:rPr>
          <w:rFonts w:asciiTheme="minorHAnsi" w:hAnsiTheme="minorHAnsi" w:cstheme="minorHAnsi"/>
          <w:sz w:val="22"/>
          <w:szCs w:val="22"/>
        </w:rPr>
        <w:t>In recent years India has followed suit as one of the first emerging markets to introduce gender quotas for leadership in corporate entities (Naaraayanan &amp; Nielsen, 2020).</w:t>
      </w:r>
    </w:p>
    <w:p w14:paraId="5779EF68" w14:textId="4DB09CD8" w:rsidR="00F977D9" w:rsidRPr="00C95105" w:rsidRDefault="6E5A14A6" w:rsidP="00F977D9">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Within the domain</w:t>
      </w:r>
      <w:r w:rsidR="00EC58B5" w:rsidRPr="00C95105">
        <w:rPr>
          <w:rFonts w:asciiTheme="minorHAnsi" w:hAnsiTheme="minorHAnsi" w:cstheme="minorHAnsi"/>
          <w:sz w:val="22"/>
          <w:szCs w:val="22"/>
        </w:rPr>
        <w:t xml:space="preserve"> of </w:t>
      </w:r>
      <w:r w:rsidRPr="00C95105">
        <w:rPr>
          <w:rFonts w:asciiTheme="minorHAnsi" w:hAnsiTheme="minorHAnsi" w:cstheme="minorHAnsi"/>
          <w:sz w:val="22"/>
          <w:szCs w:val="22"/>
        </w:rPr>
        <w:t>political governance, h</w:t>
      </w:r>
      <w:r w:rsidR="00EC58B5" w:rsidRPr="00C95105">
        <w:rPr>
          <w:rFonts w:asciiTheme="minorHAnsi" w:hAnsiTheme="minorHAnsi" w:cstheme="minorHAnsi"/>
          <w:sz w:val="22"/>
          <w:szCs w:val="22"/>
        </w:rPr>
        <w:t>alf the countries in the world now have some form of electoral gender quota as a feature of their parliamentary system (Dahlerup et al., 2013). The state of Victoria has been part of this push for gender parity, introducing a requirement in 2015 that women make up no less than 50 per cent of all appointments to courts and paid Government boards (Premier of Victoria, 2015).</w:t>
      </w:r>
    </w:p>
    <w:p w14:paraId="4C32EFA6" w14:textId="0E5C5692" w:rsidR="00F977D9" w:rsidRPr="00C95105" w:rsidRDefault="00EC58B5" w:rsidP="00F977D9">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There is an extensive body of research investigating the impact of these targets and quotas on women’s numeric representation in leadership roles (Morgenroth &amp; Ryan, 2018</w:t>
      </w:r>
      <w:r w:rsidR="005A3831" w:rsidRPr="00C95105">
        <w:rPr>
          <w:rFonts w:asciiTheme="minorHAnsi" w:hAnsiTheme="minorHAnsi" w:cstheme="minorHAnsi"/>
          <w:sz w:val="22"/>
          <w:szCs w:val="22"/>
        </w:rPr>
        <w:t>; Sojo et al., 2016</w:t>
      </w:r>
      <w:r w:rsidRPr="00C95105">
        <w:rPr>
          <w:rFonts w:asciiTheme="minorHAnsi" w:hAnsiTheme="minorHAnsi" w:cstheme="minorHAnsi"/>
          <w:sz w:val="22"/>
          <w:szCs w:val="22"/>
        </w:rPr>
        <w:t>). Electoral quotas have been found to increase the numbers of women in parliaments in Argentina (Htun et al., 2013), Belgium (Meier, 2004), Italy (Bonomi et al., 2013; De Paola et al., 2010), Morocco (Darhour &amp; Dahlerup, 2013) and many other jurisdictions (Caul, 2001; Paxton et al., 2010). Board quotas have been similarly successful in increasing women’s representation in the countries in which they have been introduced (</w:t>
      </w:r>
      <w:r w:rsidR="0000196F" w:rsidRPr="00C95105">
        <w:rPr>
          <w:rFonts w:asciiTheme="minorHAnsi" w:hAnsiTheme="minorHAnsi" w:cstheme="minorHAnsi"/>
          <w:sz w:val="22"/>
          <w:szCs w:val="22"/>
        </w:rPr>
        <w:t xml:space="preserve">Sojo et al., 2016; </w:t>
      </w:r>
      <w:r w:rsidRPr="00C95105">
        <w:rPr>
          <w:rFonts w:asciiTheme="minorHAnsi" w:hAnsiTheme="minorHAnsi" w:cstheme="minorHAnsi"/>
          <w:sz w:val="22"/>
          <w:szCs w:val="22"/>
        </w:rPr>
        <w:t xml:space="preserve">Storvik, 2011; Wang &amp; Kelan, 2013). </w:t>
      </w:r>
    </w:p>
    <w:p w14:paraId="7BE251D4" w14:textId="1DE4EA30" w:rsidR="00C808B4" w:rsidRPr="00C95105" w:rsidRDefault="00EC58B5" w:rsidP="00C808B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Questions remain, however, about whether increasing numbers of women in leadership roles contributes meaningfully to addressing the structural barriers faced by women. Research into secondary impacts on outcomes beyond simple numerical presence is in its early stages and we do not yet have a comprehensive picture of how the implementation of targets and quotas in leadership roles may affect other indices of gender equality. In this project we review the evidence </w:t>
      </w:r>
      <w:r w:rsidRPr="00C95105">
        <w:rPr>
          <w:rFonts w:asciiTheme="minorHAnsi" w:hAnsiTheme="minorHAnsi" w:cstheme="minorHAnsi"/>
          <w:sz w:val="22"/>
          <w:szCs w:val="22"/>
        </w:rPr>
        <w:lastRenderedPageBreak/>
        <w:t>for the impact of quotas on three categories of outcomes relevant to the Victorian public sector: (1) extent of women’s influence; (2) impact on public attitudes; and (3) labour market indicators.</w:t>
      </w:r>
    </w:p>
    <w:p w14:paraId="346A252E" w14:textId="1D66C600" w:rsidR="00C808B4" w:rsidRPr="00C95105" w:rsidRDefault="00EC58B5" w:rsidP="00C808B4">
      <w:pPr>
        <w:spacing w:after="120"/>
        <w:ind w:firstLine="567"/>
        <w:rPr>
          <w:rFonts w:asciiTheme="minorHAnsi" w:hAnsiTheme="minorHAnsi" w:cstheme="minorHAnsi"/>
          <w:sz w:val="22"/>
          <w:szCs w:val="22"/>
        </w:rPr>
      </w:pPr>
      <w:r w:rsidRPr="00C95105">
        <w:rPr>
          <w:rFonts w:asciiTheme="minorHAnsi" w:hAnsiTheme="minorHAnsi" w:cstheme="minorHAnsi"/>
          <w:b/>
          <w:bCs/>
          <w:i/>
          <w:iCs/>
          <w:sz w:val="22"/>
          <w:szCs w:val="22"/>
        </w:rPr>
        <w:t>Extent of women’s influence</w:t>
      </w:r>
      <w:r w:rsidRPr="00C95105">
        <w:rPr>
          <w:rFonts w:asciiTheme="minorHAnsi" w:hAnsiTheme="minorHAnsi" w:cstheme="minorHAnsi"/>
          <w:sz w:val="22"/>
          <w:szCs w:val="22"/>
        </w:rPr>
        <w:t xml:space="preserve"> refers to the extent to which women in the targeted roles carry out their duties in a way that furthers the interests of other </w:t>
      </w:r>
      <w:r w:rsidR="00F74C11" w:rsidRPr="00C95105">
        <w:rPr>
          <w:rFonts w:asciiTheme="minorHAnsi" w:hAnsiTheme="minorHAnsi" w:cstheme="minorHAnsi"/>
          <w:sz w:val="22"/>
          <w:szCs w:val="22"/>
        </w:rPr>
        <w:t>women</w:t>
      </w:r>
      <w:r w:rsidRPr="00C95105">
        <w:rPr>
          <w:rFonts w:asciiTheme="minorHAnsi" w:hAnsiTheme="minorHAnsi" w:cstheme="minorHAnsi"/>
          <w:sz w:val="22"/>
          <w:szCs w:val="22"/>
        </w:rPr>
        <w:t xml:space="preserve">, that is, substantive representation. In electoral terms this may be measured by public expenditure or parliamentary activity reflecting gendered priorities (e.g., Clayton &amp; Zetterberg, 2018; Dauti, 2021). In both the electoral and board context, women’s capacity to reach positions of power or authority, such as a Ministerial role or a position on a board’s audit committee, may also be a measure of the capacity for substantive representation (e.g., Kerevel, 2019; Maganelli et al., 2017). </w:t>
      </w:r>
    </w:p>
    <w:p w14:paraId="67213697" w14:textId="01EA773E" w:rsidR="00C808B4" w:rsidRPr="00C95105" w:rsidRDefault="00EC58B5" w:rsidP="00C808B4">
      <w:pPr>
        <w:spacing w:after="120"/>
        <w:ind w:firstLine="567"/>
        <w:rPr>
          <w:rFonts w:asciiTheme="minorHAnsi" w:hAnsiTheme="minorHAnsi" w:cstheme="minorHAnsi"/>
          <w:sz w:val="22"/>
          <w:szCs w:val="22"/>
        </w:rPr>
      </w:pPr>
      <w:r w:rsidRPr="00C95105">
        <w:rPr>
          <w:rFonts w:asciiTheme="minorHAnsi" w:hAnsiTheme="minorHAnsi" w:cstheme="minorHAnsi"/>
          <w:b/>
          <w:bCs/>
          <w:i/>
          <w:iCs/>
          <w:sz w:val="22"/>
          <w:szCs w:val="22"/>
        </w:rPr>
        <w:t>Impact on public attitudes</w:t>
      </w:r>
      <w:r w:rsidRPr="00C95105">
        <w:rPr>
          <w:rFonts w:asciiTheme="minorHAnsi" w:hAnsiTheme="minorHAnsi" w:cstheme="minorHAnsi"/>
          <w:sz w:val="22"/>
          <w:szCs w:val="22"/>
        </w:rPr>
        <w:t xml:space="preserve"> refers to the effect on attitudes and perceptions that the presence of women in leadership roles may have on the broader public. For example, </w:t>
      </w:r>
      <w:r w:rsidR="37F55F16" w:rsidRPr="00C95105">
        <w:rPr>
          <w:rFonts w:asciiTheme="minorHAnsi" w:hAnsiTheme="minorHAnsi" w:cstheme="minorHAnsi"/>
          <w:sz w:val="22"/>
          <w:szCs w:val="22"/>
        </w:rPr>
        <w:t>there may be</w:t>
      </w:r>
      <w:r w:rsidRPr="00C95105">
        <w:rPr>
          <w:rFonts w:asciiTheme="minorHAnsi" w:hAnsiTheme="minorHAnsi" w:cstheme="minorHAnsi"/>
          <w:sz w:val="22"/>
          <w:szCs w:val="22"/>
        </w:rPr>
        <w:t xml:space="preserve"> shifts in perceptions of gender equality and bias, attitudes towards women in leadership, </w:t>
      </w:r>
      <w:r w:rsidR="37F55F16" w:rsidRPr="00C95105">
        <w:rPr>
          <w:rFonts w:asciiTheme="minorHAnsi" w:hAnsiTheme="minorHAnsi" w:cstheme="minorHAnsi"/>
          <w:sz w:val="22"/>
          <w:szCs w:val="22"/>
        </w:rPr>
        <w:t>or</w:t>
      </w:r>
      <w:r w:rsidRPr="00C95105">
        <w:rPr>
          <w:rFonts w:asciiTheme="minorHAnsi" w:hAnsiTheme="minorHAnsi" w:cstheme="minorHAnsi"/>
          <w:sz w:val="22"/>
          <w:szCs w:val="22"/>
        </w:rPr>
        <w:t xml:space="preserve"> views about governments or leadership bodies in general (e.g., De Paola et al., 2010). </w:t>
      </w:r>
    </w:p>
    <w:p w14:paraId="003839BE" w14:textId="77777777" w:rsidR="00C808B4" w:rsidRPr="00C95105" w:rsidRDefault="00EC58B5" w:rsidP="00C808B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Finally, the impact of gender targets and quotas on </w:t>
      </w:r>
      <w:r w:rsidRPr="00C95105">
        <w:rPr>
          <w:rFonts w:asciiTheme="minorHAnsi" w:hAnsiTheme="minorHAnsi" w:cstheme="minorHAnsi"/>
          <w:b/>
          <w:i/>
          <w:iCs/>
          <w:sz w:val="22"/>
          <w:szCs w:val="22"/>
        </w:rPr>
        <w:t>labour market indicators</w:t>
      </w:r>
      <w:r w:rsidRPr="00C95105">
        <w:rPr>
          <w:rFonts w:asciiTheme="minorHAnsi" w:hAnsiTheme="minorHAnsi" w:cstheme="minorHAnsi"/>
          <w:sz w:val="22"/>
          <w:szCs w:val="22"/>
        </w:rPr>
        <w:t xml:space="preserve"> may be reflected in reductions in the gender pay gap, changes in women’s workforce participation, and gendered differences in willingness to apply for jobs at lower levels of an organisation (e.g., Bertrand et al., 2019; Maggian et al., 2020). </w:t>
      </w:r>
    </w:p>
    <w:p w14:paraId="080BDD4F" w14:textId="77777777" w:rsidR="00EC58B5" w:rsidRPr="00C95105" w:rsidRDefault="00EC58B5" w:rsidP="00C808B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The key objective of the current review is to draw conclusions regarding the impact of gender targets and quotas on improving gender equality for outcomes reflecting the extent of women’s influence, impact on public attitudes, and gender-relevant labour market indicators. An additional objective of the review is to identify contextual factors that may promote or inhibit these outcomes.</w:t>
      </w:r>
    </w:p>
    <w:p w14:paraId="4A35C46A" w14:textId="77777777" w:rsidR="00EC58B5" w:rsidRPr="00C95105" w:rsidRDefault="00EC58B5" w:rsidP="00EC58B5">
      <w:pPr>
        <w:pStyle w:val="ListParagraph"/>
        <w:spacing w:after="120"/>
        <w:ind w:left="0" w:firstLine="720"/>
        <w:contextualSpacing w:val="0"/>
        <w:rPr>
          <w:rFonts w:asciiTheme="minorHAnsi" w:hAnsiTheme="minorHAnsi" w:cstheme="minorHAnsi"/>
          <w:sz w:val="22"/>
          <w:szCs w:val="22"/>
        </w:rPr>
      </w:pPr>
    </w:p>
    <w:p w14:paraId="0BBCFEE1" w14:textId="77777777" w:rsidR="00EC58B5" w:rsidRPr="00C95105" w:rsidRDefault="00EC58B5" w:rsidP="00756FF3">
      <w:pPr>
        <w:pStyle w:val="Heading2"/>
        <w:numPr>
          <w:ilvl w:val="1"/>
          <w:numId w:val="35"/>
        </w:numPr>
        <w:spacing w:before="0" w:after="120"/>
        <w:ind w:left="426" w:hanging="426"/>
        <w:rPr>
          <w:rFonts w:asciiTheme="minorHAnsi" w:hAnsiTheme="minorHAnsi" w:cstheme="minorHAnsi"/>
          <w:b/>
          <w:bCs/>
        </w:rPr>
      </w:pPr>
      <w:bookmarkStart w:id="575" w:name="_Toc96957739"/>
      <w:r w:rsidRPr="00C95105">
        <w:rPr>
          <w:rFonts w:asciiTheme="minorHAnsi" w:hAnsiTheme="minorHAnsi" w:cstheme="minorHAnsi"/>
          <w:b/>
          <w:bCs/>
        </w:rPr>
        <w:t>Methods</w:t>
      </w:r>
      <w:bookmarkEnd w:id="575"/>
    </w:p>
    <w:p w14:paraId="6C8AA2E6" w14:textId="2C2E805E" w:rsidR="00EC58B5" w:rsidRPr="00C95105" w:rsidRDefault="00EC58B5" w:rsidP="00C808B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This project constitutes a rapid review, which follows the same principles of comprehensiveness and transparency as a systematic review (Cooper, Hedges &amp;</w:t>
      </w:r>
      <w:r w:rsidR="24C16C81" w:rsidRPr="00C95105">
        <w:rPr>
          <w:rFonts w:asciiTheme="minorHAnsi" w:hAnsiTheme="minorHAnsi" w:cstheme="minorHAnsi"/>
          <w:sz w:val="22"/>
          <w:szCs w:val="22"/>
        </w:rPr>
        <w:t>,</w:t>
      </w:r>
      <w:r w:rsidRPr="00C95105">
        <w:rPr>
          <w:rFonts w:asciiTheme="minorHAnsi" w:hAnsiTheme="minorHAnsi" w:cstheme="minorHAnsi"/>
          <w:sz w:val="22"/>
          <w:szCs w:val="22"/>
        </w:rPr>
        <w:t xml:space="preserve"> Valentine, 2009), including a systematic literature search and selection (Moher, Liberati, Tetzlaff, Altman</w:t>
      </w:r>
      <w:r w:rsidR="24C16C81" w:rsidRPr="00C95105">
        <w:rPr>
          <w:rFonts w:asciiTheme="minorHAnsi" w:hAnsiTheme="minorHAnsi" w:cstheme="minorHAnsi"/>
          <w:sz w:val="22"/>
          <w:szCs w:val="22"/>
        </w:rPr>
        <w:t>,</w:t>
      </w:r>
      <w:r w:rsidRPr="00C95105">
        <w:rPr>
          <w:rFonts w:asciiTheme="minorHAnsi" w:hAnsiTheme="minorHAnsi" w:cstheme="minorHAnsi"/>
          <w:sz w:val="22"/>
          <w:szCs w:val="22"/>
        </w:rPr>
        <w:t xml:space="preserve"> &amp; The Prisma Group, 2009), with some aspects of the process streamlined to facilitate reporting in a truncated timeframe (Abrami et al., 2010; Thomas et al., 2013). </w:t>
      </w:r>
    </w:p>
    <w:p w14:paraId="69268204" w14:textId="77777777" w:rsidR="00C808B4" w:rsidRPr="00C95105" w:rsidRDefault="00C808B4" w:rsidP="00C808B4">
      <w:pPr>
        <w:spacing w:after="120"/>
        <w:ind w:firstLine="567"/>
        <w:rPr>
          <w:rFonts w:asciiTheme="minorHAnsi" w:hAnsiTheme="minorHAnsi" w:cstheme="minorHAnsi"/>
          <w:sz w:val="22"/>
          <w:szCs w:val="22"/>
        </w:rPr>
      </w:pPr>
    </w:p>
    <w:p w14:paraId="1D98555B" w14:textId="77777777" w:rsidR="00EC58B5" w:rsidRPr="00C95105" w:rsidRDefault="00EC58B5" w:rsidP="00756FF3">
      <w:pPr>
        <w:pStyle w:val="Heading3"/>
        <w:numPr>
          <w:ilvl w:val="2"/>
          <w:numId w:val="35"/>
        </w:numPr>
        <w:spacing w:before="0" w:after="120"/>
        <w:ind w:left="567" w:hanging="567"/>
        <w:rPr>
          <w:rFonts w:asciiTheme="minorHAnsi" w:hAnsiTheme="minorHAnsi" w:cstheme="minorHAnsi"/>
          <w:b/>
          <w:bCs/>
          <w:i/>
          <w:iCs/>
          <w:color w:val="2F5496" w:themeColor="accent1" w:themeShade="BF"/>
          <w:sz w:val="22"/>
          <w:szCs w:val="22"/>
        </w:rPr>
      </w:pPr>
      <w:bookmarkStart w:id="576" w:name="_Toc96957740"/>
      <w:r w:rsidRPr="00C95105">
        <w:rPr>
          <w:rFonts w:asciiTheme="minorHAnsi" w:hAnsiTheme="minorHAnsi" w:cstheme="minorHAnsi"/>
          <w:b/>
          <w:bCs/>
          <w:i/>
          <w:iCs/>
          <w:color w:val="2F5496" w:themeColor="accent1" w:themeShade="BF"/>
          <w:sz w:val="22"/>
          <w:szCs w:val="22"/>
        </w:rPr>
        <w:t>Eligibility</w:t>
      </w:r>
      <w:bookmarkEnd w:id="576"/>
    </w:p>
    <w:p w14:paraId="7DBDB2D0" w14:textId="1A7F21A2" w:rsidR="00EC58B5" w:rsidRPr="00C95105" w:rsidRDefault="00EC58B5" w:rsidP="00C808B4">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References were eligible for inclusion in th</w:t>
      </w:r>
      <w:r w:rsidR="00C808B4" w:rsidRPr="00C95105">
        <w:rPr>
          <w:rFonts w:asciiTheme="minorHAnsi" w:hAnsiTheme="minorHAnsi" w:cstheme="minorHAnsi"/>
          <w:sz w:val="22"/>
          <w:szCs w:val="22"/>
        </w:rPr>
        <w:t>is</w:t>
      </w:r>
      <w:r w:rsidRPr="00C95105">
        <w:rPr>
          <w:rFonts w:asciiTheme="minorHAnsi" w:hAnsiTheme="minorHAnsi" w:cstheme="minorHAnsi"/>
          <w:sz w:val="22"/>
          <w:szCs w:val="22"/>
        </w:rPr>
        <w:t xml:space="preserve"> review if they me</w:t>
      </w:r>
      <w:r w:rsidR="00C808B4" w:rsidRPr="00C95105">
        <w:rPr>
          <w:rFonts w:asciiTheme="minorHAnsi" w:hAnsiTheme="minorHAnsi" w:cstheme="minorHAnsi"/>
          <w:sz w:val="22"/>
          <w:szCs w:val="22"/>
        </w:rPr>
        <w:t>t</w:t>
      </w:r>
      <w:r w:rsidRPr="00C95105">
        <w:rPr>
          <w:rFonts w:asciiTheme="minorHAnsi" w:hAnsiTheme="minorHAnsi" w:cstheme="minorHAnsi"/>
          <w:sz w:val="22"/>
          <w:szCs w:val="22"/>
        </w:rPr>
        <w:t xml:space="preserve"> the criteria outlined in Table 6.1</w:t>
      </w:r>
      <w:r w:rsidR="00492ADE" w:rsidRPr="00C95105">
        <w:rPr>
          <w:rFonts w:asciiTheme="minorHAnsi" w:hAnsiTheme="minorHAnsi" w:cstheme="minorHAnsi"/>
          <w:sz w:val="22"/>
          <w:szCs w:val="22"/>
        </w:rPr>
        <w:t>, below.</w:t>
      </w:r>
    </w:p>
    <w:p w14:paraId="3F3F0741" w14:textId="77777777" w:rsidR="00492ADE" w:rsidRDefault="00492ADE" w:rsidP="00C808B4">
      <w:pPr>
        <w:spacing w:after="120"/>
        <w:ind w:firstLine="567"/>
        <w:rPr>
          <w:rFonts w:asciiTheme="minorHAnsi" w:hAnsiTheme="minorHAnsi" w:cstheme="minorHAnsi"/>
          <w:sz w:val="22"/>
          <w:szCs w:val="22"/>
        </w:rPr>
      </w:pPr>
    </w:p>
    <w:p w14:paraId="64910A95" w14:textId="77777777" w:rsidR="00E506B7" w:rsidRDefault="00E506B7" w:rsidP="00C808B4">
      <w:pPr>
        <w:spacing w:after="120"/>
        <w:ind w:firstLine="567"/>
        <w:rPr>
          <w:rFonts w:asciiTheme="minorHAnsi" w:hAnsiTheme="minorHAnsi" w:cstheme="minorHAnsi"/>
          <w:sz w:val="22"/>
          <w:szCs w:val="22"/>
        </w:rPr>
      </w:pPr>
    </w:p>
    <w:p w14:paraId="22F063CC" w14:textId="77777777" w:rsidR="00E506B7" w:rsidRDefault="00E506B7" w:rsidP="00C808B4">
      <w:pPr>
        <w:spacing w:after="120"/>
        <w:ind w:firstLine="567"/>
        <w:rPr>
          <w:rFonts w:asciiTheme="minorHAnsi" w:hAnsiTheme="minorHAnsi" w:cstheme="minorHAnsi"/>
          <w:sz w:val="22"/>
          <w:szCs w:val="22"/>
        </w:rPr>
      </w:pPr>
    </w:p>
    <w:p w14:paraId="192B4065" w14:textId="77777777" w:rsidR="00E506B7" w:rsidRDefault="00E506B7" w:rsidP="00C808B4">
      <w:pPr>
        <w:spacing w:after="120"/>
        <w:ind w:firstLine="567"/>
        <w:rPr>
          <w:rFonts w:asciiTheme="minorHAnsi" w:hAnsiTheme="minorHAnsi" w:cstheme="minorHAnsi"/>
          <w:sz w:val="22"/>
          <w:szCs w:val="22"/>
        </w:rPr>
      </w:pPr>
    </w:p>
    <w:p w14:paraId="27FBF312" w14:textId="77777777" w:rsidR="00E506B7" w:rsidRDefault="00E506B7" w:rsidP="00C808B4">
      <w:pPr>
        <w:spacing w:after="120"/>
        <w:ind w:firstLine="567"/>
        <w:rPr>
          <w:rFonts w:asciiTheme="minorHAnsi" w:hAnsiTheme="minorHAnsi" w:cstheme="minorHAnsi"/>
          <w:sz w:val="22"/>
          <w:szCs w:val="22"/>
        </w:rPr>
      </w:pPr>
    </w:p>
    <w:p w14:paraId="4008A7B4" w14:textId="77777777" w:rsidR="00E506B7" w:rsidRDefault="00E506B7" w:rsidP="00C808B4">
      <w:pPr>
        <w:spacing w:after="120"/>
        <w:ind w:firstLine="567"/>
        <w:rPr>
          <w:rFonts w:asciiTheme="minorHAnsi" w:hAnsiTheme="minorHAnsi" w:cstheme="minorHAnsi"/>
          <w:sz w:val="22"/>
          <w:szCs w:val="22"/>
        </w:rPr>
      </w:pPr>
    </w:p>
    <w:p w14:paraId="536E4B1C" w14:textId="77777777" w:rsidR="000619E5" w:rsidRDefault="000619E5" w:rsidP="00C808B4">
      <w:pPr>
        <w:spacing w:after="120"/>
        <w:ind w:firstLine="567"/>
        <w:rPr>
          <w:rFonts w:asciiTheme="minorHAnsi" w:hAnsiTheme="minorHAnsi" w:cstheme="minorHAnsi"/>
          <w:sz w:val="22"/>
          <w:szCs w:val="22"/>
        </w:rPr>
      </w:pPr>
    </w:p>
    <w:p w14:paraId="2190326C" w14:textId="77777777" w:rsidR="000619E5" w:rsidRDefault="000619E5" w:rsidP="00C808B4">
      <w:pPr>
        <w:spacing w:after="120"/>
        <w:ind w:firstLine="567"/>
        <w:rPr>
          <w:rFonts w:asciiTheme="minorHAnsi" w:hAnsiTheme="minorHAnsi" w:cstheme="minorHAnsi"/>
          <w:sz w:val="22"/>
          <w:szCs w:val="22"/>
        </w:rPr>
      </w:pPr>
    </w:p>
    <w:p w14:paraId="5D8F7A0D" w14:textId="77777777" w:rsidR="000619E5" w:rsidRDefault="000619E5" w:rsidP="00C808B4">
      <w:pPr>
        <w:spacing w:after="120"/>
        <w:ind w:firstLine="567"/>
        <w:rPr>
          <w:rFonts w:asciiTheme="minorHAnsi" w:hAnsiTheme="minorHAnsi" w:cstheme="minorHAnsi"/>
          <w:sz w:val="22"/>
          <w:szCs w:val="22"/>
        </w:rPr>
      </w:pPr>
    </w:p>
    <w:p w14:paraId="0A19EBF4" w14:textId="77777777" w:rsidR="00E506B7" w:rsidRPr="00C95105" w:rsidRDefault="00E506B7" w:rsidP="00C808B4">
      <w:pPr>
        <w:spacing w:after="120"/>
        <w:ind w:firstLine="567"/>
        <w:rPr>
          <w:rFonts w:asciiTheme="minorHAnsi" w:hAnsiTheme="minorHAnsi" w:cstheme="minorHAnsi"/>
          <w:sz w:val="22"/>
          <w:szCs w:val="22"/>
        </w:rPr>
      </w:pPr>
    </w:p>
    <w:p w14:paraId="7181D829" w14:textId="77777777" w:rsidR="00EC58B5" w:rsidRPr="00C95105" w:rsidRDefault="00EC58B5" w:rsidP="00492ADE">
      <w:pPr>
        <w:pStyle w:val="TableParagraph"/>
        <w:spacing w:after="120"/>
        <w:ind w:left="0"/>
        <w:rPr>
          <w:rFonts w:asciiTheme="minorHAnsi" w:hAnsiTheme="minorHAnsi" w:cstheme="minorHAnsi"/>
          <w:b/>
          <w:bCs/>
          <w:lang w:val="en-AU"/>
        </w:rPr>
      </w:pPr>
      <w:bookmarkStart w:id="577" w:name="_Toc96878655"/>
      <w:r w:rsidRPr="00C95105">
        <w:rPr>
          <w:rFonts w:asciiTheme="minorHAnsi" w:hAnsiTheme="minorHAnsi" w:cstheme="minorHAnsi"/>
          <w:b/>
          <w:bCs/>
          <w:lang w:val="en-AU"/>
        </w:rPr>
        <w:lastRenderedPageBreak/>
        <w:t xml:space="preserve">Table 6.1. </w:t>
      </w:r>
      <w:r w:rsidRPr="00C95105">
        <w:rPr>
          <w:rFonts w:asciiTheme="minorHAnsi" w:hAnsiTheme="minorHAnsi" w:cstheme="minorHAnsi"/>
          <w:lang w:val="en-AU"/>
        </w:rPr>
        <w:t>Inclusion Criteria for Reviewed Papers</w:t>
      </w:r>
      <w:bookmarkEnd w:id="57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95"/>
        <w:gridCol w:w="6315"/>
      </w:tblGrid>
      <w:tr w:rsidR="00EC58B5" w:rsidRPr="00C95105" w14:paraId="3516D8AE" w14:textId="77777777" w:rsidTr="00532791">
        <w:tc>
          <w:tcPr>
            <w:tcW w:w="2695" w:type="dxa"/>
            <w:tcBorders>
              <w:bottom w:val="single" w:sz="4" w:space="0" w:color="auto"/>
            </w:tcBorders>
          </w:tcPr>
          <w:p w14:paraId="1D4E8DD0" w14:textId="77777777" w:rsidR="00EC58B5" w:rsidRPr="00C95105" w:rsidRDefault="00EC58B5" w:rsidP="00532791">
            <w:pPr>
              <w:spacing w:after="120"/>
              <w:rPr>
                <w:rFonts w:asciiTheme="minorHAnsi" w:hAnsiTheme="minorHAnsi" w:cstheme="minorHAnsi"/>
                <w:b/>
                <w:sz w:val="22"/>
                <w:szCs w:val="22"/>
              </w:rPr>
            </w:pPr>
            <w:r w:rsidRPr="00C95105">
              <w:rPr>
                <w:rFonts w:asciiTheme="minorHAnsi" w:hAnsiTheme="minorHAnsi" w:cstheme="minorHAnsi"/>
                <w:b/>
                <w:color w:val="2F5496" w:themeColor="accent1" w:themeShade="BF"/>
                <w:sz w:val="22"/>
                <w:szCs w:val="22"/>
              </w:rPr>
              <w:t>Area</w:t>
            </w:r>
          </w:p>
        </w:tc>
        <w:tc>
          <w:tcPr>
            <w:tcW w:w="6315" w:type="dxa"/>
            <w:tcBorders>
              <w:bottom w:val="single" w:sz="4" w:space="0" w:color="auto"/>
            </w:tcBorders>
          </w:tcPr>
          <w:p w14:paraId="69A33436" w14:textId="77777777" w:rsidR="00EC58B5" w:rsidRPr="00C95105" w:rsidRDefault="00EC58B5" w:rsidP="00532791">
            <w:pPr>
              <w:spacing w:after="120"/>
              <w:rPr>
                <w:rFonts w:asciiTheme="minorHAnsi" w:hAnsiTheme="minorHAnsi" w:cstheme="minorHAnsi"/>
                <w:b/>
                <w:bCs/>
                <w:sz w:val="22"/>
                <w:szCs w:val="22"/>
              </w:rPr>
            </w:pPr>
            <w:r w:rsidRPr="00C95105">
              <w:rPr>
                <w:rFonts w:asciiTheme="minorHAnsi" w:hAnsiTheme="minorHAnsi" w:cstheme="minorHAnsi"/>
                <w:b/>
                <w:bCs/>
                <w:color w:val="2F5496" w:themeColor="accent1" w:themeShade="BF"/>
                <w:sz w:val="22"/>
                <w:szCs w:val="22"/>
              </w:rPr>
              <w:t>Criteria</w:t>
            </w:r>
          </w:p>
        </w:tc>
      </w:tr>
      <w:tr w:rsidR="00EC58B5" w:rsidRPr="00C95105" w14:paraId="2FA3479B" w14:textId="77777777" w:rsidTr="00532791">
        <w:tc>
          <w:tcPr>
            <w:tcW w:w="2695" w:type="dxa"/>
            <w:tcBorders>
              <w:bottom w:val="nil"/>
            </w:tcBorders>
          </w:tcPr>
          <w:p w14:paraId="4883559D"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Nature of target quota</w:t>
            </w:r>
          </w:p>
        </w:tc>
        <w:tc>
          <w:tcPr>
            <w:tcW w:w="6315" w:type="dxa"/>
            <w:tcBorders>
              <w:bottom w:val="nil"/>
            </w:tcBorders>
          </w:tcPr>
          <w:p w14:paraId="71785008"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Gender or intersectional involving gender</w:t>
            </w:r>
          </w:p>
        </w:tc>
      </w:tr>
      <w:tr w:rsidR="00EC58B5" w:rsidRPr="00C95105" w14:paraId="2508A135" w14:textId="77777777" w:rsidTr="00532791">
        <w:tc>
          <w:tcPr>
            <w:tcW w:w="2695" w:type="dxa"/>
            <w:tcBorders>
              <w:top w:val="nil"/>
              <w:bottom w:val="nil"/>
            </w:tcBorders>
          </w:tcPr>
          <w:p w14:paraId="25FED329"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Context</w:t>
            </w:r>
          </w:p>
        </w:tc>
        <w:tc>
          <w:tcPr>
            <w:tcW w:w="6315" w:type="dxa"/>
            <w:tcBorders>
              <w:top w:val="nil"/>
              <w:bottom w:val="nil"/>
            </w:tcBorders>
          </w:tcPr>
          <w:p w14:paraId="3BF79B2B"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Electoral or corporate leadership</w:t>
            </w:r>
          </w:p>
        </w:tc>
      </w:tr>
      <w:tr w:rsidR="00EC58B5" w:rsidRPr="00C95105" w14:paraId="481AA227" w14:textId="77777777" w:rsidTr="00532791">
        <w:tc>
          <w:tcPr>
            <w:tcW w:w="2695" w:type="dxa"/>
            <w:tcBorders>
              <w:top w:val="nil"/>
              <w:bottom w:val="nil"/>
            </w:tcBorders>
          </w:tcPr>
          <w:p w14:paraId="571D26E6"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Outcome of interest</w:t>
            </w:r>
          </w:p>
        </w:tc>
        <w:tc>
          <w:tcPr>
            <w:tcW w:w="6315" w:type="dxa"/>
            <w:tcBorders>
              <w:top w:val="nil"/>
              <w:bottom w:val="nil"/>
            </w:tcBorders>
          </w:tcPr>
          <w:p w14:paraId="146A2BAF"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Must measure a secondary outcome falling under the category of women’s influence, public attitudes or labour market indicators</w:t>
            </w:r>
          </w:p>
        </w:tc>
      </w:tr>
      <w:tr w:rsidR="00EC58B5" w:rsidRPr="00C95105" w14:paraId="53C38BAB" w14:textId="77777777" w:rsidTr="00532791">
        <w:tc>
          <w:tcPr>
            <w:tcW w:w="2695" w:type="dxa"/>
            <w:tcBorders>
              <w:top w:val="nil"/>
              <w:bottom w:val="nil"/>
            </w:tcBorders>
          </w:tcPr>
          <w:p w14:paraId="40CB9A3E"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Nature of study</w:t>
            </w:r>
          </w:p>
        </w:tc>
        <w:tc>
          <w:tcPr>
            <w:tcW w:w="6315" w:type="dxa"/>
            <w:tcBorders>
              <w:top w:val="nil"/>
              <w:bottom w:val="nil"/>
            </w:tcBorders>
          </w:tcPr>
          <w:p w14:paraId="5DE921D3"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Must report original analysis of data </w:t>
            </w:r>
          </w:p>
        </w:tc>
      </w:tr>
      <w:tr w:rsidR="00EC58B5" w:rsidRPr="00C95105" w14:paraId="3BDFB315" w14:textId="77777777" w:rsidTr="00532791">
        <w:tc>
          <w:tcPr>
            <w:tcW w:w="2695" w:type="dxa"/>
            <w:tcBorders>
              <w:top w:val="nil"/>
            </w:tcBorders>
          </w:tcPr>
          <w:p w14:paraId="0FD20E2B"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Language</w:t>
            </w:r>
          </w:p>
        </w:tc>
        <w:tc>
          <w:tcPr>
            <w:tcW w:w="6315" w:type="dxa"/>
            <w:tcBorders>
              <w:top w:val="nil"/>
            </w:tcBorders>
          </w:tcPr>
          <w:p w14:paraId="08764272"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Only English language papers were retained for screening, given the feasibility of translating references in the current time frame</w:t>
            </w:r>
          </w:p>
        </w:tc>
      </w:tr>
    </w:tbl>
    <w:p w14:paraId="0FE5F1CA" w14:textId="77777777" w:rsidR="00EC58B5" w:rsidRPr="00C95105" w:rsidRDefault="00EC58B5" w:rsidP="00EC58B5">
      <w:pPr>
        <w:spacing w:after="120"/>
        <w:rPr>
          <w:rFonts w:asciiTheme="minorHAnsi" w:hAnsiTheme="minorHAnsi" w:cstheme="minorHAnsi"/>
          <w:sz w:val="22"/>
          <w:szCs w:val="22"/>
        </w:rPr>
      </w:pPr>
    </w:p>
    <w:p w14:paraId="03799EF7" w14:textId="77777777" w:rsidR="00EC58B5" w:rsidRPr="00C95105" w:rsidRDefault="00EC58B5" w:rsidP="00756FF3">
      <w:pPr>
        <w:pStyle w:val="Heading3"/>
        <w:numPr>
          <w:ilvl w:val="2"/>
          <w:numId w:val="35"/>
        </w:numPr>
        <w:spacing w:before="0" w:after="120"/>
        <w:ind w:left="567" w:hanging="567"/>
        <w:rPr>
          <w:rFonts w:asciiTheme="minorHAnsi" w:hAnsiTheme="minorHAnsi" w:cstheme="minorHAnsi"/>
          <w:b/>
          <w:bCs/>
          <w:i/>
          <w:iCs/>
          <w:color w:val="2F5496" w:themeColor="accent1" w:themeShade="BF"/>
          <w:sz w:val="22"/>
          <w:szCs w:val="22"/>
        </w:rPr>
      </w:pPr>
      <w:bookmarkStart w:id="578" w:name="_Toc96957741"/>
      <w:r w:rsidRPr="00C95105">
        <w:rPr>
          <w:rFonts w:asciiTheme="minorHAnsi" w:hAnsiTheme="minorHAnsi" w:cstheme="minorHAnsi"/>
          <w:b/>
          <w:bCs/>
          <w:i/>
          <w:iCs/>
          <w:color w:val="2F5496" w:themeColor="accent1" w:themeShade="BF"/>
          <w:sz w:val="22"/>
          <w:szCs w:val="22"/>
        </w:rPr>
        <w:t>Literature search</w:t>
      </w:r>
      <w:bookmarkEnd w:id="578"/>
    </w:p>
    <w:p w14:paraId="1D61919E" w14:textId="044E3B64" w:rsidR="00492ADE" w:rsidRPr="00C95105" w:rsidRDefault="00EC58B5" w:rsidP="00492ADE">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following Boolean search string was entered into the databases listed in Table 6.2: </w:t>
      </w:r>
      <w:r w:rsidRPr="00C95105">
        <w:rPr>
          <w:rFonts w:asciiTheme="minorHAnsi" w:hAnsiTheme="minorHAnsi" w:cstheme="minorHAnsi"/>
          <w:i/>
          <w:iCs/>
          <w:sz w:val="22"/>
          <w:szCs w:val="22"/>
        </w:rPr>
        <w:t>((Affirmative action) OR target OR quota OR targets OR quotas) AND (gender OR female OR women OR diversity OR equality).</w:t>
      </w:r>
    </w:p>
    <w:p w14:paraId="415AA3FB" w14:textId="7C567F60" w:rsidR="00EC58B5" w:rsidRPr="00C95105" w:rsidRDefault="00EC58B5" w:rsidP="00492ADE">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We also conducted a search for grey literature using Google Advanced Search. As Google Advanced Search does not support Boolean search strings, all combinations of target and quota search terms and context search terms were entered separately. Search parameters were: English language, search in text of page (to exclude sites simply linking to those containing our search terms), file type: pdf (to restrict search results to reports and documents).</w:t>
      </w:r>
    </w:p>
    <w:p w14:paraId="515FEFEC" w14:textId="77777777" w:rsidR="00EC58B5" w:rsidRPr="00C95105" w:rsidRDefault="00EC58B5" w:rsidP="00EC58B5">
      <w:pPr>
        <w:spacing w:after="120"/>
        <w:ind w:firstLine="720"/>
        <w:rPr>
          <w:rFonts w:asciiTheme="minorHAnsi" w:hAnsiTheme="minorHAnsi" w:cstheme="minorHAnsi"/>
          <w:sz w:val="22"/>
          <w:szCs w:val="22"/>
        </w:rPr>
      </w:pPr>
    </w:p>
    <w:p w14:paraId="6883FF55" w14:textId="77777777" w:rsidR="00EC58B5" w:rsidRPr="00C95105" w:rsidRDefault="00EC58B5" w:rsidP="00492ADE">
      <w:pPr>
        <w:pStyle w:val="TableParagraph"/>
        <w:spacing w:after="120"/>
        <w:ind w:left="0"/>
        <w:rPr>
          <w:rFonts w:asciiTheme="minorHAnsi" w:hAnsiTheme="minorHAnsi" w:cstheme="minorHAnsi"/>
          <w:b/>
          <w:bCs/>
          <w:lang w:val="en-AU"/>
        </w:rPr>
      </w:pPr>
      <w:bookmarkStart w:id="579" w:name="_Toc96878656"/>
      <w:r w:rsidRPr="00C95105">
        <w:rPr>
          <w:rFonts w:asciiTheme="minorHAnsi" w:hAnsiTheme="minorHAnsi" w:cstheme="minorHAnsi"/>
          <w:b/>
          <w:bCs/>
          <w:lang w:val="en-AU"/>
        </w:rPr>
        <w:t xml:space="preserve">Table 6.2. </w:t>
      </w:r>
      <w:r w:rsidRPr="00C95105">
        <w:rPr>
          <w:rFonts w:asciiTheme="minorHAnsi" w:hAnsiTheme="minorHAnsi" w:cstheme="minorHAnsi"/>
          <w:lang w:val="en-AU"/>
        </w:rPr>
        <w:t>Full List of Databases Included in Literature Search</w:t>
      </w:r>
      <w:bookmarkEnd w:id="579"/>
    </w:p>
    <w:tbl>
      <w:tblPr>
        <w:tblStyle w:val="TableGrid"/>
        <w:tblW w:w="8647"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2268"/>
        <w:gridCol w:w="4536"/>
      </w:tblGrid>
      <w:tr w:rsidR="00C93F07" w:rsidRPr="00C95105" w14:paraId="1603E45D" w14:textId="77777777" w:rsidTr="00E506B7">
        <w:trPr>
          <w:tblHeader/>
        </w:trPr>
        <w:tc>
          <w:tcPr>
            <w:tcW w:w="1843" w:type="dxa"/>
            <w:tcBorders>
              <w:bottom w:val="single" w:sz="4" w:space="0" w:color="auto"/>
            </w:tcBorders>
          </w:tcPr>
          <w:p w14:paraId="2AE74E7A" w14:textId="77777777" w:rsidR="00EC58B5" w:rsidRPr="00C95105" w:rsidRDefault="00EC58B5" w:rsidP="00532791">
            <w:pPr>
              <w:spacing w:after="120"/>
              <w:rPr>
                <w:rFonts w:asciiTheme="minorHAnsi" w:hAnsiTheme="minorHAnsi" w:cstheme="minorHAnsi"/>
                <w:b/>
                <w:bCs/>
                <w:sz w:val="22"/>
                <w:szCs w:val="22"/>
              </w:rPr>
            </w:pPr>
            <w:r w:rsidRPr="00C95105">
              <w:rPr>
                <w:rFonts w:asciiTheme="minorHAnsi" w:hAnsiTheme="minorHAnsi" w:cstheme="minorHAnsi"/>
                <w:b/>
                <w:bCs/>
                <w:color w:val="2F5496" w:themeColor="accent1" w:themeShade="BF"/>
                <w:sz w:val="22"/>
                <w:szCs w:val="22"/>
              </w:rPr>
              <w:t>Database</w:t>
            </w:r>
          </w:p>
        </w:tc>
        <w:tc>
          <w:tcPr>
            <w:tcW w:w="2268" w:type="dxa"/>
            <w:tcBorders>
              <w:bottom w:val="single" w:sz="4" w:space="0" w:color="auto"/>
            </w:tcBorders>
          </w:tcPr>
          <w:p w14:paraId="06BA55B2" w14:textId="77777777" w:rsidR="00EC58B5" w:rsidRPr="00C95105" w:rsidRDefault="00EC58B5" w:rsidP="00532791">
            <w:pPr>
              <w:spacing w:after="120"/>
              <w:rPr>
                <w:rFonts w:asciiTheme="minorHAnsi" w:hAnsiTheme="minorHAnsi" w:cstheme="minorHAnsi"/>
                <w:b/>
                <w:bCs/>
                <w:sz w:val="22"/>
                <w:szCs w:val="22"/>
              </w:rPr>
            </w:pPr>
            <w:r w:rsidRPr="00C95105">
              <w:rPr>
                <w:rFonts w:asciiTheme="minorHAnsi" w:hAnsiTheme="minorHAnsi" w:cstheme="minorHAnsi"/>
                <w:b/>
                <w:bCs/>
                <w:color w:val="2F5496" w:themeColor="accent1" w:themeShade="BF"/>
                <w:sz w:val="22"/>
                <w:szCs w:val="22"/>
              </w:rPr>
              <w:t>Search fields</w:t>
            </w:r>
          </w:p>
        </w:tc>
        <w:tc>
          <w:tcPr>
            <w:tcW w:w="4536" w:type="dxa"/>
            <w:tcBorders>
              <w:bottom w:val="single" w:sz="4" w:space="0" w:color="auto"/>
            </w:tcBorders>
          </w:tcPr>
          <w:p w14:paraId="35764A0F" w14:textId="77777777" w:rsidR="00EC58B5" w:rsidRPr="00C95105" w:rsidRDefault="00EC58B5" w:rsidP="00532791">
            <w:pPr>
              <w:spacing w:after="120"/>
              <w:rPr>
                <w:rFonts w:asciiTheme="minorHAnsi" w:hAnsiTheme="minorHAnsi" w:cstheme="minorHAnsi"/>
                <w:b/>
                <w:bCs/>
                <w:sz w:val="22"/>
                <w:szCs w:val="22"/>
              </w:rPr>
            </w:pPr>
            <w:r w:rsidRPr="00C95105">
              <w:rPr>
                <w:rFonts w:asciiTheme="minorHAnsi" w:hAnsiTheme="minorHAnsi" w:cstheme="minorHAnsi"/>
                <w:b/>
                <w:bCs/>
                <w:color w:val="2F5496" w:themeColor="accent1" w:themeShade="BF"/>
                <w:sz w:val="22"/>
                <w:szCs w:val="22"/>
              </w:rPr>
              <w:t>Specific databases</w:t>
            </w:r>
          </w:p>
        </w:tc>
      </w:tr>
      <w:tr w:rsidR="00C93F07" w:rsidRPr="00C95105" w14:paraId="0AF62217" w14:textId="77777777" w:rsidTr="00C93F07">
        <w:tc>
          <w:tcPr>
            <w:tcW w:w="1843" w:type="dxa"/>
            <w:tcBorders>
              <w:bottom w:val="nil"/>
            </w:tcBorders>
          </w:tcPr>
          <w:p w14:paraId="2E5C7F21"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Ebscohost</w:t>
            </w:r>
          </w:p>
        </w:tc>
        <w:tc>
          <w:tcPr>
            <w:tcW w:w="2268" w:type="dxa"/>
            <w:tcBorders>
              <w:bottom w:val="nil"/>
            </w:tcBorders>
          </w:tcPr>
          <w:p w14:paraId="2D85E96F"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Title, subject terms</w:t>
            </w:r>
          </w:p>
        </w:tc>
        <w:tc>
          <w:tcPr>
            <w:tcW w:w="4536" w:type="dxa"/>
            <w:tcBorders>
              <w:bottom w:val="nil"/>
            </w:tcBorders>
          </w:tcPr>
          <w:p w14:paraId="05591601"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Academic Search Complete</w:t>
            </w:r>
          </w:p>
          <w:p w14:paraId="45ADCD33"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Business Source Complete</w:t>
            </w:r>
          </w:p>
          <w:p w14:paraId="37A5F724"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EconLit</w:t>
            </w:r>
          </w:p>
          <w:p w14:paraId="75070335"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Education Research Complete</w:t>
            </w:r>
          </w:p>
          <w:p w14:paraId="2912EE02"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ERIC</w:t>
            </w:r>
          </w:p>
          <w:p w14:paraId="56418FFA"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Family &amp; Society Studies Worldwide</w:t>
            </w:r>
          </w:p>
          <w:p w14:paraId="2C3D4E13"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OpenDissertations</w:t>
            </w:r>
          </w:p>
          <w:p w14:paraId="46E90A17"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SocINDEX with Full Text</w:t>
            </w:r>
          </w:p>
          <w:p w14:paraId="7534F05D"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Urban Studies Abstracts</w:t>
            </w:r>
          </w:p>
        </w:tc>
      </w:tr>
      <w:tr w:rsidR="00C93F07" w:rsidRPr="00C95105" w14:paraId="6BBD22F8" w14:textId="77777777" w:rsidTr="00C93F07">
        <w:tc>
          <w:tcPr>
            <w:tcW w:w="1843" w:type="dxa"/>
            <w:tcBorders>
              <w:top w:val="nil"/>
              <w:bottom w:val="nil"/>
            </w:tcBorders>
          </w:tcPr>
          <w:p w14:paraId="1F867B0A"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ProQuest</w:t>
            </w:r>
          </w:p>
        </w:tc>
        <w:tc>
          <w:tcPr>
            <w:tcW w:w="2268" w:type="dxa"/>
            <w:tcBorders>
              <w:top w:val="nil"/>
              <w:bottom w:val="nil"/>
            </w:tcBorders>
          </w:tcPr>
          <w:p w14:paraId="052AE855"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Document title, all subjects and indexing</w:t>
            </w:r>
          </w:p>
        </w:tc>
        <w:tc>
          <w:tcPr>
            <w:tcW w:w="4536" w:type="dxa"/>
            <w:tcBorders>
              <w:top w:val="nil"/>
              <w:bottom w:val="nil"/>
            </w:tcBorders>
          </w:tcPr>
          <w:p w14:paraId="5A1FB31C"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ABI/INFORM Collection</w:t>
            </w:r>
          </w:p>
          <w:p w14:paraId="0D2715C9"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Accounting, Tax &amp; Banking Collection</w:t>
            </w:r>
          </w:p>
          <w:p w14:paraId="2F7B86FA"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Asian &amp; European Business Collection</w:t>
            </w:r>
          </w:p>
          <w:p w14:paraId="30F5FF2F"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Australia &amp; New Zealand Database</w:t>
            </w:r>
          </w:p>
          <w:p w14:paraId="684B8A29"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Canadian Business &amp; Current Affairs Database</w:t>
            </w:r>
          </w:p>
          <w:p w14:paraId="350029CD"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Continental Europe Database</w:t>
            </w:r>
          </w:p>
          <w:p w14:paraId="62506E52"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East Europe, Central Europe Database</w:t>
            </w:r>
          </w:p>
          <w:p w14:paraId="42A51941"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Education Database</w:t>
            </w:r>
          </w:p>
          <w:p w14:paraId="52C6A7CE"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Healthcare Administration Database</w:t>
            </w:r>
          </w:p>
          <w:p w14:paraId="2A2077D5"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Military Database</w:t>
            </w:r>
          </w:p>
          <w:p w14:paraId="3AA1F2BB"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Political Science Database</w:t>
            </w:r>
          </w:p>
          <w:p w14:paraId="71E9CD4B"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Psychology Database</w:t>
            </w:r>
          </w:p>
          <w:p w14:paraId="31759C86"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Public Health Database</w:t>
            </w:r>
          </w:p>
          <w:p w14:paraId="08029846"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Publicly Available Content Database</w:t>
            </w:r>
          </w:p>
          <w:p w14:paraId="669875DE"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Research Library</w:t>
            </w:r>
          </w:p>
          <w:p w14:paraId="01EEA795"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Social Science Database</w:t>
            </w:r>
          </w:p>
          <w:p w14:paraId="3B9FC21E"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Sociology Database</w:t>
            </w:r>
          </w:p>
          <w:p w14:paraId="7AE6BB36"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UK &amp; Ireland Database</w:t>
            </w:r>
          </w:p>
          <w:p w14:paraId="00A8EDF3"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ProQuest Dissertations &amp; Theses Global</w:t>
            </w:r>
          </w:p>
        </w:tc>
      </w:tr>
      <w:tr w:rsidR="00C93F07" w:rsidRPr="00C95105" w14:paraId="07F34304" w14:textId="77777777" w:rsidTr="00C93F07">
        <w:tc>
          <w:tcPr>
            <w:tcW w:w="1843" w:type="dxa"/>
            <w:tcBorders>
              <w:top w:val="nil"/>
              <w:bottom w:val="nil"/>
            </w:tcBorders>
          </w:tcPr>
          <w:p w14:paraId="51F37DED"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lastRenderedPageBreak/>
              <w:t>PsycInfo</w:t>
            </w:r>
          </w:p>
        </w:tc>
        <w:tc>
          <w:tcPr>
            <w:tcW w:w="2268" w:type="dxa"/>
            <w:tcBorders>
              <w:top w:val="nil"/>
              <w:bottom w:val="nil"/>
            </w:tcBorders>
          </w:tcPr>
          <w:p w14:paraId="0532DFD1"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Heading word, title, subject headings, APA Psycinfo classification word, original title</w:t>
            </w:r>
          </w:p>
        </w:tc>
        <w:tc>
          <w:tcPr>
            <w:tcW w:w="4536" w:type="dxa"/>
            <w:tcBorders>
              <w:top w:val="nil"/>
              <w:bottom w:val="nil"/>
            </w:tcBorders>
          </w:tcPr>
          <w:p w14:paraId="0BC10BED"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Individual databases not specified by PsycInfo</w:t>
            </w:r>
          </w:p>
        </w:tc>
      </w:tr>
      <w:tr w:rsidR="00C93F07" w:rsidRPr="00C95105" w14:paraId="32D2D191" w14:textId="77777777" w:rsidTr="00C93F07">
        <w:tc>
          <w:tcPr>
            <w:tcW w:w="1843" w:type="dxa"/>
            <w:tcBorders>
              <w:top w:val="nil"/>
            </w:tcBorders>
          </w:tcPr>
          <w:p w14:paraId="1A5EA19C"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Google </w:t>
            </w:r>
          </w:p>
          <w:p w14:paraId="3B6A9724"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Scholar</w:t>
            </w:r>
          </w:p>
        </w:tc>
        <w:tc>
          <w:tcPr>
            <w:tcW w:w="2268" w:type="dxa"/>
            <w:tcBorders>
              <w:top w:val="nil"/>
            </w:tcBorders>
          </w:tcPr>
          <w:p w14:paraId="03352622"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Title</w:t>
            </w:r>
          </w:p>
        </w:tc>
        <w:tc>
          <w:tcPr>
            <w:tcW w:w="4536" w:type="dxa"/>
            <w:tcBorders>
              <w:top w:val="nil"/>
            </w:tcBorders>
          </w:tcPr>
          <w:p w14:paraId="2904A8F7" w14:textId="77777777" w:rsidR="00EC58B5" w:rsidRPr="00C95105" w:rsidRDefault="00EC58B5" w:rsidP="00532791">
            <w:pPr>
              <w:spacing w:after="120"/>
              <w:rPr>
                <w:rFonts w:asciiTheme="minorHAnsi" w:hAnsiTheme="minorHAnsi" w:cstheme="minorHAnsi"/>
                <w:sz w:val="22"/>
                <w:szCs w:val="22"/>
              </w:rPr>
            </w:pPr>
          </w:p>
        </w:tc>
      </w:tr>
    </w:tbl>
    <w:p w14:paraId="12D79E00" w14:textId="77777777" w:rsidR="00EC58B5" w:rsidRPr="00C95105" w:rsidRDefault="00EC58B5" w:rsidP="00EC58B5">
      <w:pPr>
        <w:spacing w:after="120"/>
        <w:rPr>
          <w:rFonts w:asciiTheme="minorHAnsi" w:hAnsiTheme="minorHAnsi" w:cstheme="minorHAnsi"/>
          <w:sz w:val="22"/>
          <w:szCs w:val="22"/>
        </w:rPr>
      </w:pPr>
    </w:p>
    <w:p w14:paraId="2EE3079F" w14:textId="0D4BD359" w:rsidR="00EC58B5" w:rsidRPr="00C95105" w:rsidRDefault="00EC58B5" w:rsidP="00C93F07">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These searches returned a total of 23,092 references. One hundred and sixty of these met screening criteria and were assessed for inclusion in the final set of references. Figure 1 outlines the complete screening process. The number of references retained for data extraction and breakdown across outcome categories is given in Table 6.3. </w:t>
      </w:r>
    </w:p>
    <w:p w14:paraId="56A83381" w14:textId="77777777" w:rsidR="00EC58B5" w:rsidRDefault="00EC58B5" w:rsidP="00EC58B5">
      <w:pPr>
        <w:spacing w:after="120"/>
        <w:rPr>
          <w:rFonts w:asciiTheme="minorHAnsi" w:hAnsiTheme="minorHAnsi" w:cstheme="minorHAnsi"/>
          <w:sz w:val="22"/>
          <w:szCs w:val="22"/>
        </w:rPr>
      </w:pPr>
    </w:p>
    <w:p w14:paraId="2D71C882" w14:textId="77777777" w:rsidR="0025024D" w:rsidRDefault="0025024D" w:rsidP="00EC58B5">
      <w:pPr>
        <w:spacing w:after="120"/>
        <w:rPr>
          <w:rFonts w:asciiTheme="minorHAnsi" w:hAnsiTheme="minorHAnsi" w:cstheme="minorHAnsi"/>
          <w:sz w:val="22"/>
          <w:szCs w:val="22"/>
        </w:rPr>
      </w:pPr>
    </w:p>
    <w:p w14:paraId="298CC54C" w14:textId="77777777" w:rsidR="0025024D" w:rsidRDefault="0025024D" w:rsidP="00EC58B5">
      <w:pPr>
        <w:spacing w:after="120"/>
        <w:rPr>
          <w:rFonts w:asciiTheme="minorHAnsi" w:hAnsiTheme="minorHAnsi" w:cstheme="minorHAnsi"/>
          <w:sz w:val="22"/>
          <w:szCs w:val="22"/>
        </w:rPr>
      </w:pPr>
    </w:p>
    <w:p w14:paraId="29F15AD7" w14:textId="77777777" w:rsidR="0025024D" w:rsidRDefault="0025024D" w:rsidP="00EC58B5">
      <w:pPr>
        <w:spacing w:after="120"/>
        <w:rPr>
          <w:rFonts w:asciiTheme="minorHAnsi" w:hAnsiTheme="minorHAnsi" w:cstheme="minorHAnsi"/>
          <w:sz w:val="22"/>
          <w:szCs w:val="22"/>
        </w:rPr>
      </w:pPr>
    </w:p>
    <w:p w14:paraId="7E4CF390" w14:textId="77777777" w:rsidR="0025024D" w:rsidRDefault="0025024D" w:rsidP="00EC58B5">
      <w:pPr>
        <w:spacing w:after="120"/>
        <w:rPr>
          <w:rFonts w:asciiTheme="minorHAnsi" w:hAnsiTheme="minorHAnsi" w:cstheme="minorHAnsi"/>
          <w:sz w:val="22"/>
          <w:szCs w:val="22"/>
        </w:rPr>
      </w:pPr>
    </w:p>
    <w:p w14:paraId="11578AB7" w14:textId="77777777" w:rsidR="0025024D" w:rsidRDefault="0025024D" w:rsidP="00EC58B5">
      <w:pPr>
        <w:spacing w:after="120"/>
        <w:rPr>
          <w:rFonts w:asciiTheme="minorHAnsi" w:hAnsiTheme="minorHAnsi" w:cstheme="minorHAnsi"/>
          <w:sz w:val="22"/>
          <w:szCs w:val="22"/>
        </w:rPr>
      </w:pPr>
    </w:p>
    <w:p w14:paraId="0E96C40B" w14:textId="77777777" w:rsidR="0025024D" w:rsidRDefault="0025024D" w:rsidP="00EC58B5">
      <w:pPr>
        <w:spacing w:after="120"/>
        <w:rPr>
          <w:rFonts w:asciiTheme="minorHAnsi" w:hAnsiTheme="minorHAnsi" w:cstheme="minorHAnsi"/>
          <w:sz w:val="22"/>
          <w:szCs w:val="22"/>
        </w:rPr>
      </w:pPr>
    </w:p>
    <w:p w14:paraId="456DC21E" w14:textId="77777777" w:rsidR="0025024D" w:rsidRDefault="0025024D" w:rsidP="00EC58B5">
      <w:pPr>
        <w:spacing w:after="120"/>
        <w:rPr>
          <w:rFonts w:asciiTheme="minorHAnsi" w:hAnsiTheme="minorHAnsi" w:cstheme="minorHAnsi"/>
          <w:sz w:val="22"/>
          <w:szCs w:val="22"/>
        </w:rPr>
      </w:pPr>
    </w:p>
    <w:p w14:paraId="43C9461A" w14:textId="77777777" w:rsidR="0025024D" w:rsidRDefault="0025024D" w:rsidP="00EC58B5">
      <w:pPr>
        <w:spacing w:after="120"/>
        <w:rPr>
          <w:rFonts w:asciiTheme="minorHAnsi" w:hAnsiTheme="minorHAnsi" w:cstheme="minorHAnsi"/>
          <w:sz w:val="22"/>
          <w:szCs w:val="22"/>
        </w:rPr>
      </w:pPr>
    </w:p>
    <w:p w14:paraId="53EAE94A" w14:textId="77777777" w:rsidR="0025024D" w:rsidRDefault="0025024D" w:rsidP="00EC58B5">
      <w:pPr>
        <w:spacing w:after="120"/>
        <w:rPr>
          <w:rFonts w:asciiTheme="minorHAnsi" w:hAnsiTheme="minorHAnsi" w:cstheme="minorHAnsi"/>
          <w:sz w:val="22"/>
          <w:szCs w:val="22"/>
        </w:rPr>
      </w:pPr>
    </w:p>
    <w:p w14:paraId="385076F6" w14:textId="77777777" w:rsidR="0025024D" w:rsidRDefault="0025024D" w:rsidP="00EC58B5">
      <w:pPr>
        <w:spacing w:after="120"/>
        <w:rPr>
          <w:rFonts w:asciiTheme="minorHAnsi" w:hAnsiTheme="minorHAnsi" w:cstheme="minorHAnsi"/>
          <w:sz w:val="22"/>
          <w:szCs w:val="22"/>
        </w:rPr>
      </w:pPr>
    </w:p>
    <w:p w14:paraId="06A980F2" w14:textId="77777777" w:rsidR="0025024D" w:rsidRDefault="0025024D" w:rsidP="00EC58B5">
      <w:pPr>
        <w:spacing w:after="120"/>
        <w:rPr>
          <w:rFonts w:asciiTheme="minorHAnsi" w:hAnsiTheme="minorHAnsi" w:cstheme="minorHAnsi"/>
          <w:sz w:val="22"/>
          <w:szCs w:val="22"/>
        </w:rPr>
      </w:pPr>
    </w:p>
    <w:p w14:paraId="4F7F6AA2" w14:textId="77777777" w:rsidR="0025024D" w:rsidRPr="00C95105" w:rsidRDefault="0025024D" w:rsidP="00EC58B5">
      <w:pPr>
        <w:spacing w:after="120"/>
        <w:rPr>
          <w:rFonts w:asciiTheme="minorHAnsi" w:hAnsiTheme="minorHAnsi" w:cstheme="minorHAnsi"/>
          <w:sz w:val="22"/>
          <w:szCs w:val="22"/>
        </w:rPr>
      </w:pPr>
    </w:p>
    <w:p w14:paraId="0DCCC66A" w14:textId="77777777" w:rsidR="00EC58B5" w:rsidRPr="00C95105" w:rsidRDefault="00EC58B5" w:rsidP="00C93F07">
      <w:pPr>
        <w:pStyle w:val="ListParagraph"/>
        <w:ind w:left="0"/>
        <w:rPr>
          <w:rFonts w:asciiTheme="minorHAnsi" w:hAnsiTheme="minorHAnsi" w:cstheme="minorHAnsi"/>
          <w:b/>
          <w:bCs/>
          <w:i/>
          <w:iCs/>
        </w:rPr>
      </w:pPr>
      <w:bookmarkStart w:id="580" w:name="_Toc96878429"/>
      <w:r w:rsidRPr="00C95105">
        <w:rPr>
          <w:rFonts w:asciiTheme="minorHAnsi" w:hAnsiTheme="minorHAnsi" w:cstheme="minorHAnsi"/>
          <w:b/>
          <w:bCs/>
          <w:i/>
          <w:iCs/>
        </w:rPr>
        <w:lastRenderedPageBreak/>
        <w:t xml:space="preserve">Figure 6.1. </w:t>
      </w:r>
      <w:r w:rsidRPr="00C95105">
        <w:rPr>
          <w:rFonts w:asciiTheme="minorHAnsi" w:hAnsiTheme="minorHAnsi" w:cstheme="minorHAnsi"/>
          <w:i/>
          <w:iCs/>
        </w:rPr>
        <w:t xml:space="preserve">PRISMA Flow Diagram </w:t>
      </w:r>
      <w:r w:rsidR="00C93F07" w:rsidRPr="00C95105">
        <w:rPr>
          <w:rFonts w:asciiTheme="minorHAnsi" w:hAnsiTheme="minorHAnsi" w:cstheme="minorHAnsi"/>
          <w:i/>
          <w:iCs/>
        </w:rPr>
        <w:t>summarising literature search and inclusion for the Targets and Quotas Review</w:t>
      </w:r>
      <w:bookmarkEnd w:id="580"/>
    </w:p>
    <w:p w14:paraId="6B83583A" w14:textId="77777777" w:rsidR="00C33F9B" w:rsidRDefault="00C33F9B" w:rsidP="00EC58B5">
      <w:pPr>
        <w:spacing w:after="120"/>
        <w:rPr>
          <w:rFonts w:asciiTheme="minorHAnsi" w:hAnsiTheme="minorHAnsi" w:cstheme="minorHAnsi"/>
          <w:i/>
          <w:iCs/>
          <w:sz w:val="22"/>
          <w:szCs w:val="22"/>
        </w:rPr>
      </w:pPr>
    </w:p>
    <w:p w14:paraId="03E48F3A" w14:textId="6B1D681B" w:rsidR="00EC58B5" w:rsidRPr="00C95105" w:rsidRDefault="00C33F9B" w:rsidP="00EC58B5">
      <w:pPr>
        <w:spacing w:after="120"/>
        <w:rPr>
          <w:rFonts w:asciiTheme="minorHAnsi" w:hAnsiTheme="minorHAnsi" w:cstheme="minorHAnsi"/>
          <w:i/>
          <w:iCs/>
          <w:sz w:val="22"/>
          <w:szCs w:val="22"/>
        </w:rPr>
      </w:pPr>
      <w:r w:rsidRPr="00C33F9B">
        <w:rPr>
          <w:rFonts w:asciiTheme="minorHAnsi" w:hAnsiTheme="minorHAnsi" w:cstheme="minorHAnsi"/>
          <w:i/>
          <w:iCs/>
          <w:noProof/>
          <w:sz w:val="22"/>
          <w:szCs w:val="22"/>
        </w:rPr>
        <w:drawing>
          <wp:inline distT="0" distB="0" distL="0" distR="0" wp14:anchorId="2B66CF27" wp14:editId="564DA63E">
            <wp:extent cx="5731510" cy="4043680"/>
            <wp:effectExtent l="0" t="0" r="2540" b="0"/>
            <wp:docPr id="272" name="Picture 272" descr="Flow diagram showing identification phase includes 27,341 records identified through database searching and 820 additional records identified through other sourced. In screening, 23,092 records after duplicates removed were screened. Of these 22,932 records were excluded during screening. 160 full text articles were assed for eligibility. 84 full text articles were excluded for not meeting eligibility requirements. 76 studies were included in qualitative synthe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Flow diagram showing identification phase includes 27,341 records identified through database searching and 820 additional records identified through other sourced. In screening, 23,092 records after duplicates removed were screened. Of these 22,932 records were excluded during screening. 160 full text articles were assed for eligibility. 84 full text articles were excluded for not meeting eligibility requirements. 76 studies were included in qualitative synthesis.&#10;"/>
                    <pic:cNvPicPr/>
                  </pic:nvPicPr>
                  <pic:blipFill>
                    <a:blip r:embed="rId126"/>
                    <a:stretch>
                      <a:fillRect/>
                    </a:stretch>
                  </pic:blipFill>
                  <pic:spPr>
                    <a:xfrm>
                      <a:off x="0" y="0"/>
                      <a:ext cx="5731510" cy="4043680"/>
                    </a:xfrm>
                    <a:prstGeom prst="rect">
                      <a:avLst/>
                    </a:prstGeom>
                  </pic:spPr>
                </pic:pic>
              </a:graphicData>
            </a:graphic>
          </wp:inline>
        </w:drawing>
      </w:r>
    </w:p>
    <w:p w14:paraId="725758D1" w14:textId="20430D32" w:rsidR="00EC58B5" w:rsidRPr="00C95105" w:rsidRDefault="00EC58B5" w:rsidP="00EC58B5">
      <w:pPr>
        <w:spacing w:after="120"/>
        <w:ind w:left="360"/>
        <w:rPr>
          <w:rFonts w:asciiTheme="minorHAnsi" w:hAnsiTheme="minorHAnsi" w:cstheme="minorHAnsi"/>
          <w:i/>
          <w:iCs/>
          <w:sz w:val="22"/>
          <w:szCs w:val="22"/>
        </w:rPr>
      </w:pPr>
    </w:p>
    <w:p w14:paraId="3EBF84A7" w14:textId="77777777" w:rsidR="00EC58B5" w:rsidRPr="00C95105" w:rsidRDefault="00EC58B5" w:rsidP="00EC58B5">
      <w:pPr>
        <w:spacing w:after="120"/>
        <w:rPr>
          <w:rFonts w:asciiTheme="minorHAnsi" w:hAnsiTheme="minorHAnsi" w:cstheme="minorHAnsi"/>
          <w:sz w:val="22"/>
          <w:szCs w:val="22"/>
        </w:rPr>
      </w:pPr>
    </w:p>
    <w:p w14:paraId="5450D34F" w14:textId="77777777" w:rsidR="00EC58B5" w:rsidRPr="00C95105" w:rsidRDefault="00EC58B5" w:rsidP="0038235F">
      <w:pPr>
        <w:pStyle w:val="TableParagraph"/>
        <w:spacing w:after="120"/>
        <w:ind w:left="0"/>
        <w:rPr>
          <w:rFonts w:asciiTheme="minorHAnsi" w:hAnsiTheme="minorHAnsi" w:cstheme="minorHAnsi"/>
          <w:b/>
          <w:bCs/>
          <w:lang w:val="en-AU"/>
        </w:rPr>
      </w:pPr>
      <w:bookmarkStart w:id="581" w:name="_Toc96878657"/>
      <w:r w:rsidRPr="00C95105">
        <w:rPr>
          <w:rFonts w:asciiTheme="minorHAnsi" w:hAnsiTheme="minorHAnsi" w:cstheme="minorHAnsi"/>
          <w:b/>
          <w:bCs/>
          <w:lang w:val="en-AU"/>
        </w:rPr>
        <w:t xml:space="preserve">Table 6.3. </w:t>
      </w:r>
      <w:r w:rsidRPr="00C95105">
        <w:rPr>
          <w:rFonts w:asciiTheme="minorHAnsi" w:hAnsiTheme="minorHAnsi" w:cstheme="minorHAnsi"/>
          <w:lang w:val="en-AU"/>
        </w:rPr>
        <w:t>Summary of References Retained for Data Extraction</w:t>
      </w:r>
      <w:bookmarkEnd w:id="581"/>
    </w:p>
    <w:tbl>
      <w:tblPr>
        <w:tblStyle w:val="TableGrid"/>
        <w:tblW w:w="0" w:type="auto"/>
        <w:tblBorders>
          <w:left w:val="none" w:sz="0" w:space="0" w:color="auto"/>
          <w:right w:val="none" w:sz="0" w:space="0" w:color="auto"/>
        </w:tblBorders>
        <w:tblLook w:val="04A0" w:firstRow="1" w:lastRow="0" w:firstColumn="1" w:lastColumn="0" w:noHBand="0" w:noVBand="1"/>
      </w:tblPr>
      <w:tblGrid>
        <w:gridCol w:w="5529"/>
        <w:gridCol w:w="1927"/>
      </w:tblGrid>
      <w:tr w:rsidR="00EC58B5" w:rsidRPr="00C95105" w14:paraId="2C27EEE5" w14:textId="77777777" w:rsidTr="00532791">
        <w:tc>
          <w:tcPr>
            <w:tcW w:w="5529" w:type="dxa"/>
            <w:tcBorders>
              <w:bottom w:val="single" w:sz="4" w:space="0" w:color="auto"/>
              <w:right w:val="nil"/>
            </w:tcBorders>
          </w:tcPr>
          <w:p w14:paraId="3BC752F8"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Outcome Category</w:t>
            </w:r>
          </w:p>
        </w:tc>
        <w:tc>
          <w:tcPr>
            <w:tcW w:w="1927" w:type="dxa"/>
            <w:tcBorders>
              <w:left w:val="nil"/>
              <w:bottom w:val="single" w:sz="4" w:space="0" w:color="auto"/>
            </w:tcBorders>
          </w:tcPr>
          <w:p w14:paraId="68C6C2B1" w14:textId="77777777" w:rsidR="00EC58B5" w:rsidRPr="00C95105" w:rsidRDefault="00EC58B5" w:rsidP="00532791">
            <w:pPr>
              <w:spacing w:after="120"/>
              <w:jc w:val="center"/>
              <w:rPr>
                <w:rFonts w:asciiTheme="minorHAnsi" w:hAnsiTheme="minorHAnsi" w:cstheme="minorHAnsi"/>
                <w:b/>
                <w:bCs/>
                <w:sz w:val="22"/>
                <w:szCs w:val="22"/>
              </w:rPr>
            </w:pPr>
            <w:r w:rsidRPr="00C95105">
              <w:rPr>
                <w:rFonts w:asciiTheme="minorHAnsi" w:hAnsiTheme="minorHAnsi" w:cstheme="minorHAnsi"/>
                <w:b/>
                <w:bCs/>
                <w:color w:val="2F5496" w:themeColor="accent1" w:themeShade="BF"/>
                <w:sz w:val="22"/>
                <w:szCs w:val="22"/>
              </w:rPr>
              <w:t>Quantity</w:t>
            </w:r>
          </w:p>
        </w:tc>
      </w:tr>
      <w:tr w:rsidR="00EC58B5" w:rsidRPr="00C95105" w14:paraId="629F6678" w14:textId="77777777" w:rsidTr="00532791">
        <w:tc>
          <w:tcPr>
            <w:tcW w:w="5529" w:type="dxa"/>
            <w:tcBorders>
              <w:bottom w:val="nil"/>
              <w:right w:val="nil"/>
            </w:tcBorders>
          </w:tcPr>
          <w:p w14:paraId="1304A4EE" w14:textId="77777777" w:rsidR="00EC58B5" w:rsidRPr="00C95105" w:rsidRDefault="00EC58B5" w:rsidP="00532791">
            <w:pPr>
              <w:spacing w:after="120"/>
              <w:rPr>
                <w:rFonts w:asciiTheme="minorHAnsi" w:hAnsiTheme="minorHAnsi" w:cstheme="minorHAnsi"/>
                <w:b/>
                <w:bCs/>
                <w:sz w:val="22"/>
                <w:szCs w:val="22"/>
              </w:rPr>
            </w:pPr>
            <w:r w:rsidRPr="00C95105">
              <w:rPr>
                <w:rFonts w:asciiTheme="minorHAnsi" w:hAnsiTheme="minorHAnsi" w:cstheme="minorHAnsi"/>
                <w:b/>
                <w:bCs/>
                <w:sz w:val="22"/>
                <w:szCs w:val="22"/>
              </w:rPr>
              <w:t>Total number of references retained for data extraction</w:t>
            </w:r>
          </w:p>
        </w:tc>
        <w:tc>
          <w:tcPr>
            <w:tcW w:w="1927" w:type="dxa"/>
            <w:tcBorders>
              <w:left w:val="nil"/>
              <w:bottom w:val="nil"/>
            </w:tcBorders>
          </w:tcPr>
          <w:p w14:paraId="3437FADB" w14:textId="77777777" w:rsidR="00EC58B5" w:rsidRPr="00C95105" w:rsidRDefault="00EC58B5" w:rsidP="00532791">
            <w:pPr>
              <w:spacing w:after="120"/>
              <w:jc w:val="center"/>
              <w:rPr>
                <w:rFonts w:asciiTheme="minorHAnsi" w:hAnsiTheme="minorHAnsi" w:cstheme="minorHAnsi"/>
                <w:b/>
                <w:bCs/>
                <w:sz w:val="22"/>
                <w:szCs w:val="22"/>
              </w:rPr>
            </w:pPr>
            <w:r w:rsidRPr="00C95105">
              <w:rPr>
                <w:rFonts w:asciiTheme="minorHAnsi" w:hAnsiTheme="minorHAnsi" w:cstheme="minorHAnsi"/>
                <w:b/>
                <w:bCs/>
                <w:sz w:val="22"/>
                <w:szCs w:val="22"/>
              </w:rPr>
              <w:t>76</w:t>
            </w:r>
          </w:p>
        </w:tc>
      </w:tr>
      <w:tr w:rsidR="00EC58B5" w:rsidRPr="00C95105" w14:paraId="0F1C808D" w14:textId="77777777" w:rsidTr="00532791">
        <w:tc>
          <w:tcPr>
            <w:tcW w:w="5529" w:type="dxa"/>
            <w:tcBorders>
              <w:top w:val="nil"/>
              <w:bottom w:val="nil"/>
              <w:right w:val="nil"/>
            </w:tcBorders>
          </w:tcPr>
          <w:p w14:paraId="182AEB4E"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          Extent of women’s influence</w:t>
            </w:r>
          </w:p>
        </w:tc>
        <w:tc>
          <w:tcPr>
            <w:tcW w:w="1927" w:type="dxa"/>
            <w:tcBorders>
              <w:top w:val="nil"/>
              <w:left w:val="nil"/>
              <w:bottom w:val="nil"/>
            </w:tcBorders>
          </w:tcPr>
          <w:p w14:paraId="4191BD6B" w14:textId="77777777" w:rsidR="00EC58B5" w:rsidRPr="00C95105" w:rsidRDefault="00EC58B5"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60</w:t>
            </w:r>
          </w:p>
        </w:tc>
      </w:tr>
      <w:tr w:rsidR="00EC58B5" w:rsidRPr="00C95105" w14:paraId="327977F2" w14:textId="77777777" w:rsidTr="00532791">
        <w:tc>
          <w:tcPr>
            <w:tcW w:w="5529" w:type="dxa"/>
            <w:tcBorders>
              <w:top w:val="nil"/>
              <w:bottom w:val="nil"/>
              <w:right w:val="nil"/>
            </w:tcBorders>
          </w:tcPr>
          <w:p w14:paraId="537C4A0F"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          Impact on public attitudes</w:t>
            </w:r>
          </w:p>
        </w:tc>
        <w:tc>
          <w:tcPr>
            <w:tcW w:w="1927" w:type="dxa"/>
            <w:tcBorders>
              <w:top w:val="nil"/>
              <w:left w:val="nil"/>
              <w:bottom w:val="nil"/>
            </w:tcBorders>
          </w:tcPr>
          <w:p w14:paraId="6231FB10" w14:textId="77777777" w:rsidR="00EC58B5" w:rsidRPr="00C95105" w:rsidRDefault="00EC58B5"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13</w:t>
            </w:r>
          </w:p>
        </w:tc>
      </w:tr>
      <w:tr w:rsidR="00EC58B5" w:rsidRPr="00C95105" w14:paraId="519AB614" w14:textId="77777777" w:rsidTr="00532791">
        <w:tc>
          <w:tcPr>
            <w:tcW w:w="5529" w:type="dxa"/>
            <w:tcBorders>
              <w:top w:val="nil"/>
              <w:right w:val="nil"/>
            </w:tcBorders>
          </w:tcPr>
          <w:p w14:paraId="78FB3E4D"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          Labour market indicators</w:t>
            </w:r>
          </w:p>
        </w:tc>
        <w:tc>
          <w:tcPr>
            <w:tcW w:w="1927" w:type="dxa"/>
            <w:tcBorders>
              <w:top w:val="nil"/>
              <w:left w:val="nil"/>
            </w:tcBorders>
          </w:tcPr>
          <w:p w14:paraId="59920370" w14:textId="77777777" w:rsidR="00EC58B5" w:rsidRPr="00C95105" w:rsidRDefault="00EC58B5" w:rsidP="00532791">
            <w:pPr>
              <w:spacing w:after="120"/>
              <w:jc w:val="center"/>
              <w:rPr>
                <w:rFonts w:asciiTheme="minorHAnsi" w:hAnsiTheme="minorHAnsi" w:cstheme="minorHAnsi"/>
                <w:sz w:val="22"/>
                <w:szCs w:val="22"/>
              </w:rPr>
            </w:pPr>
            <w:r w:rsidRPr="00C95105">
              <w:rPr>
                <w:rFonts w:asciiTheme="minorHAnsi" w:hAnsiTheme="minorHAnsi" w:cstheme="minorHAnsi"/>
                <w:sz w:val="22"/>
                <w:szCs w:val="22"/>
              </w:rPr>
              <w:t>16</w:t>
            </w:r>
          </w:p>
        </w:tc>
      </w:tr>
    </w:tbl>
    <w:p w14:paraId="615ADBE6" w14:textId="77777777" w:rsidR="00EC58B5" w:rsidRPr="00C95105" w:rsidRDefault="00EC58B5" w:rsidP="00EC58B5">
      <w:pPr>
        <w:spacing w:after="120"/>
        <w:rPr>
          <w:rFonts w:asciiTheme="minorHAnsi" w:hAnsiTheme="minorHAnsi" w:cstheme="minorHAnsi"/>
          <w:sz w:val="22"/>
          <w:szCs w:val="22"/>
        </w:rPr>
      </w:pPr>
    </w:p>
    <w:p w14:paraId="75B2E9E8" w14:textId="77777777" w:rsidR="00EC58B5" w:rsidRPr="00C95105" w:rsidRDefault="00EC58B5" w:rsidP="00756FF3">
      <w:pPr>
        <w:pStyle w:val="Heading2"/>
        <w:numPr>
          <w:ilvl w:val="1"/>
          <w:numId w:val="35"/>
        </w:numPr>
        <w:spacing w:before="0" w:after="120"/>
        <w:ind w:left="426" w:hanging="426"/>
        <w:rPr>
          <w:rFonts w:asciiTheme="minorHAnsi" w:hAnsiTheme="minorHAnsi" w:cstheme="minorHAnsi"/>
          <w:b/>
          <w:bCs/>
        </w:rPr>
      </w:pPr>
      <w:bookmarkStart w:id="582" w:name="_Toc96957742"/>
      <w:r w:rsidRPr="00C95105">
        <w:rPr>
          <w:rFonts w:asciiTheme="minorHAnsi" w:hAnsiTheme="minorHAnsi" w:cstheme="minorHAnsi"/>
          <w:b/>
          <w:bCs/>
        </w:rPr>
        <w:t>Findings and Recommendations</w:t>
      </w:r>
      <w:bookmarkEnd w:id="582"/>
    </w:p>
    <w:p w14:paraId="6BC463F0" w14:textId="77777777" w:rsidR="00A570E2" w:rsidRPr="00C95105" w:rsidRDefault="00EC58B5" w:rsidP="00A570E2">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this section of the report, we begin by providing contextual notes for the literature we have drawn on, before providing summaries of the evidence and policy implications of leadership gender quotas for each of the three outcome categories independently.</w:t>
      </w:r>
    </w:p>
    <w:p w14:paraId="66102FE6" w14:textId="78B40572" w:rsidR="0040422D" w:rsidRPr="00C95105" w:rsidRDefault="00EC58B5" w:rsidP="00A570E2">
      <w:pPr>
        <w:spacing w:after="120"/>
        <w:ind w:firstLine="567"/>
        <w:rPr>
          <w:rFonts w:asciiTheme="minorHAnsi" w:hAnsiTheme="minorHAnsi" w:cstheme="minorHAnsi"/>
          <w:bCs/>
          <w:sz w:val="22"/>
          <w:szCs w:val="22"/>
        </w:rPr>
      </w:pPr>
      <w:r w:rsidRPr="00C95105">
        <w:rPr>
          <w:rFonts w:asciiTheme="minorHAnsi" w:hAnsiTheme="minorHAnsi" w:cstheme="minorHAnsi"/>
          <w:sz w:val="22"/>
          <w:szCs w:val="22"/>
        </w:rPr>
        <w:t xml:space="preserve">Academic study of the impact of leadership gender quotas is comparatively young. Although electoral quotas have been employed in some nations for at least 20 years, the first board quotas were introduced in Norway in 2004, with other nations not following suit until at least 2010. </w:t>
      </w:r>
      <w:r w:rsidRPr="00C95105">
        <w:rPr>
          <w:rFonts w:asciiTheme="minorHAnsi" w:hAnsiTheme="minorHAnsi" w:cstheme="minorHAnsi"/>
          <w:bCs/>
          <w:sz w:val="22"/>
          <w:szCs w:val="22"/>
        </w:rPr>
        <w:t xml:space="preserve">As such, much of the evidence for the outcomes of gender quotas has been gathered </w:t>
      </w:r>
      <w:r w:rsidRPr="00C95105">
        <w:rPr>
          <w:rFonts w:asciiTheme="minorHAnsi" w:hAnsiTheme="minorHAnsi" w:cstheme="minorHAnsi"/>
          <w:sz w:val="22"/>
          <w:szCs w:val="22"/>
        </w:rPr>
        <w:t>less</w:t>
      </w:r>
      <w:r w:rsidRPr="00C95105">
        <w:rPr>
          <w:rFonts w:asciiTheme="minorHAnsi" w:hAnsiTheme="minorHAnsi" w:cstheme="minorHAnsi"/>
          <w:bCs/>
          <w:sz w:val="22"/>
          <w:szCs w:val="22"/>
        </w:rPr>
        <w:t xml:space="preserve"> than five years after their initial implementation. For the purposes of this report, outcomes measured </w:t>
      </w:r>
      <w:r w:rsidRPr="00C95105">
        <w:rPr>
          <w:rFonts w:asciiTheme="minorHAnsi" w:hAnsiTheme="minorHAnsi" w:cstheme="minorHAnsi"/>
          <w:sz w:val="22"/>
          <w:szCs w:val="22"/>
        </w:rPr>
        <w:t>less</w:t>
      </w:r>
      <w:r w:rsidRPr="00C95105">
        <w:rPr>
          <w:rFonts w:asciiTheme="minorHAnsi" w:hAnsiTheme="minorHAnsi" w:cstheme="minorHAnsi"/>
          <w:bCs/>
          <w:sz w:val="22"/>
          <w:szCs w:val="22"/>
        </w:rPr>
        <w:t xml:space="preserve"> than five </w:t>
      </w:r>
      <w:r w:rsidRPr="00C95105">
        <w:rPr>
          <w:rFonts w:asciiTheme="minorHAnsi" w:hAnsiTheme="minorHAnsi" w:cstheme="minorHAnsi"/>
          <w:bCs/>
          <w:sz w:val="22"/>
          <w:szCs w:val="22"/>
        </w:rPr>
        <w:lastRenderedPageBreak/>
        <w:t xml:space="preserve">years after implementation of quotas are considered ‘short-term’, ‘medium-term’ is used to refer to outcomes five to ten years after implementation, while ‘long-term’ refers to anything greater than ten years. These are arbitrary cut-offs we have identified, and do not reflect any consensus on specific time-frames in the academic literature. </w:t>
      </w:r>
    </w:p>
    <w:p w14:paraId="683AD55D" w14:textId="2ED297D0" w:rsidR="00EC58B5" w:rsidRPr="00C95105" w:rsidRDefault="00EC58B5" w:rsidP="00A570E2">
      <w:pPr>
        <w:spacing w:after="120"/>
        <w:ind w:firstLine="567"/>
        <w:rPr>
          <w:rFonts w:asciiTheme="minorHAnsi" w:hAnsiTheme="minorHAnsi" w:cstheme="minorHAnsi"/>
          <w:sz w:val="22"/>
          <w:szCs w:val="22"/>
        </w:rPr>
      </w:pPr>
      <w:r w:rsidRPr="00C95105">
        <w:rPr>
          <w:rFonts w:asciiTheme="minorHAnsi" w:hAnsiTheme="minorHAnsi" w:cstheme="minorHAnsi"/>
          <w:bCs/>
          <w:sz w:val="22"/>
          <w:szCs w:val="22"/>
        </w:rPr>
        <w:t>Given that study in these areas is in its early stages, for some outcomes there is not yet a large body of evidence with clear convergences. Throughout the tables below, we note where this is the case. Finally, in our literature search our goal was to achieve the broadest possible coverage in our outcome areas of interest and so we deliberately included grey literature, such as reports and unpublished academic manuscripts, in our search criteria. Consequently, the quality and methodological rigour of the references is varied</w:t>
      </w:r>
      <w:r w:rsidRPr="00C95105">
        <w:rPr>
          <w:rFonts w:asciiTheme="minorHAnsi" w:hAnsiTheme="minorHAnsi" w:cstheme="minorHAnsi"/>
          <w:sz w:val="22"/>
          <w:szCs w:val="22"/>
        </w:rPr>
        <w:t>. However</w:t>
      </w:r>
      <w:r w:rsidRPr="00C95105">
        <w:rPr>
          <w:rFonts w:asciiTheme="minorHAnsi" w:hAnsiTheme="minorHAnsi" w:cstheme="minorHAnsi"/>
          <w:bCs/>
          <w:sz w:val="22"/>
          <w:szCs w:val="22"/>
        </w:rPr>
        <w:t>, any studies not meeting basic research standards were excluded from analysis, while we weighted our recommendations by the quality of those retained.</w:t>
      </w:r>
    </w:p>
    <w:p w14:paraId="34182F45" w14:textId="77777777" w:rsidR="00EC58B5" w:rsidRPr="00C95105" w:rsidRDefault="00EC58B5" w:rsidP="00EC58B5">
      <w:pPr>
        <w:spacing w:after="120"/>
        <w:rPr>
          <w:rFonts w:asciiTheme="minorHAnsi" w:hAnsiTheme="minorHAnsi" w:cstheme="minorHAnsi"/>
          <w:sz w:val="22"/>
          <w:szCs w:val="22"/>
        </w:rPr>
      </w:pPr>
    </w:p>
    <w:p w14:paraId="1EDA45C8" w14:textId="77777777" w:rsidR="00EC58B5" w:rsidRPr="00C95105" w:rsidRDefault="00EC58B5" w:rsidP="00756FF3">
      <w:pPr>
        <w:pStyle w:val="Heading3"/>
        <w:numPr>
          <w:ilvl w:val="2"/>
          <w:numId w:val="35"/>
        </w:numPr>
        <w:spacing w:before="0" w:after="120"/>
        <w:ind w:left="567" w:hanging="567"/>
        <w:rPr>
          <w:rFonts w:asciiTheme="minorHAnsi" w:hAnsiTheme="minorHAnsi" w:cstheme="minorHAnsi"/>
          <w:b/>
          <w:bCs/>
          <w:i/>
          <w:iCs/>
          <w:color w:val="2F5496" w:themeColor="accent1" w:themeShade="BF"/>
          <w:sz w:val="22"/>
          <w:szCs w:val="22"/>
        </w:rPr>
      </w:pPr>
      <w:bookmarkStart w:id="583" w:name="_Toc96957743"/>
      <w:r w:rsidRPr="00C95105">
        <w:rPr>
          <w:rFonts w:asciiTheme="minorHAnsi" w:hAnsiTheme="minorHAnsi" w:cstheme="minorHAnsi"/>
          <w:b/>
          <w:bCs/>
          <w:i/>
          <w:iCs/>
          <w:color w:val="2F5496" w:themeColor="accent1" w:themeShade="BF"/>
          <w:sz w:val="22"/>
          <w:szCs w:val="22"/>
        </w:rPr>
        <w:t>Outcome Category 1: Extent of Women’s Influence</w:t>
      </w:r>
      <w:bookmarkEnd w:id="583"/>
    </w:p>
    <w:p w14:paraId="36B3C9B9" w14:textId="2E4AA33C" w:rsidR="00EC58B5" w:rsidRPr="00C95105" w:rsidRDefault="00EC58B5" w:rsidP="00EC58B5">
      <w:pPr>
        <w:spacing w:after="120"/>
        <w:ind w:firstLine="720"/>
        <w:rPr>
          <w:rFonts w:asciiTheme="minorHAnsi" w:hAnsiTheme="minorHAnsi" w:cstheme="minorHAnsi"/>
          <w:bCs/>
          <w:sz w:val="22"/>
          <w:szCs w:val="22"/>
        </w:rPr>
      </w:pPr>
      <w:r w:rsidRPr="00C95105">
        <w:rPr>
          <w:rFonts w:asciiTheme="minorHAnsi" w:hAnsiTheme="minorHAnsi" w:cstheme="minorHAnsi"/>
          <w:sz w:val="22"/>
          <w:szCs w:val="22"/>
        </w:rPr>
        <w:t xml:space="preserve">Under this outcome category, we examine the extent to which the implementation of gender quotas facilitates women to meaningfully access power and status and translate their representation into substantive outcomes for other women. Changes in women’s power and influence have been studied in relation to both board and electoral quotas. Electoral quotas have been implemented in a wide range of country settings, with some of the earliest quotas introduced in new or developing democracies. To draw on the broadest possible set of evidence, we have evaluated all literature pertaining to gender quotas and our outcomes of interest. However, we </w:t>
      </w:r>
      <w:r w:rsidRPr="00C95105">
        <w:rPr>
          <w:rFonts w:asciiTheme="minorHAnsi" w:hAnsiTheme="minorHAnsi" w:cstheme="minorHAnsi"/>
          <w:bCs/>
          <w:sz w:val="22"/>
          <w:szCs w:val="22"/>
        </w:rPr>
        <w:t>have weighted our recommendations to the evidence provided by papers conducted in developmental and cultural contexts similar to Australia.</w:t>
      </w:r>
    </w:p>
    <w:p w14:paraId="2A4E7D4C" w14:textId="77777777" w:rsidR="00EC58B5" w:rsidRPr="00C95105" w:rsidRDefault="00EC58B5" w:rsidP="00EC58B5">
      <w:pPr>
        <w:spacing w:after="120"/>
        <w:rPr>
          <w:rFonts w:asciiTheme="minorHAnsi" w:hAnsiTheme="minorHAnsi" w:cstheme="minorHAnsi"/>
          <w:b/>
          <w:bCs/>
          <w:sz w:val="22"/>
          <w:szCs w:val="22"/>
        </w:rPr>
      </w:pPr>
    </w:p>
    <w:p w14:paraId="2029A434" w14:textId="77777777" w:rsidR="00EC58B5" w:rsidRPr="00C95105" w:rsidRDefault="00EC58B5" w:rsidP="0040422D">
      <w:pPr>
        <w:pStyle w:val="TableParagraph"/>
        <w:spacing w:after="120"/>
        <w:ind w:left="0"/>
        <w:rPr>
          <w:rFonts w:asciiTheme="minorHAnsi" w:hAnsiTheme="minorHAnsi" w:cstheme="minorHAnsi"/>
          <w:lang w:val="en-AU"/>
        </w:rPr>
      </w:pPr>
      <w:bookmarkStart w:id="584" w:name="_Toc96878658"/>
      <w:r w:rsidRPr="00C95105">
        <w:rPr>
          <w:rFonts w:asciiTheme="minorHAnsi" w:hAnsiTheme="minorHAnsi" w:cstheme="minorHAnsi"/>
          <w:b/>
          <w:bCs/>
          <w:lang w:val="en-AU"/>
        </w:rPr>
        <w:t>Table 6.4.</w:t>
      </w:r>
      <w:r w:rsidRPr="00C95105">
        <w:rPr>
          <w:rFonts w:asciiTheme="minorHAnsi" w:hAnsiTheme="minorHAnsi" w:cstheme="minorHAnsi"/>
          <w:lang w:val="en-AU"/>
        </w:rPr>
        <w:t xml:space="preserve"> Evidence for Effects of Leadership Targets and Quotas on Women’s Influence</w:t>
      </w:r>
      <w:bookmarkEnd w:id="584"/>
      <w:r w:rsidRPr="00C95105">
        <w:rPr>
          <w:rFonts w:asciiTheme="minorHAnsi" w:hAnsiTheme="minorHAnsi" w:cstheme="minorHAnsi"/>
          <w:lang w:val="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686"/>
        <w:gridCol w:w="3486"/>
      </w:tblGrid>
      <w:tr w:rsidR="00EC58B5" w:rsidRPr="00C95105" w14:paraId="2D571A63" w14:textId="77777777" w:rsidTr="00532791">
        <w:trPr>
          <w:trHeight w:val="493"/>
          <w:tblHeader/>
        </w:trPr>
        <w:tc>
          <w:tcPr>
            <w:tcW w:w="1838" w:type="dxa"/>
            <w:tcBorders>
              <w:top w:val="single" w:sz="4" w:space="0" w:color="auto"/>
              <w:bottom w:val="single" w:sz="4" w:space="0" w:color="auto"/>
            </w:tcBorders>
            <w:vAlign w:val="center"/>
          </w:tcPr>
          <w:p w14:paraId="788D1F53"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Area</w:t>
            </w:r>
          </w:p>
        </w:tc>
        <w:tc>
          <w:tcPr>
            <w:tcW w:w="3686" w:type="dxa"/>
            <w:tcBorders>
              <w:top w:val="single" w:sz="4" w:space="0" w:color="auto"/>
              <w:bottom w:val="single" w:sz="4" w:space="0" w:color="auto"/>
            </w:tcBorders>
            <w:vAlign w:val="center"/>
          </w:tcPr>
          <w:p w14:paraId="58F7BB72"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Summary of findings</w:t>
            </w:r>
          </w:p>
        </w:tc>
        <w:tc>
          <w:tcPr>
            <w:tcW w:w="3486" w:type="dxa"/>
            <w:tcBorders>
              <w:top w:val="single" w:sz="4" w:space="0" w:color="auto"/>
              <w:bottom w:val="single" w:sz="4" w:space="0" w:color="auto"/>
            </w:tcBorders>
            <w:vAlign w:val="center"/>
          </w:tcPr>
          <w:p w14:paraId="32DEEDD7"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Recommendations</w:t>
            </w:r>
          </w:p>
        </w:tc>
      </w:tr>
      <w:tr w:rsidR="00EC58B5" w:rsidRPr="00C95105" w14:paraId="5F6B0859" w14:textId="77777777" w:rsidTr="00532791">
        <w:tc>
          <w:tcPr>
            <w:tcW w:w="1838" w:type="dxa"/>
            <w:tcBorders>
              <w:top w:val="single" w:sz="4" w:space="0" w:color="auto"/>
            </w:tcBorders>
          </w:tcPr>
          <w:p w14:paraId="019C142C"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Nature of women’s participation in leadership roles </w:t>
            </w:r>
          </w:p>
        </w:tc>
        <w:tc>
          <w:tcPr>
            <w:tcW w:w="3686" w:type="dxa"/>
            <w:tcBorders>
              <w:top w:val="single" w:sz="4" w:space="0" w:color="auto"/>
            </w:tcBorders>
          </w:tcPr>
          <w:p w14:paraId="5BBE850B"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Analyses conducted less than 5 years after the implementation of board gender quotas show little to no impact on the share of women in board chair or other significant roles such as audit or remuneration committee membership. However, studies of the outcomes of Norway’s 2004 board quotas indicate there may be long-term effects, with improvements in women’s representation in chair and deputy chair roles reported after ten years of quotas. </w:t>
            </w:r>
          </w:p>
          <w:p w14:paraId="3702E584"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Women’s lack of status and influence on boards has been attributed to gender stereotypes and isolation from ‘inner circles’. There is some research to suggest that that these effects are reduced when boards achieve full gender balance but are not eliminated while women remain in the minority </w:t>
            </w:r>
            <w:r w:rsidRPr="00C95105">
              <w:rPr>
                <w:rFonts w:asciiTheme="minorHAnsi" w:hAnsiTheme="minorHAnsi" w:cstheme="minorHAnsi"/>
                <w:bCs/>
                <w:sz w:val="22"/>
                <w:szCs w:val="22"/>
              </w:rPr>
              <w:lastRenderedPageBreak/>
              <w:t>in the broader context of the organisation and industry.</w:t>
            </w:r>
          </w:p>
        </w:tc>
        <w:tc>
          <w:tcPr>
            <w:tcW w:w="3486" w:type="dxa"/>
            <w:tcBorders>
              <w:top w:val="single" w:sz="4" w:space="0" w:color="auto"/>
            </w:tcBorders>
          </w:tcPr>
          <w:p w14:paraId="052BDB30" w14:textId="12A54A62"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lastRenderedPageBreak/>
              <w:t>It cannot be assumed that the effects of gender quotas in one area (whether role, organisation, or sector) will spill</w:t>
            </w:r>
            <w:r w:rsidR="00700A12" w:rsidRPr="00C95105">
              <w:rPr>
                <w:rFonts w:asciiTheme="minorHAnsi" w:hAnsiTheme="minorHAnsi" w:cstheme="minorHAnsi"/>
                <w:bCs/>
                <w:sz w:val="22"/>
                <w:szCs w:val="22"/>
              </w:rPr>
              <w:t>-</w:t>
            </w:r>
            <w:r w:rsidRPr="00C95105">
              <w:rPr>
                <w:rFonts w:asciiTheme="minorHAnsi" w:hAnsiTheme="minorHAnsi" w:cstheme="minorHAnsi"/>
                <w:bCs/>
                <w:sz w:val="22"/>
                <w:szCs w:val="22"/>
              </w:rPr>
              <w:t xml:space="preserve">over into other areas. Quotas should be </w:t>
            </w:r>
            <w:r w:rsidR="154028F6" w:rsidRPr="00C95105">
              <w:rPr>
                <w:rFonts w:asciiTheme="minorHAnsi" w:hAnsiTheme="minorHAnsi" w:cstheme="minorHAnsi"/>
                <w:sz w:val="22"/>
                <w:szCs w:val="22"/>
              </w:rPr>
              <w:t>considered for</w:t>
            </w:r>
            <w:r w:rsidRPr="00C95105">
              <w:rPr>
                <w:rFonts w:asciiTheme="minorHAnsi" w:hAnsiTheme="minorHAnsi" w:cstheme="minorHAnsi"/>
                <w:bCs/>
                <w:sz w:val="22"/>
                <w:szCs w:val="22"/>
              </w:rPr>
              <w:t xml:space="preserve"> all areas in which greater representation of women is required, including executive candidate quotas.</w:t>
            </w:r>
            <w:r w:rsidRPr="00C95105">
              <w:rPr>
                <w:rFonts w:asciiTheme="minorHAnsi" w:hAnsiTheme="minorHAnsi" w:cstheme="minorHAnsi"/>
                <w:sz w:val="22"/>
                <w:szCs w:val="22"/>
              </w:rPr>
              <w:t xml:space="preserve"> Realistic evaluation timelines should be implemented.</w:t>
            </w:r>
          </w:p>
          <w:p w14:paraId="7E8478EE" w14:textId="77777777" w:rsidR="00EC58B5" w:rsidRPr="00C95105" w:rsidRDefault="00EC58B5" w:rsidP="00532791">
            <w:pPr>
              <w:spacing w:after="120"/>
              <w:rPr>
                <w:rFonts w:asciiTheme="minorHAnsi" w:hAnsiTheme="minorHAnsi" w:cstheme="minorHAnsi"/>
                <w:bCs/>
                <w:sz w:val="22"/>
                <w:szCs w:val="22"/>
              </w:rPr>
            </w:pPr>
          </w:p>
          <w:p w14:paraId="3B204104"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12919BD1" w14:textId="77777777" w:rsidTr="00532791">
        <w:tc>
          <w:tcPr>
            <w:tcW w:w="1838" w:type="dxa"/>
          </w:tcPr>
          <w:p w14:paraId="282C2CA1" w14:textId="77777777" w:rsidR="00EC58B5" w:rsidRPr="00C95105" w:rsidRDefault="00EC58B5" w:rsidP="00532791">
            <w:pPr>
              <w:spacing w:after="120"/>
              <w:rPr>
                <w:rFonts w:asciiTheme="minorHAnsi" w:hAnsiTheme="minorHAnsi" w:cstheme="minorHAnsi"/>
                <w:bCs/>
                <w:sz w:val="22"/>
                <w:szCs w:val="22"/>
              </w:rPr>
            </w:pPr>
          </w:p>
        </w:tc>
        <w:tc>
          <w:tcPr>
            <w:tcW w:w="3686" w:type="dxa"/>
            <w:tcBorders>
              <w:top w:val="single" w:sz="4" w:space="0" w:color="auto"/>
            </w:tcBorders>
          </w:tcPr>
          <w:p w14:paraId="41B8DE5A" w14:textId="37B0D45A"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Where board quotas have been limited to certain types of organisations (e.g</w:t>
            </w:r>
            <w:r w:rsidRPr="00C95105">
              <w:rPr>
                <w:rFonts w:asciiTheme="minorHAnsi" w:hAnsiTheme="minorHAnsi" w:cstheme="minorHAnsi"/>
                <w:sz w:val="22"/>
                <w:szCs w:val="22"/>
              </w:rPr>
              <w:t>.,</w:t>
            </w:r>
            <w:r w:rsidRPr="00C95105">
              <w:rPr>
                <w:rFonts w:asciiTheme="minorHAnsi" w:hAnsiTheme="minorHAnsi" w:cstheme="minorHAnsi"/>
                <w:bCs/>
                <w:sz w:val="22"/>
                <w:szCs w:val="22"/>
              </w:rPr>
              <w:t xml:space="preserve"> Norway’s quota only applied to publicly limited companies), positive effects of quotas on women’s representation in senior roles have not spilled over to other types of boards.</w:t>
            </w:r>
          </w:p>
        </w:tc>
        <w:tc>
          <w:tcPr>
            <w:tcW w:w="3486" w:type="dxa"/>
            <w:tcBorders>
              <w:top w:val="single" w:sz="4" w:space="0" w:color="auto"/>
            </w:tcBorders>
          </w:tcPr>
          <w:p w14:paraId="6C36EF92"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The Commissioner for Gender Equality in the Public Sector should consider establishing an advisory group comprising representatives from across the public sector (such as those in attendance at the deliberative forum), as well as academic researchers and women with board and electoral experience, with the purpose of investigating all areas in which gender quotas may be constructively implemented in the Victorian public sector.</w:t>
            </w:r>
          </w:p>
        </w:tc>
      </w:tr>
      <w:tr w:rsidR="00EC58B5" w:rsidRPr="00C95105" w14:paraId="2328FE46" w14:textId="77777777" w:rsidTr="00532791">
        <w:tc>
          <w:tcPr>
            <w:tcW w:w="1838" w:type="dxa"/>
          </w:tcPr>
          <w:p w14:paraId="77136A6D" w14:textId="77777777" w:rsidR="00EC58B5" w:rsidRPr="00C95105" w:rsidRDefault="00EC58B5" w:rsidP="00532791">
            <w:pPr>
              <w:spacing w:after="120"/>
              <w:rPr>
                <w:rFonts w:asciiTheme="minorHAnsi" w:hAnsiTheme="minorHAnsi" w:cstheme="minorHAnsi"/>
                <w:bCs/>
                <w:sz w:val="22"/>
                <w:szCs w:val="22"/>
              </w:rPr>
            </w:pPr>
          </w:p>
        </w:tc>
        <w:tc>
          <w:tcPr>
            <w:tcW w:w="3686" w:type="dxa"/>
            <w:tcBorders>
              <w:top w:val="single" w:sz="4" w:space="0" w:color="auto"/>
            </w:tcBorders>
          </w:tcPr>
          <w:p w14:paraId="3EE6DF12"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Similar to board gender quotas, women’s representation in senior roles (e.g., mayor, parliamentary committee membership or leadership) as a result of electoral gender quotas are rarely observed. Where such effects are found, they only appear to emerge at least ten years after the implementation of quotas.</w:t>
            </w:r>
          </w:p>
        </w:tc>
        <w:tc>
          <w:tcPr>
            <w:tcW w:w="3486" w:type="dxa"/>
            <w:tcBorders>
              <w:top w:val="single" w:sz="4" w:space="0" w:color="auto"/>
            </w:tcBorders>
          </w:tcPr>
          <w:p w14:paraId="3A08789A" w14:textId="77777777" w:rsidR="00EC58B5" w:rsidRPr="00C95105" w:rsidRDefault="00EC58B5" w:rsidP="00532791">
            <w:pPr>
              <w:spacing w:after="120"/>
              <w:contextualSpacing/>
              <w:rPr>
                <w:rFonts w:asciiTheme="minorHAnsi" w:hAnsiTheme="minorHAnsi" w:cstheme="minorHAnsi"/>
                <w:sz w:val="22"/>
                <w:szCs w:val="22"/>
              </w:rPr>
            </w:pPr>
            <w:r w:rsidRPr="00C95105">
              <w:rPr>
                <w:rFonts w:asciiTheme="minorHAnsi" w:hAnsiTheme="minorHAnsi" w:cstheme="minorHAnsi"/>
                <w:sz w:val="22"/>
                <w:szCs w:val="22"/>
              </w:rPr>
              <w:t xml:space="preserve">Any representation effects of quotas are likely to be observed in longer time frames, and therefore realistic evaluation timelines should be implemented. Faster progress towards gender equality is likely to require additional policy measures (such as those examined in other sections of this report) to be implemented in concert with quotas for women in leadership roles. </w:t>
            </w:r>
          </w:p>
          <w:p w14:paraId="72077539"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5E665E1B" w14:textId="77777777" w:rsidTr="00532791">
        <w:tc>
          <w:tcPr>
            <w:tcW w:w="1838" w:type="dxa"/>
          </w:tcPr>
          <w:p w14:paraId="76AF92ED" w14:textId="77777777" w:rsidR="00EC58B5" w:rsidRPr="00C95105" w:rsidRDefault="00EC58B5" w:rsidP="00532791">
            <w:pPr>
              <w:spacing w:after="120"/>
              <w:rPr>
                <w:rFonts w:asciiTheme="minorHAnsi" w:hAnsiTheme="minorHAnsi" w:cstheme="minorHAnsi"/>
                <w:bCs/>
                <w:sz w:val="22"/>
                <w:szCs w:val="22"/>
              </w:rPr>
            </w:pPr>
          </w:p>
        </w:tc>
        <w:tc>
          <w:tcPr>
            <w:tcW w:w="3686" w:type="dxa"/>
            <w:tcBorders>
              <w:top w:val="single" w:sz="4" w:space="0" w:color="auto"/>
            </w:tcBorders>
          </w:tcPr>
          <w:p w14:paraId="48A48396"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Women’s participation in boards and elected bodies can be limited by gender inequality in other areas such as household responsibilities and traditional gender norms. One study conducted after the implementation of local government gender quotas in France found that although women were elected at greater rates after quotas were introduced, they failed to achieve leadership roles because they were more likely to resign than male councillors. Analyses found this was not related to a lack of political competitiveness or ambition, but local gender norms regarding women’s role in society.</w:t>
            </w:r>
          </w:p>
        </w:tc>
        <w:tc>
          <w:tcPr>
            <w:tcW w:w="3486" w:type="dxa"/>
            <w:tcBorders>
              <w:top w:val="single" w:sz="4" w:space="0" w:color="auto"/>
            </w:tcBorders>
          </w:tcPr>
          <w:p w14:paraId="6A58E423"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Gender quotas should be considered one action in a suite of measures addressing gender inequality. It is critical that gender quotas are implemented in concert with actions that address gender norms and stereotypes, women’s disproportionate responsibility in the household, and frequent socioeconomic disadvantage. Other reports in this project offer recommendations for each of these areas.</w:t>
            </w:r>
          </w:p>
          <w:p w14:paraId="6F34F9F7"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2C1AB548" w14:textId="77777777" w:rsidTr="00532791">
        <w:tc>
          <w:tcPr>
            <w:tcW w:w="1838" w:type="dxa"/>
            <w:tcBorders>
              <w:bottom w:val="single" w:sz="4" w:space="0" w:color="auto"/>
            </w:tcBorders>
          </w:tcPr>
          <w:p w14:paraId="183528DF" w14:textId="77777777" w:rsidR="00EC58B5" w:rsidRPr="00C95105" w:rsidRDefault="00EC58B5" w:rsidP="00532791">
            <w:pPr>
              <w:spacing w:after="120"/>
              <w:rPr>
                <w:rFonts w:asciiTheme="minorHAnsi" w:hAnsiTheme="minorHAnsi" w:cstheme="minorHAnsi"/>
                <w:bCs/>
                <w:sz w:val="22"/>
                <w:szCs w:val="22"/>
              </w:rPr>
            </w:pPr>
          </w:p>
        </w:tc>
        <w:tc>
          <w:tcPr>
            <w:tcW w:w="3686" w:type="dxa"/>
            <w:tcBorders>
              <w:top w:val="single" w:sz="4" w:space="0" w:color="auto"/>
              <w:bottom w:val="single" w:sz="4" w:space="0" w:color="auto"/>
            </w:tcBorders>
          </w:tcPr>
          <w:p w14:paraId="4A6DBE8A"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Quotas are most likely to improve women’s representation in senior roles when they increase the numbers </w:t>
            </w:r>
            <w:r w:rsidRPr="00C95105">
              <w:rPr>
                <w:rFonts w:asciiTheme="minorHAnsi" w:hAnsiTheme="minorHAnsi" w:cstheme="minorHAnsi"/>
                <w:bCs/>
                <w:sz w:val="22"/>
                <w:szCs w:val="22"/>
              </w:rPr>
              <w:lastRenderedPageBreak/>
              <w:t>of women in ‘pipeline’ positions or professions and create a larger pool of well-qualified potential female leaders.</w:t>
            </w:r>
          </w:p>
        </w:tc>
        <w:tc>
          <w:tcPr>
            <w:tcW w:w="3486" w:type="dxa"/>
            <w:tcBorders>
              <w:top w:val="single" w:sz="4" w:space="0" w:color="auto"/>
              <w:bottom w:val="single" w:sz="4" w:space="0" w:color="auto"/>
            </w:tcBorders>
          </w:tcPr>
          <w:p w14:paraId="6F339191"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lastRenderedPageBreak/>
              <w:t xml:space="preserve">Gender representation at all levels within the public sector should be measured and monitored to </w:t>
            </w:r>
            <w:r w:rsidRPr="00C95105">
              <w:rPr>
                <w:rFonts w:asciiTheme="minorHAnsi" w:hAnsiTheme="minorHAnsi" w:cstheme="minorHAnsi"/>
                <w:bCs/>
                <w:sz w:val="22"/>
                <w:szCs w:val="22"/>
              </w:rPr>
              <w:lastRenderedPageBreak/>
              <w:t xml:space="preserve">establish pipeline indicators and targets. </w:t>
            </w:r>
          </w:p>
          <w:p w14:paraId="286454EC"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2601B2C4" w14:textId="77777777" w:rsidTr="00532791">
        <w:tc>
          <w:tcPr>
            <w:tcW w:w="1838" w:type="dxa"/>
            <w:tcBorders>
              <w:top w:val="single" w:sz="4" w:space="0" w:color="auto"/>
            </w:tcBorders>
          </w:tcPr>
          <w:p w14:paraId="17A952F1"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lastRenderedPageBreak/>
              <w:t xml:space="preserve">Women’s interests reflected in legislation and public expenditure </w:t>
            </w:r>
          </w:p>
        </w:tc>
        <w:tc>
          <w:tcPr>
            <w:tcW w:w="3686" w:type="dxa"/>
            <w:tcBorders>
              <w:top w:val="single" w:sz="4" w:space="0" w:color="auto"/>
            </w:tcBorders>
          </w:tcPr>
          <w:p w14:paraId="55DF9B7A"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There is substantial evidence that the introduction of quotas leads to greater attention to women’s interests by political bodies. Parliamentary speeches and debates more frequently reference women’s issues after the introduction of quotas, and there are significant increases in the introduction of bills addressing issues such as health, education, childcare, reproductive rights, gender violence, and gender equality. This effect is also observed in political party platforms. Parties – both left and right – in countries with electoral gender quotas pay greater attention to issues in which there is traditionally a gender gap, such as social justice and welfare state expansion. </w:t>
            </w:r>
          </w:p>
        </w:tc>
        <w:tc>
          <w:tcPr>
            <w:tcW w:w="3486" w:type="dxa"/>
            <w:tcBorders>
              <w:top w:val="single" w:sz="4" w:space="0" w:color="auto"/>
            </w:tcBorders>
          </w:tcPr>
          <w:p w14:paraId="7E5C6C6F"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The finding that representational quotas increase attention to women’s interests have implications beyond gender. Quotas for other historically underrepresented groups such as socioeconomic status, and ethnic, racial, and sexual minorities, may be one tool for increasing attention to their specific needs in policy agendas.</w:t>
            </w:r>
          </w:p>
          <w:p w14:paraId="3AB8EBB7" w14:textId="77777777" w:rsidR="00EC58B5" w:rsidRPr="00C95105" w:rsidRDefault="00EC58B5" w:rsidP="00532791">
            <w:pPr>
              <w:spacing w:after="120"/>
              <w:rPr>
                <w:rFonts w:asciiTheme="minorHAnsi" w:hAnsiTheme="minorHAnsi" w:cstheme="minorHAnsi"/>
                <w:bCs/>
                <w:sz w:val="22"/>
                <w:szCs w:val="22"/>
              </w:rPr>
            </w:pPr>
          </w:p>
          <w:p w14:paraId="63379C07" w14:textId="77777777" w:rsidR="00EC58B5" w:rsidRPr="00C95105" w:rsidRDefault="00EC58B5" w:rsidP="00532791">
            <w:pPr>
              <w:spacing w:after="120"/>
              <w:rPr>
                <w:rFonts w:asciiTheme="minorHAnsi" w:hAnsiTheme="minorHAnsi" w:cstheme="minorHAnsi"/>
                <w:bCs/>
                <w:sz w:val="22"/>
                <w:szCs w:val="22"/>
              </w:rPr>
            </w:pPr>
          </w:p>
          <w:p w14:paraId="67699C7F" w14:textId="77777777" w:rsidR="00EC58B5" w:rsidRPr="00C95105" w:rsidRDefault="00EC58B5" w:rsidP="00532791">
            <w:pPr>
              <w:spacing w:after="120"/>
              <w:rPr>
                <w:rFonts w:asciiTheme="minorHAnsi" w:hAnsiTheme="minorHAnsi" w:cstheme="minorHAnsi"/>
                <w:bCs/>
                <w:sz w:val="22"/>
                <w:szCs w:val="22"/>
              </w:rPr>
            </w:pPr>
          </w:p>
          <w:p w14:paraId="59A599D0" w14:textId="77777777" w:rsidR="00EC58B5" w:rsidRPr="00C95105" w:rsidRDefault="00EC58B5" w:rsidP="00532791">
            <w:pPr>
              <w:spacing w:after="120"/>
              <w:rPr>
                <w:rFonts w:asciiTheme="minorHAnsi" w:hAnsiTheme="minorHAnsi" w:cstheme="minorHAnsi"/>
                <w:bCs/>
                <w:sz w:val="22"/>
                <w:szCs w:val="22"/>
              </w:rPr>
            </w:pPr>
          </w:p>
          <w:p w14:paraId="410AAD0F" w14:textId="77777777" w:rsidR="00EC58B5" w:rsidRPr="00C95105" w:rsidRDefault="00EC58B5" w:rsidP="00532791">
            <w:pPr>
              <w:spacing w:after="120"/>
              <w:rPr>
                <w:rFonts w:asciiTheme="minorHAnsi" w:hAnsiTheme="minorHAnsi" w:cstheme="minorHAnsi"/>
                <w:bCs/>
                <w:sz w:val="22"/>
                <w:szCs w:val="22"/>
              </w:rPr>
            </w:pPr>
          </w:p>
          <w:p w14:paraId="519DF2E3" w14:textId="77777777" w:rsidR="00EC58B5" w:rsidRPr="00C95105" w:rsidRDefault="00EC58B5" w:rsidP="00532791">
            <w:pPr>
              <w:spacing w:after="120"/>
              <w:rPr>
                <w:rFonts w:asciiTheme="minorHAnsi" w:hAnsiTheme="minorHAnsi" w:cstheme="minorHAnsi"/>
                <w:bCs/>
                <w:sz w:val="22"/>
                <w:szCs w:val="22"/>
              </w:rPr>
            </w:pPr>
          </w:p>
          <w:p w14:paraId="337BD185" w14:textId="77777777" w:rsidR="00EC58B5" w:rsidRPr="00C95105" w:rsidRDefault="00EC58B5" w:rsidP="00532791">
            <w:pPr>
              <w:spacing w:after="120"/>
              <w:rPr>
                <w:rFonts w:asciiTheme="minorHAnsi" w:hAnsiTheme="minorHAnsi" w:cstheme="minorHAnsi"/>
                <w:bCs/>
                <w:sz w:val="22"/>
                <w:szCs w:val="22"/>
              </w:rPr>
            </w:pPr>
          </w:p>
          <w:p w14:paraId="3021BA1A" w14:textId="77777777" w:rsidR="00EC58B5" w:rsidRPr="00C95105" w:rsidRDefault="00EC58B5" w:rsidP="00532791">
            <w:pPr>
              <w:spacing w:after="120"/>
              <w:rPr>
                <w:rFonts w:asciiTheme="minorHAnsi" w:hAnsiTheme="minorHAnsi" w:cstheme="minorHAnsi"/>
                <w:bCs/>
                <w:sz w:val="22"/>
                <w:szCs w:val="22"/>
              </w:rPr>
            </w:pPr>
          </w:p>
          <w:p w14:paraId="18ED48AC" w14:textId="77777777" w:rsidR="00EC58B5" w:rsidRPr="00C95105" w:rsidRDefault="00EC58B5" w:rsidP="00532791">
            <w:pPr>
              <w:spacing w:after="120"/>
              <w:contextualSpacing/>
              <w:rPr>
                <w:rFonts w:asciiTheme="minorHAnsi" w:hAnsiTheme="minorHAnsi" w:cstheme="minorHAnsi"/>
                <w:bCs/>
                <w:sz w:val="22"/>
                <w:szCs w:val="22"/>
              </w:rPr>
            </w:pPr>
          </w:p>
          <w:p w14:paraId="62099E10"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3EF2B163" w14:textId="77777777" w:rsidTr="00532791">
        <w:tc>
          <w:tcPr>
            <w:tcW w:w="1838" w:type="dxa"/>
            <w:tcBorders>
              <w:bottom w:val="single" w:sz="4" w:space="0" w:color="auto"/>
            </w:tcBorders>
          </w:tcPr>
          <w:p w14:paraId="2A33D2B6" w14:textId="77777777" w:rsidR="00EC58B5" w:rsidRPr="00C95105" w:rsidRDefault="00EC58B5" w:rsidP="00532791">
            <w:pPr>
              <w:spacing w:after="120"/>
              <w:rPr>
                <w:rFonts w:asciiTheme="minorHAnsi" w:hAnsiTheme="minorHAnsi" w:cstheme="minorHAnsi"/>
                <w:bCs/>
                <w:sz w:val="22"/>
                <w:szCs w:val="22"/>
              </w:rPr>
            </w:pPr>
          </w:p>
        </w:tc>
        <w:tc>
          <w:tcPr>
            <w:tcW w:w="3686" w:type="dxa"/>
            <w:tcBorders>
              <w:top w:val="single" w:sz="4" w:space="0" w:color="auto"/>
              <w:bottom w:val="single" w:sz="4" w:space="0" w:color="auto"/>
            </w:tcBorders>
          </w:tcPr>
          <w:p w14:paraId="21274ADD"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However, institutional factors are consistently found to prevent this attention to women’s interests from being translated into concrete changes in policy or law. At least in the short to medium term, the implementation of quotas has not led to increased public expenditures in policy areas reflecting women’s interests. Similarly, despite significant increases in the introduction of women-centred bills, there is no corresponding increase in the passage and adoption of such bills. Institutional factors linked to the failure of these bills include women’s lack of access to agenda-setting roles such as mayor or party leader, party leaders’ control over the legislative process, and informal norms that entrench gender bias.  </w:t>
            </w:r>
          </w:p>
        </w:tc>
        <w:tc>
          <w:tcPr>
            <w:tcW w:w="3486" w:type="dxa"/>
            <w:tcBorders>
              <w:top w:val="single" w:sz="4" w:space="0" w:color="auto"/>
              <w:bottom w:val="single" w:sz="4" w:space="0" w:color="auto"/>
            </w:tcBorders>
          </w:tcPr>
          <w:p w14:paraId="7B6FC358"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 xml:space="preserve">Collaboration among female legislators, and between these legislators and women’s organisations may strengthen the capacity to achieve substantive policy outcomes. In a local government context this may involve the creation of women’s caucuses that share resources and develop strategies to advance women’s policy priorities. Such collectivisation of women need not be confined to elected positions. Other areas within the public sector may develop women’s networks with a similar purpose. </w:t>
            </w:r>
          </w:p>
          <w:p w14:paraId="09A5F69E"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0AE2891D" w14:textId="77777777" w:rsidTr="00532791">
        <w:tc>
          <w:tcPr>
            <w:tcW w:w="1838" w:type="dxa"/>
            <w:tcBorders>
              <w:top w:val="single" w:sz="4" w:space="0" w:color="auto"/>
              <w:bottom w:val="single" w:sz="4" w:space="0" w:color="auto"/>
            </w:tcBorders>
          </w:tcPr>
          <w:p w14:paraId="7F8C0052"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lastRenderedPageBreak/>
              <w:t>Public service provision</w:t>
            </w:r>
          </w:p>
        </w:tc>
        <w:tc>
          <w:tcPr>
            <w:tcW w:w="3686" w:type="dxa"/>
            <w:tcBorders>
              <w:top w:val="single" w:sz="4" w:space="0" w:color="auto"/>
              <w:bottom w:val="single" w:sz="4" w:space="0" w:color="auto"/>
            </w:tcBorders>
          </w:tcPr>
          <w:p w14:paraId="38F5566E"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There is a small amount of research suggesting that local government bodies that have implemented quotas are perceived as having a higher quality of public goods, fewer citizen complaints, and are more responsive to the concerns of women. To date, however, public service provision has not received a great deal of attention in academic research and has only been studied in settings considered more patriarchal than Australia.</w:t>
            </w:r>
          </w:p>
        </w:tc>
        <w:tc>
          <w:tcPr>
            <w:tcW w:w="3486" w:type="dxa"/>
            <w:tcBorders>
              <w:top w:val="single" w:sz="4" w:space="0" w:color="auto"/>
              <w:bottom w:val="single" w:sz="4" w:space="0" w:color="auto"/>
            </w:tcBorders>
          </w:tcPr>
          <w:p w14:paraId="3701918E"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 xml:space="preserve">Public sector bodies could contribute to greater research in the area of public service provision by collecting gender disaggregated data on their service provision and client perceptions. </w:t>
            </w:r>
          </w:p>
          <w:p w14:paraId="5239B506" w14:textId="77777777" w:rsidR="00EC58B5" w:rsidRPr="00C95105" w:rsidRDefault="00EC58B5" w:rsidP="00532791">
            <w:pPr>
              <w:spacing w:after="120"/>
              <w:rPr>
                <w:rFonts w:asciiTheme="minorHAnsi" w:hAnsiTheme="minorHAnsi" w:cstheme="minorHAnsi"/>
                <w:bCs/>
                <w:sz w:val="22"/>
                <w:szCs w:val="22"/>
              </w:rPr>
            </w:pPr>
          </w:p>
        </w:tc>
      </w:tr>
    </w:tbl>
    <w:p w14:paraId="2FB2E086" w14:textId="77777777" w:rsidR="00EC58B5" w:rsidRPr="00C95105" w:rsidRDefault="00EC58B5" w:rsidP="00EC58B5">
      <w:pPr>
        <w:spacing w:after="120"/>
        <w:rPr>
          <w:rFonts w:asciiTheme="minorHAnsi" w:hAnsiTheme="minorHAnsi" w:cstheme="minorHAnsi"/>
          <w:bCs/>
          <w:sz w:val="22"/>
          <w:szCs w:val="22"/>
        </w:rPr>
      </w:pPr>
    </w:p>
    <w:p w14:paraId="7C5C36FD" w14:textId="77777777" w:rsidR="00EC58B5" w:rsidRPr="00C95105" w:rsidRDefault="00EC58B5" w:rsidP="00756FF3">
      <w:pPr>
        <w:pStyle w:val="Heading3"/>
        <w:numPr>
          <w:ilvl w:val="2"/>
          <w:numId w:val="35"/>
        </w:numPr>
        <w:spacing w:before="0" w:after="120"/>
        <w:ind w:left="567" w:hanging="567"/>
        <w:rPr>
          <w:rFonts w:asciiTheme="minorHAnsi" w:hAnsiTheme="minorHAnsi" w:cstheme="minorHAnsi"/>
          <w:b/>
          <w:bCs/>
          <w:i/>
          <w:iCs/>
          <w:color w:val="2F5496" w:themeColor="accent1" w:themeShade="BF"/>
          <w:sz w:val="22"/>
          <w:szCs w:val="22"/>
        </w:rPr>
      </w:pPr>
      <w:bookmarkStart w:id="585" w:name="_Toc96957744"/>
      <w:r w:rsidRPr="00C95105">
        <w:rPr>
          <w:rFonts w:asciiTheme="minorHAnsi" w:hAnsiTheme="minorHAnsi" w:cstheme="minorHAnsi"/>
          <w:b/>
          <w:bCs/>
          <w:i/>
          <w:iCs/>
          <w:color w:val="2F5496" w:themeColor="accent1" w:themeShade="BF"/>
          <w:sz w:val="22"/>
          <w:szCs w:val="22"/>
        </w:rPr>
        <w:t>Outcome Category 2: Impact on Public Attitudes</w:t>
      </w:r>
      <w:bookmarkEnd w:id="585"/>
    </w:p>
    <w:p w14:paraId="78B67E98" w14:textId="77777777" w:rsidR="00EC58B5" w:rsidRPr="00C95105" w:rsidRDefault="00EC58B5" w:rsidP="0040422D">
      <w:pPr>
        <w:spacing w:after="120"/>
        <w:ind w:firstLine="567"/>
        <w:rPr>
          <w:rFonts w:asciiTheme="minorHAnsi" w:hAnsiTheme="minorHAnsi" w:cstheme="minorHAnsi"/>
          <w:bCs/>
          <w:sz w:val="22"/>
          <w:szCs w:val="22"/>
        </w:rPr>
      </w:pPr>
      <w:r w:rsidRPr="00C95105">
        <w:rPr>
          <w:rFonts w:asciiTheme="minorHAnsi" w:hAnsiTheme="minorHAnsi" w:cstheme="minorHAnsi"/>
          <w:bCs/>
          <w:sz w:val="22"/>
          <w:szCs w:val="22"/>
        </w:rPr>
        <w:t xml:space="preserve">In this section we examine how the implementation of leadership gender quotas may affect attitudes towards women, gender equality, and leadership. Examinations of the impact of electoral quotas on public attitudes have been conducted largely in developing nations, or nations with developing democratic processes such as Iraq, Rwanda, and Uruguay. In contrast, board quotas have predominantly been introduced, and therefore studied, in developed nations such as Norway and Italy.  </w:t>
      </w:r>
    </w:p>
    <w:p w14:paraId="0C2382A3" w14:textId="77777777" w:rsidR="00EC58B5" w:rsidRPr="00C95105" w:rsidRDefault="00EC58B5" w:rsidP="00EC58B5">
      <w:pPr>
        <w:spacing w:after="120"/>
        <w:rPr>
          <w:rFonts w:asciiTheme="minorHAnsi" w:hAnsiTheme="minorHAnsi" w:cstheme="minorHAnsi"/>
          <w:bCs/>
          <w:sz w:val="22"/>
          <w:szCs w:val="22"/>
        </w:rPr>
      </w:pPr>
    </w:p>
    <w:p w14:paraId="49574C9B" w14:textId="77777777" w:rsidR="00EC58B5" w:rsidRPr="00C95105" w:rsidRDefault="00EC58B5" w:rsidP="0040422D">
      <w:pPr>
        <w:pStyle w:val="TableParagraph"/>
        <w:spacing w:after="120"/>
        <w:ind w:left="0"/>
        <w:rPr>
          <w:rFonts w:asciiTheme="minorHAnsi" w:hAnsiTheme="minorHAnsi" w:cstheme="minorHAnsi"/>
          <w:lang w:val="en-AU"/>
        </w:rPr>
      </w:pPr>
      <w:bookmarkStart w:id="586" w:name="_Toc96878659"/>
      <w:r w:rsidRPr="00C95105">
        <w:rPr>
          <w:rFonts w:asciiTheme="minorHAnsi" w:hAnsiTheme="minorHAnsi" w:cstheme="minorHAnsi"/>
          <w:b/>
          <w:bCs/>
          <w:lang w:val="en-AU"/>
        </w:rPr>
        <w:t>Table 6.5.</w:t>
      </w:r>
      <w:r w:rsidRPr="00C95105">
        <w:rPr>
          <w:rFonts w:asciiTheme="minorHAnsi" w:hAnsiTheme="minorHAnsi" w:cstheme="minorHAnsi"/>
          <w:lang w:val="en-AU"/>
        </w:rPr>
        <w:t xml:space="preserve"> Evidence for the Effect of Leadership Targets and Quotas on Public Attitudes</w:t>
      </w:r>
      <w:bookmarkEnd w:id="58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38"/>
        <w:gridCol w:w="3586"/>
        <w:gridCol w:w="3586"/>
      </w:tblGrid>
      <w:tr w:rsidR="00EC58B5" w:rsidRPr="00C95105" w14:paraId="0EA466D5" w14:textId="77777777" w:rsidTr="00532791">
        <w:trPr>
          <w:trHeight w:val="461"/>
          <w:tblHeader/>
        </w:trPr>
        <w:tc>
          <w:tcPr>
            <w:tcW w:w="1838" w:type="dxa"/>
            <w:tcBorders>
              <w:bottom w:val="single" w:sz="4" w:space="0" w:color="auto"/>
            </w:tcBorders>
            <w:vAlign w:val="center"/>
          </w:tcPr>
          <w:p w14:paraId="3522A249"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Area</w:t>
            </w:r>
          </w:p>
        </w:tc>
        <w:tc>
          <w:tcPr>
            <w:tcW w:w="3586" w:type="dxa"/>
            <w:tcBorders>
              <w:bottom w:val="single" w:sz="4" w:space="0" w:color="auto"/>
            </w:tcBorders>
            <w:vAlign w:val="center"/>
          </w:tcPr>
          <w:p w14:paraId="0CB8AB68"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Summary of findings</w:t>
            </w:r>
          </w:p>
        </w:tc>
        <w:tc>
          <w:tcPr>
            <w:tcW w:w="3586" w:type="dxa"/>
            <w:tcBorders>
              <w:bottom w:val="single" w:sz="4" w:space="0" w:color="auto"/>
            </w:tcBorders>
            <w:vAlign w:val="center"/>
          </w:tcPr>
          <w:p w14:paraId="239462F0"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Recommendations</w:t>
            </w:r>
          </w:p>
        </w:tc>
      </w:tr>
      <w:tr w:rsidR="00EC58B5" w:rsidRPr="00C95105" w14:paraId="72F02347" w14:textId="77777777" w:rsidTr="00532791">
        <w:tc>
          <w:tcPr>
            <w:tcW w:w="1838" w:type="dxa"/>
            <w:tcBorders>
              <w:bottom w:val="nil"/>
            </w:tcBorders>
          </w:tcPr>
          <w:p w14:paraId="5409C475"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Attitudes toward female leaders</w:t>
            </w:r>
          </w:p>
        </w:tc>
        <w:tc>
          <w:tcPr>
            <w:tcW w:w="3586" w:type="dxa"/>
            <w:tcBorders>
              <w:bottom w:val="single" w:sz="4" w:space="0" w:color="auto"/>
            </w:tcBorders>
          </w:tcPr>
          <w:p w14:paraId="15C2967F" w14:textId="706FF8CA"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The implementation of electoral quotas has a positive effect on perceptions of the competence and effectiveness of women parliamentarians. Early evidence suggests electoral quotas may also have spill</w:t>
            </w:r>
            <w:r w:rsidR="00700A12" w:rsidRPr="00C95105">
              <w:rPr>
                <w:rFonts w:asciiTheme="minorHAnsi" w:hAnsiTheme="minorHAnsi" w:cstheme="minorHAnsi"/>
                <w:bCs/>
                <w:sz w:val="22"/>
                <w:szCs w:val="22"/>
              </w:rPr>
              <w:t>-</w:t>
            </w:r>
            <w:r w:rsidRPr="00C95105">
              <w:rPr>
                <w:rFonts w:asciiTheme="minorHAnsi" w:hAnsiTheme="minorHAnsi" w:cstheme="minorHAnsi"/>
                <w:bCs/>
                <w:sz w:val="22"/>
                <w:szCs w:val="22"/>
              </w:rPr>
              <w:t xml:space="preserve">over effects on perceptions of women’s competence in the workplace. This effect on attitudes </w:t>
            </w:r>
            <w:r w:rsidRPr="00C95105">
              <w:rPr>
                <w:rFonts w:asciiTheme="minorHAnsi" w:hAnsiTheme="minorHAnsi" w:cstheme="minorHAnsi"/>
                <w:sz w:val="22"/>
                <w:szCs w:val="22"/>
              </w:rPr>
              <w:t>towards</w:t>
            </w:r>
            <w:r w:rsidRPr="00C95105">
              <w:rPr>
                <w:rFonts w:asciiTheme="minorHAnsi" w:hAnsiTheme="minorHAnsi" w:cstheme="minorHAnsi"/>
                <w:bCs/>
                <w:sz w:val="22"/>
                <w:szCs w:val="22"/>
              </w:rPr>
              <w:t xml:space="preserve"> female leaders is attributed, in part, to the increased exposure to, and visibility of, women in these roles as a result of their greater numbers</w:t>
            </w:r>
          </w:p>
        </w:tc>
        <w:tc>
          <w:tcPr>
            <w:tcW w:w="3586" w:type="dxa"/>
            <w:tcBorders>
              <w:bottom w:val="single" w:sz="4" w:space="0" w:color="auto"/>
            </w:tcBorders>
          </w:tcPr>
          <w:p w14:paraId="65143F61"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Electoral and other leadership quotas may have their greatest impact when supported by measures to ensure the visibility of female candidates, parliamentarians, and other leaders.</w:t>
            </w:r>
          </w:p>
          <w:p w14:paraId="54D063BF" w14:textId="77777777" w:rsidR="00EC58B5" w:rsidRPr="00C95105" w:rsidRDefault="00EC58B5" w:rsidP="00532791">
            <w:pPr>
              <w:spacing w:after="120"/>
              <w:rPr>
                <w:rFonts w:asciiTheme="minorHAnsi" w:hAnsiTheme="minorHAnsi" w:cstheme="minorHAnsi"/>
                <w:bCs/>
                <w:sz w:val="22"/>
                <w:szCs w:val="22"/>
              </w:rPr>
            </w:pPr>
          </w:p>
          <w:p w14:paraId="598F8BB9"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699768DD" w14:textId="77777777" w:rsidTr="00532791">
        <w:tc>
          <w:tcPr>
            <w:tcW w:w="1838" w:type="dxa"/>
            <w:tcBorders>
              <w:top w:val="nil"/>
              <w:bottom w:val="single" w:sz="4" w:space="0" w:color="auto"/>
            </w:tcBorders>
          </w:tcPr>
          <w:p w14:paraId="01864A4A" w14:textId="77777777" w:rsidR="00EC58B5" w:rsidRPr="00C95105" w:rsidRDefault="00EC58B5" w:rsidP="00532791">
            <w:pPr>
              <w:spacing w:after="120"/>
              <w:rPr>
                <w:rFonts w:asciiTheme="minorHAnsi" w:hAnsiTheme="minorHAnsi" w:cstheme="minorHAnsi"/>
                <w:bCs/>
                <w:sz w:val="22"/>
                <w:szCs w:val="22"/>
              </w:rPr>
            </w:pPr>
          </w:p>
        </w:tc>
        <w:tc>
          <w:tcPr>
            <w:tcW w:w="3586" w:type="dxa"/>
            <w:tcBorders>
              <w:bottom w:val="single" w:sz="4" w:space="0" w:color="auto"/>
            </w:tcBorders>
          </w:tcPr>
          <w:p w14:paraId="17DCB727" w14:textId="0D478486"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The increase in positive attitudes </w:t>
            </w:r>
            <w:r w:rsidRPr="00C95105">
              <w:rPr>
                <w:rFonts w:asciiTheme="minorHAnsi" w:hAnsiTheme="minorHAnsi" w:cstheme="minorHAnsi"/>
                <w:sz w:val="22"/>
                <w:szCs w:val="22"/>
              </w:rPr>
              <w:t>towards</w:t>
            </w:r>
            <w:r w:rsidRPr="00C95105">
              <w:rPr>
                <w:rFonts w:asciiTheme="minorHAnsi" w:hAnsiTheme="minorHAnsi" w:cstheme="minorHAnsi"/>
                <w:bCs/>
                <w:sz w:val="22"/>
                <w:szCs w:val="22"/>
              </w:rPr>
              <w:t xml:space="preserve"> women’s leadership capacity is not accompanied by a reduction in implicit or explicit preferences for male leaders. Social norms prioritising men as leaders persist, at least in the medium term (up to ten </w:t>
            </w:r>
            <w:r w:rsidRPr="00C95105">
              <w:rPr>
                <w:rFonts w:asciiTheme="minorHAnsi" w:hAnsiTheme="minorHAnsi" w:cstheme="minorHAnsi"/>
                <w:bCs/>
                <w:sz w:val="22"/>
                <w:szCs w:val="22"/>
              </w:rPr>
              <w:lastRenderedPageBreak/>
              <w:t>years after implementation of quotas).</w:t>
            </w:r>
          </w:p>
        </w:tc>
        <w:tc>
          <w:tcPr>
            <w:tcW w:w="3586" w:type="dxa"/>
            <w:tcBorders>
              <w:bottom w:val="single" w:sz="4" w:space="0" w:color="auto"/>
            </w:tcBorders>
          </w:tcPr>
          <w:p w14:paraId="096B047A" w14:textId="72432F2B"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sz w:val="22"/>
                <w:szCs w:val="22"/>
              </w:rPr>
              <w:lastRenderedPageBreak/>
              <w:t xml:space="preserve">Organisations should have realistic time frames for evaluating the success of gender quota interventions as it may take up to ten years to observe their impact on perceptions of the effectiveness of women leaders. Shifting social norms that explicitly and implicitly link leadership to notions of masculinity </w:t>
            </w:r>
            <w:r w:rsidRPr="00C95105">
              <w:rPr>
                <w:rFonts w:asciiTheme="minorHAnsi" w:hAnsiTheme="minorHAnsi" w:cstheme="minorHAnsi"/>
                <w:sz w:val="22"/>
                <w:szCs w:val="22"/>
              </w:rPr>
              <w:lastRenderedPageBreak/>
              <w:t xml:space="preserve">may take considerably longer. Measures to hasten this process are outside the scope of this review and represent a significant area of academic study. </w:t>
            </w:r>
          </w:p>
        </w:tc>
      </w:tr>
      <w:tr w:rsidR="00EC58B5" w:rsidRPr="00C95105" w14:paraId="32B6F011" w14:textId="77777777" w:rsidTr="00532791">
        <w:tc>
          <w:tcPr>
            <w:tcW w:w="1838" w:type="dxa"/>
            <w:tcBorders>
              <w:top w:val="single" w:sz="4" w:space="0" w:color="auto"/>
              <w:bottom w:val="nil"/>
            </w:tcBorders>
          </w:tcPr>
          <w:p w14:paraId="709ED2BE"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lastRenderedPageBreak/>
              <w:t>Attitudes toward gender equality</w:t>
            </w:r>
          </w:p>
        </w:tc>
        <w:tc>
          <w:tcPr>
            <w:tcW w:w="3586" w:type="dxa"/>
            <w:tcBorders>
              <w:top w:val="single" w:sz="4" w:space="0" w:color="auto"/>
              <w:bottom w:val="nil"/>
            </w:tcBorders>
          </w:tcPr>
          <w:p w14:paraId="1807AD20"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Board quotas can contribute meaningfully to progress toward gender equality in organisations.</w:t>
            </w:r>
          </w:p>
          <w:p w14:paraId="79895FE4"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bottom w:val="nil"/>
            </w:tcBorders>
          </w:tcPr>
          <w:p w14:paraId="2630A1AB"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Gender quotas are best considered a necessary, but not sufficient, factor in achieving gender equality in organisations.</w:t>
            </w:r>
          </w:p>
        </w:tc>
      </w:tr>
      <w:tr w:rsidR="00EC58B5" w:rsidRPr="00C95105" w14:paraId="471EB77F" w14:textId="77777777" w:rsidTr="00532791">
        <w:tc>
          <w:tcPr>
            <w:tcW w:w="1838" w:type="dxa"/>
            <w:tcBorders>
              <w:top w:val="nil"/>
              <w:bottom w:val="nil"/>
            </w:tcBorders>
          </w:tcPr>
          <w:p w14:paraId="2F2498F0"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bottom w:val="nil"/>
            </w:tcBorders>
          </w:tcPr>
          <w:p w14:paraId="2A0C0415"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Such quotas are most likely to have a positive effect on gender equality when embedded as an organisational value. </w:t>
            </w:r>
          </w:p>
          <w:p w14:paraId="2A056BC1" w14:textId="77777777" w:rsidR="00EC58B5" w:rsidRPr="00C95105" w:rsidRDefault="00EC58B5" w:rsidP="00532791">
            <w:pPr>
              <w:spacing w:after="120"/>
              <w:ind w:left="284"/>
              <w:rPr>
                <w:rFonts w:asciiTheme="minorHAnsi" w:hAnsiTheme="minorHAnsi" w:cstheme="minorHAnsi"/>
                <w:bCs/>
                <w:sz w:val="22"/>
                <w:szCs w:val="22"/>
              </w:rPr>
            </w:pPr>
          </w:p>
          <w:p w14:paraId="2D038196" w14:textId="77777777" w:rsidR="00EC58B5" w:rsidRPr="00C95105" w:rsidRDefault="00EC58B5" w:rsidP="00532791">
            <w:pPr>
              <w:spacing w:after="120"/>
              <w:ind w:left="284"/>
              <w:rPr>
                <w:rFonts w:asciiTheme="minorHAnsi" w:hAnsiTheme="minorHAnsi" w:cstheme="minorHAnsi"/>
                <w:bCs/>
                <w:sz w:val="22"/>
                <w:szCs w:val="22"/>
              </w:rPr>
            </w:pPr>
          </w:p>
          <w:p w14:paraId="7A8F335A" w14:textId="77777777" w:rsidR="00EC58B5" w:rsidRPr="00C95105" w:rsidRDefault="00EC58B5" w:rsidP="00532791">
            <w:pPr>
              <w:spacing w:after="120"/>
              <w:ind w:left="284"/>
              <w:rPr>
                <w:rFonts w:asciiTheme="minorHAnsi" w:hAnsiTheme="minorHAnsi" w:cstheme="minorHAnsi"/>
                <w:bCs/>
                <w:sz w:val="22"/>
                <w:szCs w:val="22"/>
              </w:rPr>
            </w:pPr>
          </w:p>
          <w:p w14:paraId="62B1F80F" w14:textId="77777777" w:rsidR="00EC58B5" w:rsidRPr="00C95105" w:rsidRDefault="00EC58B5" w:rsidP="00532791">
            <w:pPr>
              <w:spacing w:after="120"/>
              <w:ind w:left="284"/>
              <w:rPr>
                <w:rFonts w:asciiTheme="minorHAnsi" w:hAnsiTheme="minorHAnsi" w:cstheme="minorHAnsi"/>
                <w:bCs/>
                <w:sz w:val="22"/>
                <w:szCs w:val="22"/>
              </w:rPr>
            </w:pPr>
          </w:p>
          <w:p w14:paraId="608634BC" w14:textId="77777777" w:rsidR="00EC58B5" w:rsidRPr="00C95105" w:rsidRDefault="00EC58B5" w:rsidP="00532791">
            <w:pPr>
              <w:spacing w:after="120"/>
              <w:ind w:left="284"/>
              <w:rPr>
                <w:rFonts w:asciiTheme="minorHAnsi" w:hAnsiTheme="minorHAnsi" w:cstheme="minorHAnsi"/>
                <w:bCs/>
                <w:sz w:val="22"/>
                <w:szCs w:val="22"/>
              </w:rPr>
            </w:pPr>
          </w:p>
          <w:p w14:paraId="17A1EF9C" w14:textId="77777777" w:rsidR="00EC58B5" w:rsidRPr="00C95105" w:rsidRDefault="00EC58B5" w:rsidP="00532791">
            <w:pPr>
              <w:spacing w:after="120"/>
              <w:ind w:left="284"/>
              <w:rPr>
                <w:rFonts w:asciiTheme="minorHAnsi" w:hAnsiTheme="minorHAnsi" w:cstheme="minorHAnsi"/>
                <w:bCs/>
                <w:sz w:val="22"/>
                <w:szCs w:val="22"/>
              </w:rPr>
            </w:pPr>
          </w:p>
          <w:p w14:paraId="3A71E8F2" w14:textId="77777777" w:rsidR="00EC58B5" w:rsidRPr="00C95105" w:rsidRDefault="00EC58B5" w:rsidP="00532791">
            <w:pPr>
              <w:spacing w:after="120"/>
              <w:ind w:left="284"/>
              <w:rPr>
                <w:rFonts w:asciiTheme="minorHAnsi" w:hAnsiTheme="minorHAnsi" w:cstheme="minorHAnsi"/>
                <w:bCs/>
                <w:sz w:val="22"/>
                <w:szCs w:val="22"/>
              </w:rPr>
            </w:pPr>
          </w:p>
          <w:p w14:paraId="3F026B60" w14:textId="77777777" w:rsidR="00EC58B5" w:rsidRPr="00C95105" w:rsidRDefault="00EC58B5" w:rsidP="00532791">
            <w:pPr>
              <w:spacing w:after="120"/>
              <w:ind w:left="284"/>
              <w:rPr>
                <w:rFonts w:asciiTheme="minorHAnsi" w:hAnsiTheme="minorHAnsi" w:cstheme="minorHAnsi"/>
                <w:bCs/>
                <w:sz w:val="22"/>
                <w:szCs w:val="22"/>
              </w:rPr>
            </w:pPr>
          </w:p>
          <w:p w14:paraId="5ADE0516" w14:textId="77777777" w:rsidR="00EC58B5" w:rsidRPr="00C95105" w:rsidRDefault="00EC58B5" w:rsidP="00532791">
            <w:pPr>
              <w:spacing w:after="120"/>
              <w:ind w:left="284"/>
              <w:rPr>
                <w:rFonts w:asciiTheme="minorHAnsi" w:hAnsiTheme="minorHAnsi" w:cstheme="minorHAnsi"/>
                <w:bCs/>
                <w:sz w:val="22"/>
                <w:szCs w:val="22"/>
              </w:rPr>
            </w:pPr>
          </w:p>
          <w:p w14:paraId="1275F436" w14:textId="77777777" w:rsidR="00EC58B5" w:rsidRPr="00C95105" w:rsidRDefault="00EC58B5" w:rsidP="00532791">
            <w:pPr>
              <w:spacing w:after="120"/>
              <w:ind w:left="284"/>
              <w:rPr>
                <w:rFonts w:asciiTheme="minorHAnsi" w:hAnsiTheme="minorHAnsi" w:cstheme="minorHAnsi"/>
                <w:bCs/>
                <w:sz w:val="22"/>
                <w:szCs w:val="22"/>
              </w:rPr>
            </w:pPr>
          </w:p>
          <w:p w14:paraId="52267F94" w14:textId="77777777" w:rsidR="00EC58B5" w:rsidRPr="00C95105" w:rsidRDefault="00EC58B5" w:rsidP="00532791">
            <w:pPr>
              <w:spacing w:after="120"/>
              <w:ind w:left="284"/>
              <w:rPr>
                <w:rFonts w:asciiTheme="minorHAnsi" w:hAnsiTheme="minorHAnsi" w:cstheme="minorHAnsi"/>
                <w:bCs/>
                <w:sz w:val="22"/>
                <w:szCs w:val="22"/>
              </w:rPr>
            </w:pPr>
          </w:p>
          <w:p w14:paraId="29F920F1" w14:textId="77777777" w:rsidR="00EC58B5" w:rsidRPr="00C95105" w:rsidRDefault="00EC58B5" w:rsidP="00532791">
            <w:pPr>
              <w:spacing w:after="120"/>
              <w:ind w:left="284"/>
              <w:rPr>
                <w:rFonts w:asciiTheme="minorHAnsi" w:hAnsiTheme="minorHAnsi" w:cstheme="minorHAnsi"/>
                <w:bCs/>
                <w:sz w:val="22"/>
                <w:szCs w:val="22"/>
              </w:rPr>
            </w:pPr>
          </w:p>
          <w:p w14:paraId="55717EAA" w14:textId="77777777" w:rsidR="00EC58B5" w:rsidRPr="00C95105" w:rsidRDefault="00EC58B5" w:rsidP="00532791">
            <w:pPr>
              <w:spacing w:after="120"/>
              <w:ind w:left="284"/>
              <w:rPr>
                <w:rFonts w:asciiTheme="minorHAnsi" w:hAnsiTheme="minorHAnsi" w:cstheme="minorHAnsi"/>
                <w:bCs/>
                <w:sz w:val="22"/>
                <w:szCs w:val="22"/>
              </w:rPr>
            </w:pPr>
          </w:p>
          <w:p w14:paraId="7E1513AD" w14:textId="77777777" w:rsidR="00EC58B5" w:rsidRPr="00C95105" w:rsidRDefault="00EC58B5" w:rsidP="00532791">
            <w:pPr>
              <w:spacing w:after="120"/>
              <w:ind w:left="284"/>
              <w:rPr>
                <w:rFonts w:asciiTheme="minorHAnsi" w:hAnsiTheme="minorHAnsi" w:cstheme="minorHAnsi"/>
                <w:bCs/>
                <w:sz w:val="22"/>
                <w:szCs w:val="22"/>
              </w:rPr>
            </w:pPr>
          </w:p>
          <w:p w14:paraId="09A0BE79" w14:textId="77777777" w:rsidR="00EC58B5" w:rsidRPr="00C95105" w:rsidRDefault="00EC58B5" w:rsidP="00532791">
            <w:pPr>
              <w:spacing w:after="120"/>
              <w:rPr>
                <w:rFonts w:asciiTheme="minorHAnsi" w:hAnsiTheme="minorHAnsi" w:cstheme="minorHAnsi"/>
                <w:bCs/>
                <w:sz w:val="22"/>
                <w:szCs w:val="22"/>
              </w:rPr>
            </w:pPr>
          </w:p>
          <w:p w14:paraId="76B7EDB6"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bottom w:val="nil"/>
            </w:tcBorders>
          </w:tcPr>
          <w:p w14:paraId="09276372"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Gender equality should be recognised as a value of an organisation, and a desirable goal. Where board quotas are in place, they must be communicated and understood as an important and positive means of achieving this goal. This may be conveyed by statements in annual reports of commitment to gender equality and reporting on progress on gender quality issues such as gender pay gaps, childcare, paid leave, flexibility and sexual discrimination and harassment. Positive messaging from board directors and senior managers regarding the benefits of gender quotas and female representation in leadership should aim to negate false dichotomies drawn between gender equality and meritocracy.</w:t>
            </w:r>
          </w:p>
        </w:tc>
      </w:tr>
      <w:tr w:rsidR="00EC58B5" w:rsidRPr="00C95105" w14:paraId="77C585F9" w14:textId="77777777" w:rsidTr="00532791">
        <w:tc>
          <w:tcPr>
            <w:tcW w:w="1838" w:type="dxa"/>
            <w:tcBorders>
              <w:top w:val="nil"/>
              <w:bottom w:val="nil"/>
            </w:tcBorders>
          </w:tcPr>
          <w:p w14:paraId="00726DFD"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nil"/>
              <w:bottom w:val="single" w:sz="4" w:space="0" w:color="auto"/>
            </w:tcBorders>
          </w:tcPr>
          <w:p w14:paraId="40F23723"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bottom w:val="nil"/>
            </w:tcBorders>
          </w:tcPr>
          <w:p w14:paraId="273A0459"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Gender quotas are likely to be more effective when men in leadership roles champion gender equality broadly, but also the legitimacy and competence of the women they work alongside.</w:t>
            </w:r>
          </w:p>
        </w:tc>
      </w:tr>
      <w:tr w:rsidR="00EC58B5" w:rsidRPr="00C95105" w14:paraId="28534AAD" w14:textId="77777777" w:rsidTr="00532791">
        <w:tc>
          <w:tcPr>
            <w:tcW w:w="1838" w:type="dxa"/>
            <w:tcBorders>
              <w:top w:val="nil"/>
              <w:bottom w:val="single" w:sz="4" w:space="0" w:color="auto"/>
            </w:tcBorders>
          </w:tcPr>
          <w:p w14:paraId="6FB191C6"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bottom w:val="single" w:sz="4" w:space="0" w:color="auto"/>
            </w:tcBorders>
          </w:tcPr>
          <w:p w14:paraId="0A323D90"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Evidence is mixed on the exact proportion of women on boards required to progress gender equality, however it converges on the need for more women rather than less. While some research suggests a minimum </w:t>
            </w:r>
            <w:r w:rsidRPr="00C95105">
              <w:rPr>
                <w:rFonts w:asciiTheme="minorHAnsi" w:hAnsiTheme="minorHAnsi" w:cstheme="minorHAnsi"/>
                <w:bCs/>
                <w:sz w:val="22"/>
                <w:szCs w:val="22"/>
              </w:rPr>
              <w:lastRenderedPageBreak/>
              <w:t xml:space="preserve">of 33% (one-third) of board members should be women, other lines of inquiry indicate that on smaller boards especially, a minimum of three women are required to achieve the necessary critical mass to achieve tangible improvements in gender equality. </w:t>
            </w:r>
          </w:p>
        </w:tc>
        <w:tc>
          <w:tcPr>
            <w:tcW w:w="3586" w:type="dxa"/>
            <w:tcBorders>
              <w:top w:val="single" w:sz="4" w:space="0" w:color="auto"/>
              <w:bottom w:val="single" w:sz="4" w:space="0" w:color="auto"/>
            </w:tcBorders>
          </w:tcPr>
          <w:p w14:paraId="44706EB1"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lastRenderedPageBreak/>
              <w:t xml:space="preserve">To make meaningful progress toward gender equality there should be no fewer than three women on boards of any size. On larger boards, women should represent at least one third of directors, however, larger quotas of </w:t>
            </w:r>
            <w:r w:rsidRPr="00C95105">
              <w:rPr>
                <w:rFonts w:asciiTheme="minorHAnsi" w:hAnsiTheme="minorHAnsi" w:cstheme="minorHAnsi"/>
                <w:bCs/>
                <w:sz w:val="22"/>
                <w:szCs w:val="22"/>
              </w:rPr>
              <w:lastRenderedPageBreak/>
              <w:t>40-50% are likely to be more effective.</w:t>
            </w:r>
          </w:p>
        </w:tc>
      </w:tr>
      <w:tr w:rsidR="00EC58B5" w:rsidRPr="00C95105" w14:paraId="511F27CC" w14:textId="77777777" w:rsidTr="00532791">
        <w:tc>
          <w:tcPr>
            <w:tcW w:w="1838" w:type="dxa"/>
            <w:tcBorders>
              <w:top w:val="single" w:sz="4" w:space="0" w:color="auto"/>
              <w:bottom w:val="nil"/>
            </w:tcBorders>
          </w:tcPr>
          <w:p w14:paraId="1E64A88A"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lastRenderedPageBreak/>
              <w:t xml:space="preserve">Visibility of female leaders </w:t>
            </w:r>
          </w:p>
        </w:tc>
        <w:tc>
          <w:tcPr>
            <w:tcW w:w="3586" w:type="dxa"/>
            <w:tcBorders>
              <w:top w:val="single" w:sz="4" w:space="0" w:color="auto"/>
              <w:bottom w:val="nil"/>
            </w:tcBorders>
          </w:tcPr>
          <w:p w14:paraId="16A279DF"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Early evidence suggests that the implementation of electoral quotas may increase the visibility of female candidates and leaders.</w:t>
            </w:r>
          </w:p>
          <w:p w14:paraId="722A1B47"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bottom w:val="nil"/>
            </w:tcBorders>
          </w:tcPr>
          <w:p w14:paraId="546566A2"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 xml:space="preserve">The implementation of gender quotas and visibility of women leaders may interact to increase gender equality. While gender quotas make it more likely female candidates will receive coverage, heightened visibility via both direct engagement with constituents and media coverage also accelerates positive shifts in perceptions of women in leadership. </w:t>
            </w:r>
          </w:p>
        </w:tc>
      </w:tr>
      <w:tr w:rsidR="00EC58B5" w:rsidRPr="00C95105" w14:paraId="06121F7B" w14:textId="77777777" w:rsidTr="00532791">
        <w:tc>
          <w:tcPr>
            <w:tcW w:w="1838" w:type="dxa"/>
            <w:tcBorders>
              <w:top w:val="nil"/>
              <w:bottom w:val="nil"/>
            </w:tcBorders>
          </w:tcPr>
          <w:p w14:paraId="334699DF"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bottom w:val="nil"/>
            </w:tcBorders>
          </w:tcPr>
          <w:p w14:paraId="3689D4E8"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Although increased visibility plays a key role in progressing gender equality, sexist coverage acts as a barrier to women pursuing leadership roles.</w:t>
            </w:r>
          </w:p>
          <w:p w14:paraId="60B99A67"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bottom w:val="single" w:sz="4" w:space="0" w:color="auto"/>
            </w:tcBorders>
          </w:tcPr>
          <w:p w14:paraId="4B653E41"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 xml:space="preserve">Content of media coverage should be monitored, and mechanisms put in place to ensure women are subject to fair coverage and treatment by the media. Although evidence-based strategies to combat media sexism are beyond the scope of this report, potential measures may include the incorporation of gender-fair principles into the codes of conduct regulating Australian media, while simultaneously strengthening enforcement approaches to code breaches. </w:t>
            </w:r>
          </w:p>
        </w:tc>
      </w:tr>
      <w:tr w:rsidR="00EC58B5" w:rsidRPr="00C95105" w14:paraId="5A6ECBC0" w14:textId="77777777" w:rsidTr="00532791">
        <w:tc>
          <w:tcPr>
            <w:tcW w:w="1838" w:type="dxa"/>
            <w:tcBorders>
              <w:top w:val="nil"/>
              <w:bottom w:val="single" w:sz="4" w:space="0" w:color="auto"/>
            </w:tcBorders>
          </w:tcPr>
          <w:p w14:paraId="004E5953"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nil"/>
              <w:bottom w:val="single" w:sz="4" w:space="0" w:color="auto"/>
            </w:tcBorders>
          </w:tcPr>
          <w:p w14:paraId="58C57C00"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bottom w:val="single" w:sz="4" w:space="0" w:color="auto"/>
            </w:tcBorders>
          </w:tcPr>
          <w:p w14:paraId="2B32E458"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Within the public sector, there should be clear protocols for the equal and fair portrayal of women in government publications and transparent processes of compliance.</w:t>
            </w:r>
          </w:p>
        </w:tc>
      </w:tr>
      <w:tr w:rsidR="00EC58B5" w:rsidRPr="00C95105" w14:paraId="2A505531" w14:textId="77777777" w:rsidTr="00532791">
        <w:tc>
          <w:tcPr>
            <w:tcW w:w="1838" w:type="dxa"/>
            <w:tcBorders>
              <w:top w:val="single" w:sz="4" w:space="0" w:color="auto"/>
              <w:bottom w:val="nil"/>
            </w:tcBorders>
          </w:tcPr>
          <w:p w14:paraId="678B5F09"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Women’s attitudes and experiences</w:t>
            </w:r>
          </w:p>
        </w:tc>
        <w:tc>
          <w:tcPr>
            <w:tcW w:w="3586" w:type="dxa"/>
            <w:tcBorders>
              <w:top w:val="single" w:sz="4" w:space="0" w:color="auto"/>
              <w:bottom w:val="nil"/>
            </w:tcBorders>
          </w:tcPr>
          <w:p w14:paraId="68C9D7C0"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Increases in women’s parliamentary representation as a result of gender quotas, have a positive effect on women’s understanding and engagement with politics, and their trust in the electoral process.</w:t>
            </w:r>
          </w:p>
          <w:p w14:paraId="2266C7C7" w14:textId="77777777" w:rsidR="00EC58B5" w:rsidRPr="00C95105" w:rsidRDefault="00EC58B5" w:rsidP="00532791">
            <w:pPr>
              <w:spacing w:after="120"/>
              <w:ind w:left="284"/>
              <w:rPr>
                <w:rFonts w:asciiTheme="minorHAnsi" w:hAnsiTheme="minorHAnsi" w:cstheme="minorHAnsi"/>
                <w:bCs/>
                <w:sz w:val="22"/>
                <w:szCs w:val="22"/>
              </w:rPr>
            </w:pPr>
          </w:p>
        </w:tc>
        <w:tc>
          <w:tcPr>
            <w:tcW w:w="3586" w:type="dxa"/>
            <w:tcBorders>
              <w:top w:val="single" w:sz="4" w:space="0" w:color="auto"/>
              <w:bottom w:val="single" w:sz="4" w:space="0" w:color="auto"/>
            </w:tcBorders>
          </w:tcPr>
          <w:p w14:paraId="5C0AEDC4" w14:textId="6AC4AD3D" w:rsidR="00EC58B5" w:rsidRPr="00C95105" w:rsidRDefault="00EC58B5" w:rsidP="00532791">
            <w:pPr>
              <w:spacing w:after="120"/>
              <w:contextualSpacing/>
              <w:rPr>
                <w:rFonts w:asciiTheme="minorHAnsi" w:hAnsiTheme="minorHAnsi" w:cstheme="minorHAnsi"/>
                <w:sz w:val="22"/>
                <w:szCs w:val="22"/>
              </w:rPr>
            </w:pPr>
            <w:r w:rsidRPr="00C95105">
              <w:rPr>
                <w:rFonts w:asciiTheme="minorHAnsi" w:hAnsiTheme="minorHAnsi" w:cstheme="minorHAnsi"/>
                <w:sz w:val="22"/>
                <w:szCs w:val="22"/>
              </w:rPr>
              <w:t>Active interventions to increase women’s representation in leadership, such as through quotas, promotion and retention processes, and increasing visibility, will likely increase women’s trust in, and engagement with, government service provision. This has the potential to strengthen policy impact across a wide range of areas not limited to gender issues.</w:t>
            </w:r>
          </w:p>
        </w:tc>
      </w:tr>
      <w:tr w:rsidR="00EC58B5" w:rsidRPr="00C95105" w14:paraId="622D0C2D" w14:textId="77777777" w:rsidTr="00532791">
        <w:tc>
          <w:tcPr>
            <w:tcW w:w="1838" w:type="dxa"/>
            <w:tcBorders>
              <w:top w:val="nil"/>
            </w:tcBorders>
          </w:tcPr>
          <w:p w14:paraId="66E0FC3C"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nil"/>
            </w:tcBorders>
          </w:tcPr>
          <w:p w14:paraId="603975EB"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tcBorders>
          </w:tcPr>
          <w:p w14:paraId="176D9655" w14:textId="77777777" w:rsidR="00EC58B5" w:rsidRPr="00C95105" w:rsidRDefault="00EC58B5" w:rsidP="00532791">
            <w:pPr>
              <w:spacing w:after="120"/>
              <w:contextualSpacing/>
              <w:rPr>
                <w:rFonts w:asciiTheme="minorHAnsi" w:hAnsiTheme="minorHAnsi" w:cstheme="minorHAnsi"/>
                <w:sz w:val="22"/>
                <w:szCs w:val="22"/>
              </w:rPr>
            </w:pPr>
            <w:r w:rsidRPr="00C95105">
              <w:rPr>
                <w:rFonts w:asciiTheme="minorHAnsi" w:hAnsiTheme="minorHAnsi" w:cstheme="minorHAnsi"/>
                <w:sz w:val="22"/>
                <w:szCs w:val="22"/>
              </w:rPr>
              <w:t>Active interventions to increase women’s representation in leadership, such as through quotas, promotion and retention processes, and increasing visibility will likely contribute to the engagement and confidence necessary for more women to pursue leadership roles in the future.</w:t>
            </w:r>
          </w:p>
        </w:tc>
      </w:tr>
    </w:tbl>
    <w:p w14:paraId="7538F741" w14:textId="77777777" w:rsidR="00EC58B5" w:rsidRPr="00C95105" w:rsidRDefault="00EC58B5" w:rsidP="00EC58B5">
      <w:pPr>
        <w:spacing w:after="120"/>
        <w:rPr>
          <w:rFonts w:asciiTheme="minorHAnsi" w:hAnsiTheme="minorHAnsi" w:cstheme="minorHAnsi"/>
          <w:sz w:val="22"/>
          <w:szCs w:val="22"/>
        </w:rPr>
      </w:pPr>
    </w:p>
    <w:p w14:paraId="257281CF" w14:textId="77777777" w:rsidR="00EC58B5" w:rsidRPr="00C95105" w:rsidRDefault="00EC58B5" w:rsidP="00756FF3">
      <w:pPr>
        <w:pStyle w:val="Heading3"/>
        <w:numPr>
          <w:ilvl w:val="2"/>
          <w:numId w:val="35"/>
        </w:numPr>
        <w:spacing w:before="0" w:after="120"/>
        <w:ind w:left="567" w:hanging="567"/>
        <w:rPr>
          <w:rFonts w:asciiTheme="minorHAnsi" w:hAnsiTheme="minorHAnsi" w:cstheme="minorHAnsi"/>
          <w:b/>
          <w:bCs/>
          <w:i/>
          <w:iCs/>
          <w:color w:val="2F5496" w:themeColor="accent1" w:themeShade="BF"/>
          <w:sz w:val="22"/>
          <w:szCs w:val="22"/>
        </w:rPr>
      </w:pPr>
      <w:bookmarkStart w:id="587" w:name="_Toc96957745"/>
      <w:r w:rsidRPr="00C95105">
        <w:rPr>
          <w:rFonts w:asciiTheme="minorHAnsi" w:hAnsiTheme="minorHAnsi" w:cstheme="minorHAnsi"/>
          <w:b/>
          <w:bCs/>
          <w:i/>
          <w:iCs/>
          <w:color w:val="2F5496" w:themeColor="accent1" w:themeShade="BF"/>
          <w:sz w:val="22"/>
          <w:szCs w:val="22"/>
        </w:rPr>
        <w:t>Outcome Category 3: Labour Market Indicators</w:t>
      </w:r>
      <w:bookmarkEnd w:id="587"/>
    </w:p>
    <w:p w14:paraId="34EAAC28" w14:textId="12A85A97" w:rsidR="00EC58B5" w:rsidRPr="00C95105" w:rsidRDefault="00EC58B5" w:rsidP="0040422D">
      <w:pPr>
        <w:spacing w:after="120"/>
        <w:ind w:firstLine="567"/>
        <w:rPr>
          <w:rFonts w:asciiTheme="minorHAnsi" w:hAnsiTheme="minorHAnsi" w:cstheme="minorHAnsi"/>
          <w:bCs/>
          <w:sz w:val="22"/>
          <w:szCs w:val="22"/>
        </w:rPr>
      </w:pPr>
      <w:r w:rsidRPr="00C95105">
        <w:rPr>
          <w:rFonts w:asciiTheme="minorHAnsi" w:hAnsiTheme="minorHAnsi" w:cstheme="minorHAnsi"/>
          <w:bCs/>
          <w:sz w:val="22"/>
          <w:szCs w:val="22"/>
        </w:rPr>
        <w:t>Under this outcome category we explore the potential impact of board and electoral quotas on labour market indicators of gender equality, including gender pay gaps and changes in women’s workforce participation. Such outcomes have been studied almost exclusively in the context of board quotas, with only two of the studies identified in our literature search examining whether electoral quotas have had spill</w:t>
      </w:r>
      <w:r w:rsidR="00700A12" w:rsidRPr="00C95105">
        <w:rPr>
          <w:rFonts w:asciiTheme="minorHAnsi" w:hAnsiTheme="minorHAnsi" w:cstheme="minorHAnsi"/>
          <w:bCs/>
          <w:sz w:val="22"/>
          <w:szCs w:val="22"/>
        </w:rPr>
        <w:t>-</w:t>
      </w:r>
      <w:r w:rsidRPr="00C95105">
        <w:rPr>
          <w:rFonts w:asciiTheme="minorHAnsi" w:hAnsiTheme="minorHAnsi" w:cstheme="minorHAnsi"/>
          <w:bCs/>
          <w:sz w:val="22"/>
          <w:szCs w:val="22"/>
        </w:rPr>
        <w:t xml:space="preserve">over effects on women’s experiences of work. As such, most of the evidence outlined below is in relation to the impact of gender quotas for boards. </w:t>
      </w:r>
    </w:p>
    <w:p w14:paraId="29DB38B9" w14:textId="77777777" w:rsidR="00EC58B5" w:rsidRPr="00C95105" w:rsidRDefault="00EC58B5" w:rsidP="00EC58B5">
      <w:pPr>
        <w:spacing w:after="120"/>
        <w:rPr>
          <w:rFonts w:asciiTheme="minorHAnsi" w:hAnsiTheme="minorHAnsi" w:cstheme="minorHAnsi"/>
          <w:bCs/>
          <w:sz w:val="22"/>
          <w:szCs w:val="22"/>
        </w:rPr>
      </w:pPr>
    </w:p>
    <w:p w14:paraId="5A1BE1E7" w14:textId="5FA81A69" w:rsidR="00EC58B5" w:rsidRPr="00C95105" w:rsidRDefault="00EC58B5" w:rsidP="0040422D">
      <w:pPr>
        <w:pStyle w:val="TableParagraph"/>
        <w:spacing w:after="120"/>
        <w:ind w:left="0"/>
        <w:rPr>
          <w:rFonts w:asciiTheme="minorHAnsi" w:hAnsiTheme="minorHAnsi" w:cstheme="minorHAnsi"/>
          <w:lang w:val="en-AU"/>
        </w:rPr>
      </w:pPr>
      <w:bookmarkStart w:id="588" w:name="_Toc96878660"/>
      <w:r w:rsidRPr="00C95105">
        <w:rPr>
          <w:rFonts w:asciiTheme="minorHAnsi" w:hAnsiTheme="minorHAnsi" w:cstheme="minorHAnsi"/>
          <w:b/>
          <w:bCs/>
          <w:lang w:val="en-AU"/>
        </w:rPr>
        <w:t>Table 6.6.</w:t>
      </w:r>
      <w:r w:rsidRPr="00C95105">
        <w:rPr>
          <w:rFonts w:asciiTheme="minorHAnsi" w:hAnsiTheme="minorHAnsi" w:cstheme="minorHAnsi"/>
          <w:lang w:val="en-AU"/>
        </w:rPr>
        <w:t xml:space="preserve"> Evidence for Spill</w:t>
      </w:r>
      <w:r w:rsidR="00700A12" w:rsidRPr="00C95105">
        <w:rPr>
          <w:rFonts w:asciiTheme="minorHAnsi" w:hAnsiTheme="minorHAnsi" w:cstheme="minorHAnsi"/>
          <w:lang w:val="en-AU"/>
        </w:rPr>
        <w:t>-</w:t>
      </w:r>
      <w:r w:rsidRPr="00C95105">
        <w:rPr>
          <w:rFonts w:asciiTheme="minorHAnsi" w:hAnsiTheme="minorHAnsi" w:cstheme="minorHAnsi"/>
          <w:lang w:val="en-AU"/>
        </w:rPr>
        <w:t>over Effects of Leadership Targets and Quotas on Labour Market Indicators</w:t>
      </w:r>
      <w:bookmarkEnd w:id="588"/>
    </w:p>
    <w:tbl>
      <w:tblPr>
        <w:tblStyle w:val="TableGrid"/>
        <w:tblW w:w="0" w:type="auto"/>
        <w:tblLook w:val="04A0" w:firstRow="1" w:lastRow="0" w:firstColumn="1" w:lastColumn="0" w:noHBand="0" w:noVBand="1"/>
      </w:tblPr>
      <w:tblGrid>
        <w:gridCol w:w="1838"/>
        <w:gridCol w:w="3586"/>
        <w:gridCol w:w="3586"/>
      </w:tblGrid>
      <w:tr w:rsidR="00EC58B5" w:rsidRPr="00C95105" w14:paraId="4B8D4459" w14:textId="77777777" w:rsidTr="00532791">
        <w:trPr>
          <w:trHeight w:val="525"/>
          <w:tblHeader/>
        </w:trPr>
        <w:tc>
          <w:tcPr>
            <w:tcW w:w="1838" w:type="dxa"/>
            <w:tcBorders>
              <w:left w:val="nil"/>
              <w:bottom w:val="single" w:sz="4" w:space="0" w:color="auto"/>
              <w:right w:val="nil"/>
            </w:tcBorders>
            <w:vAlign w:val="center"/>
          </w:tcPr>
          <w:p w14:paraId="7AB64CCE"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Area</w:t>
            </w:r>
          </w:p>
        </w:tc>
        <w:tc>
          <w:tcPr>
            <w:tcW w:w="3586" w:type="dxa"/>
            <w:tcBorders>
              <w:left w:val="nil"/>
              <w:bottom w:val="single" w:sz="4" w:space="0" w:color="auto"/>
              <w:right w:val="nil"/>
            </w:tcBorders>
            <w:vAlign w:val="center"/>
          </w:tcPr>
          <w:p w14:paraId="3EAD7EA3"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Summary of findings</w:t>
            </w:r>
          </w:p>
        </w:tc>
        <w:tc>
          <w:tcPr>
            <w:tcW w:w="3586" w:type="dxa"/>
            <w:tcBorders>
              <w:left w:val="nil"/>
              <w:bottom w:val="single" w:sz="4" w:space="0" w:color="auto"/>
              <w:right w:val="nil"/>
            </w:tcBorders>
            <w:vAlign w:val="center"/>
          </w:tcPr>
          <w:p w14:paraId="20DFFA2D" w14:textId="77777777" w:rsidR="00EC58B5" w:rsidRPr="00C95105" w:rsidRDefault="00EC58B5" w:rsidP="00532791">
            <w:pPr>
              <w:spacing w:after="120"/>
              <w:jc w:val="center"/>
              <w:rPr>
                <w:rFonts w:asciiTheme="minorHAnsi" w:hAnsiTheme="minorHAnsi" w:cstheme="minorHAnsi"/>
                <w:b/>
                <w:color w:val="2F5496" w:themeColor="accent1" w:themeShade="BF"/>
                <w:sz w:val="22"/>
                <w:szCs w:val="22"/>
              </w:rPr>
            </w:pPr>
            <w:r w:rsidRPr="00C95105">
              <w:rPr>
                <w:rFonts w:asciiTheme="minorHAnsi" w:hAnsiTheme="minorHAnsi" w:cstheme="minorHAnsi"/>
                <w:b/>
                <w:color w:val="2F5496" w:themeColor="accent1" w:themeShade="BF"/>
                <w:sz w:val="22"/>
                <w:szCs w:val="22"/>
              </w:rPr>
              <w:t>Recommendations</w:t>
            </w:r>
          </w:p>
        </w:tc>
      </w:tr>
      <w:tr w:rsidR="00EC58B5" w:rsidRPr="00C95105" w14:paraId="30F6BA35" w14:textId="77777777" w:rsidTr="00532791">
        <w:tc>
          <w:tcPr>
            <w:tcW w:w="1838" w:type="dxa"/>
            <w:tcBorders>
              <w:left w:val="nil"/>
              <w:bottom w:val="nil"/>
              <w:right w:val="nil"/>
            </w:tcBorders>
          </w:tcPr>
          <w:p w14:paraId="0583E66C"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Women’s workforce participation</w:t>
            </w:r>
          </w:p>
        </w:tc>
        <w:tc>
          <w:tcPr>
            <w:tcW w:w="3586" w:type="dxa"/>
            <w:tcBorders>
              <w:left w:val="nil"/>
              <w:bottom w:val="nil"/>
              <w:right w:val="nil"/>
            </w:tcBorders>
          </w:tcPr>
          <w:p w14:paraId="302B79C7" w14:textId="4F0A19E4"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Within firms subject to board-level gender quotas, there is no evidence of a spill</w:t>
            </w:r>
            <w:r w:rsidR="00700A12" w:rsidRPr="00C95105">
              <w:rPr>
                <w:rFonts w:asciiTheme="minorHAnsi" w:hAnsiTheme="minorHAnsi" w:cstheme="minorHAnsi"/>
                <w:bCs/>
                <w:sz w:val="22"/>
                <w:szCs w:val="22"/>
              </w:rPr>
              <w:t>-</w:t>
            </w:r>
            <w:r w:rsidRPr="00C95105">
              <w:rPr>
                <w:rFonts w:asciiTheme="minorHAnsi" w:hAnsiTheme="minorHAnsi" w:cstheme="minorHAnsi"/>
                <w:bCs/>
                <w:sz w:val="22"/>
                <w:szCs w:val="22"/>
              </w:rPr>
              <w:t>over effect on women’s employment share, or the share of women working part-time at lower levels of the organisation.</w:t>
            </w:r>
          </w:p>
          <w:p w14:paraId="0EEB9825" w14:textId="77777777" w:rsidR="00EC58B5" w:rsidRPr="00C95105" w:rsidRDefault="00EC58B5" w:rsidP="00532791">
            <w:pPr>
              <w:spacing w:after="120"/>
              <w:rPr>
                <w:rFonts w:asciiTheme="minorHAnsi" w:hAnsiTheme="minorHAnsi" w:cstheme="minorHAnsi"/>
                <w:bCs/>
                <w:sz w:val="22"/>
                <w:szCs w:val="22"/>
              </w:rPr>
            </w:pPr>
          </w:p>
          <w:p w14:paraId="7F38768A" w14:textId="77777777" w:rsidR="00EC58B5" w:rsidRPr="00C95105" w:rsidRDefault="00EC58B5" w:rsidP="00532791">
            <w:pPr>
              <w:spacing w:after="120"/>
              <w:ind w:left="284" w:hanging="284"/>
              <w:rPr>
                <w:rFonts w:asciiTheme="minorHAnsi" w:hAnsiTheme="minorHAnsi" w:cstheme="minorHAnsi"/>
                <w:bCs/>
                <w:sz w:val="22"/>
                <w:szCs w:val="22"/>
              </w:rPr>
            </w:pPr>
          </w:p>
          <w:p w14:paraId="342887B1" w14:textId="77777777" w:rsidR="00EC58B5" w:rsidRPr="00C95105" w:rsidRDefault="00EC58B5" w:rsidP="00532791">
            <w:pPr>
              <w:spacing w:after="120"/>
              <w:ind w:left="284" w:hanging="284"/>
              <w:rPr>
                <w:rFonts w:asciiTheme="minorHAnsi" w:hAnsiTheme="minorHAnsi" w:cstheme="minorHAnsi"/>
                <w:bCs/>
                <w:sz w:val="22"/>
                <w:szCs w:val="22"/>
              </w:rPr>
            </w:pPr>
          </w:p>
          <w:p w14:paraId="11EA5903" w14:textId="77777777" w:rsidR="00EC58B5" w:rsidRPr="00C95105" w:rsidRDefault="00EC58B5" w:rsidP="00532791">
            <w:pPr>
              <w:spacing w:after="120"/>
              <w:ind w:left="284" w:hanging="284"/>
              <w:rPr>
                <w:rFonts w:asciiTheme="minorHAnsi" w:hAnsiTheme="minorHAnsi" w:cstheme="minorHAnsi"/>
                <w:bCs/>
                <w:sz w:val="22"/>
                <w:szCs w:val="22"/>
              </w:rPr>
            </w:pPr>
          </w:p>
          <w:p w14:paraId="1FDC55FA" w14:textId="77777777" w:rsidR="00EC58B5" w:rsidRPr="00C95105" w:rsidRDefault="00EC58B5" w:rsidP="00532791">
            <w:pPr>
              <w:spacing w:after="120"/>
              <w:rPr>
                <w:rFonts w:asciiTheme="minorHAnsi" w:hAnsiTheme="minorHAnsi" w:cstheme="minorHAnsi"/>
                <w:bCs/>
                <w:sz w:val="22"/>
                <w:szCs w:val="22"/>
              </w:rPr>
            </w:pPr>
          </w:p>
        </w:tc>
        <w:tc>
          <w:tcPr>
            <w:tcW w:w="3586" w:type="dxa"/>
            <w:tcBorders>
              <w:left w:val="nil"/>
              <w:bottom w:val="nil"/>
              <w:right w:val="nil"/>
            </w:tcBorders>
          </w:tcPr>
          <w:p w14:paraId="62DB1961"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Leadership gender quotas alone are unlikely to be an effective tool to close disparities in women’s broader workforce participation, at least in the short to medium term.</w:t>
            </w:r>
          </w:p>
          <w:p w14:paraId="0A699BF9" w14:textId="77777777" w:rsidR="00EC58B5" w:rsidRPr="00C95105" w:rsidRDefault="00EC58B5" w:rsidP="00532791">
            <w:pPr>
              <w:spacing w:after="120"/>
              <w:contextualSpacing/>
              <w:rPr>
                <w:rFonts w:asciiTheme="minorHAnsi" w:hAnsiTheme="minorHAnsi" w:cstheme="minorHAnsi"/>
                <w:sz w:val="22"/>
                <w:szCs w:val="22"/>
              </w:rPr>
            </w:pPr>
            <w:r w:rsidRPr="00C95105">
              <w:rPr>
                <w:rFonts w:asciiTheme="minorHAnsi" w:hAnsiTheme="minorHAnsi" w:cstheme="minorHAnsi"/>
                <w:sz w:val="22"/>
                <w:szCs w:val="22"/>
              </w:rPr>
              <w:t xml:space="preserve">Increasing women’s involvement in recruiting decisions or human resources policies may increase the trickle-down effects of leadership quotas. </w:t>
            </w:r>
          </w:p>
          <w:p w14:paraId="10914AFE" w14:textId="77777777" w:rsidR="00EC58B5" w:rsidRPr="00C95105" w:rsidRDefault="00EC58B5" w:rsidP="00532791">
            <w:pPr>
              <w:spacing w:after="120"/>
              <w:contextualSpacing/>
              <w:rPr>
                <w:rFonts w:asciiTheme="minorHAnsi" w:hAnsiTheme="minorHAnsi" w:cstheme="minorHAnsi"/>
                <w:sz w:val="22"/>
                <w:szCs w:val="22"/>
              </w:rPr>
            </w:pPr>
            <w:r w:rsidRPr="00C95105">
              <w:rPr>
                <w:rFonts w:asciiTheme="minorHAnsi" w:hAnsiTheme="minorHAnsi" w:cstheme="minorHAnsi"/>
                <w:bCs/>
                <w:sz w:val="22"/>
                <w:szCs w:val="22"/>
              </w:rPr>
              <w:t xml:space="preserve">Quotas of 50% may be necessary to facilitate equal contribution of women to board decisions and influence over corporate polices. </w:t>
            </w:r>
          </w:p>
        </w:tc>
      </w:tr>
      <w:tr w:rsidR="00EC58B5" w:rsidRPr="00C95105" w14:paraId="70F9C136" w14:textId="77777777" w:rsidTr="009C47AB">
        <w:tc>
          <w:tcPr>
            <w:tcW w:w="1838" w:type="dxa"/>
            <w:tcBorders>
              <w:top w:val="nil"/>
              <w:left w:val="nil"/>
              <w:bottom w:val="nil"/>
              <w:right w:val="nil"/>
            </w:tcBorders>
          </w:tcPr>
          <w:p w14:paraId="0452451F" w14:textId="77777777" w:rsidR="00EC58B5" w:rsidRPr="00C95105" w:rsidRDefault="00EC58B5" w:rsidP="00532791">
            <w:pPr>
              <w:spacing w:after="120"/>
              <w:rPr>
                <w:rFonts w:asciiTheme="minorHAnsi" w:hAnsiTheme="minorHAnsi" w:cstheme="minorHAnsi"/>
                <w:bCs/>
                <w:sz w:val="22"/>
                <w:szCs w:val="22"/>
              </w:rPr>
            </w:pPr>
          </w:p>
        </w:tc>
        <w:tc>
          <w:tcPr>
            <w:tcW w:w="3586" w:type="dxa"/>
            <w:tcBorders>
              <w:left w:val="nil"/>
              <w:bottom w:val="nil"/>
              <w:right w:val="nil"/>
            </w:tcBorders>
          </w:tcPr>
          <w:p w14:paraId="63325CC6" w14:textId="5190214F"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The broader societal context in which leadership quotas are introduced does not influence the impact of quotas on women’s workforce participation. We fail to find spill</w:t>
            </w:r>
            <w:r w:rsidR="00700A12" w:rsidRPr="00C95105">
              <w:rPr>
                <w:rFonts w:asciiTheme="minorHAnsi" w:hAnsiTheme="minorHAnsi" w:cstheme="minorHAnsi"/>
                <w:bCs/>
                <w:sz w:val="22"/>
                <w:szCs w:val="22"/>
              </w:rPr>
              <w:t>-</w:t>
            </w:r>
            <w:r w:rsidRPr="00C95105">
              <w:rPr>
                <w:rFonts w:asciiTheme="minorHAnsi" w:hAnsiTheme="minorHAnsi" w:cstheme="minorHAnsi"/>
                <w:bCs/>
                <w:sz w:val="22"/>
                <w:szCs w:val="22"/>
              </w:rPr>
              <w:t xml:space="preserve">over effects in countries ranked highly on gender equality measures (e.g., Norway) as well as those with considerably lower rankings (e.g., France and Italy). However, there is some evidence that pre-existing </w:t>
            </w:r>
            <w:r w:rsidRPr="00C95105">
              <w:rPr>
                <w:rFonts w:asciiTheme="minorHAnsi" w:hAnsiTheme="minorHAnsi" w:cstheme="minorHAnsi"/>
                <w:bCs/>
                <w:sz w:val="22"/>
                <w:szCs w:val="22"/>
              </w:rPr>
              <w:lastRenderedPageBreak/>
              <w:t>levels of gender equality within individual organisations may contribute to a greater impact of quota implementation on women’s workforce participation in those firms.</w:t>
            </w:r>
          </w:p>
        </w:tc>
        <w:tc>
          <w:tcPr>
            <w:tcW w:w="3586" w:type="dxa"/>
            <w:tcBorders>
              <w:left w:val="nil"/>
              <w:bottom w:val="nil"/>
              <w:right w:val="nil"/>
            </w:tcBorders>
          </w:tcPr>
          <w:p w14:paraId="1E1DFFB5"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lastRenderedPageBreak/>
              <w:t xml:space="preserve">Leadership gender quotas are likely to have their greatest impact on women’s workforce participation when implemented in organisations with clear equality norms and other gender diversity initiatives in place.  </w:t>
            </w:r>
          </w:p>
          <w:p w14:paraId="7FE78C2E"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12D198D7" w14:textId="77777777" w:rsidTr="009C47AB">
        <w:tc>
          <w:tcPr>
            <w:tcW w:w="1838" w:type="dxa"/>
            <w:tcBorders>
              <w:top w:val="nil"/>
              <w:left w:val="nil"/>
              <w:bottom w:val="nil"/>
              <w:right w:val="nil"/>
            </w:tcBorders>
          </w:tcPr>
          <w:p w14:paraId="3876223D" w14:textId="77777777" w:rsidR="00EC58B5" w:rsidRPr="00C95105" w:rsidRDefault="00EC58B5" w:rsidP="00532791">
            <w:pPr>
              <w:spacing w:after="120"/>
              <w:rPr>
                <w:rFonts w:asciiTheme="minorHAnsi" w:hAnsiTheme="minorHAnsi" w:cstheme="minorHAnsi"/>
                <w:bCs/>
                <w:sz w:val="22"/>
                <w:szCs w:val="22"/>
              </w:rPr>
            </w:pPr>
          </w:p>
        </w:tc>
        <w:tc>
          <w:tcPr>
            <w:tcW w:w="3586" w:type="dxa"/>
            <w:tcBorders>
              <w:left w:val="nil"/>
              <w:bottom w:val="nil"/>
              <w:right w:val="nil"/>
            </w:tcBorders>
          </w:tcPr>
          <w:p w14:paraId="270C4E1C"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There is also no evidence that board-level or electoral gender quotas have a positive impact on women’s workforce participation in the broader jurisdiction i.e., beyond the organisations subject to the quota. While there is some evidence to suggest that women’s workforce participation does increase after the implementation of quotas, similar increases are observed in men’s participation, thereby maintaining pre-quota gender ratios in employment share. </w:t>
            </w:r>
          </w:p>
        </w:tc>
        <w:tc>
          <w:tcPr>
            <w:tcW w:w="3586" w:type="dxa"/>
            <w:tcBorders>
              <w:left w:val="nil"/>
              <w:bottom w:val="nil"/>
              <w:right w:val="nil"/>
            </w:tcBorders>
          </w:tcPr>
          <w:p w14:paraId="1E1D5ABF" w14:textId="77777777" w:rsidR="00EC58B5" w:rsidRPr="00C95105" w:rsidRDefault="00EC58B5" w:rsidP="00532791">
            <w:pPr>
              <w:spacing w:after="120"/>
              <w:contextualSpacing/>
              <w:rPr>
                <w:rFonts w:asciiTheme="minorHAnsi" w:hAnsiTheme="minorHAnsi" w:cstheme="minorHAnsi"/>
                <w:sz w:val="22"/>
                <w:szCs w:val="22"/>
              </w:rPr>
            </w:pPr>
            <w:r w:rsidRPr="00C95105">
              <w:rPr>
                <w:rFonts w:asciiTheme="minorHAnsi" w:hAnsiTheme="minorHAnsi" w:cstheme="minorHAnsi"/>
                <w:sz w:val="22"/>
                <w:szCs w:val="22"/>
              </w:rPr>
              <w:t xml:space="preserve">Any trickle-down effects of quotas are likely to be observed in longer time frames, and therefore realistic evaluation timelines should be implemented. Faster progress towards gender equality is likely to require additional policy measures (such as those examined in other sections of this report) to be implemented in concert with quotas for women in leadership roles. </w:t>
            </w:r>
          </w:p>
          <w:p w14:paraId="672F0B4E"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29063B8F" w14:textId="77777777" w:rsidTr="009C47AB">
        <w:tc>
          <w:tcPr>
            <w:tcW w:w="1838" w:type="dxa"/>
            <w:tcBorders>
              <w:top w:val="nil"/>
              <w:left w:val="nil"/>
              <w:bottom w:val="single" w:sz="4" w:space="0" w:color="auto"/>
              <w:right w:val="nil"/>
            </w:tcBorders>
          </w:tcPr>
          <w:p w14:paraId="0DE119FE" w14:textId="77777777" w:rsidR="00EC58B5" w:rsidRPr="00C95105" w:rsidRDefault="00EC58B5" w:rsidP="00532791">
            <w:pPr>
              <w:spacing w:after="120"/>
              <w:rPr>
                <w:rFonts w:asciiTheme="minorHAnsi" w:hAnsiTheme="minorHAnsi" w:cstheme="minorHAnsi"/>
                <w:bCs/>
                <w:sz w:val="22"/>
                <w:szCs w:val="22"/>
              </w:rPr>
            </w:pPr>
          </w:p>
        </w:tc>
        <w:tc>
          <w:tcPr>
            <w:tcW w:w="3586" w:type="dxa"/>
            <w:tcBorders>
              <w:left w:val="nil"/>
              <w:bottom w:val="single" w:sz="4" w:space="0" w:color="auto"/>
              <w:right w:val="nil"/>
            </w:tcBorders>
          </w:tcPr>
          <w:p w14:paraId="0FAEED5C"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Little research to date has examined the impact of electoral quotas on women’s workforce participation and the results of early studies in this area are inconclusive.</w:t>
            </w:r>
          </w:p>
        </w:tc>
        <w:tc>
          <w:tcPr>
            <w:tcW w:w="3586" w:type="dxa"/>
            <w:tcBorders>
              <w:left w:val="nil"/>
              <w:bottom w:val="single" w:sz="4" w:space="0" w:color="auto"/>
              <w:right w:val="nil"/>
            </w:tcBorders>
          </w:tcPr>
          <w:p w14:paraId="44D48BDB"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17125D37" w14:textId="77777777" w:rsidTr="00F74489">
        <w:tc>
          <w:tcPr>
            <w:tcW w:w="1838" w:type="dxa"/>
            <w:tcBorders>
              <w:top w:val="single" w:sz="4" w:space="0" w:color="auto"/>
              <w:left w:val="nil"/>
              <w:bottom w:val="nil"/>
              <w:right w:val="nil"/>
            </w:tcBorders>
          </w:tcPr>
          <w:p w14:paraId="6F279F1C"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Gender pay gap among board directors subject to the target/quota </w:t>
            </w:r>
          </w:p>
        </w:tc>
        <w:tc>
          <w:tcPr>
            <w:tcW w:w="3586" w:type="dxa"/>
            <w:vMerge w:val="restart"/>
            <w:tcBorders>
              <w:top w:val="single" w:sz="4" w:space="0" w:color="auto"/>
              <w:left w:val="nil"/>
              <w:right w:val="nil"/>
            </w:tcBorders>
          </w:tcPr>
          <w:p w14:paraId="5E0FDDEC" w14:textId="165CD6F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The impact of quotas on the gender pay gap among board members appears mixed. While in some countries (e.g., Norway and India) the pay gap between male and female board members is seen to narrow significantly after the implementation of gender quotas, in numerous other states (e.g</w:t>
            </w:r>
            <w:r w:rsidRPr="00C95105">
              <w:rPr>
                <w:rFonts w:asciiTheme="minorHAnsi" w:hAnsiTheme="minorHAnsi" w:cstheme="minorHAnsi"/>
                <w:sz w:val="22"/>
                <w:szCs w:val="22"/>
              </w:rPr>
              <w:t>.,</w:t>
            </w:r>
            <w:r w:rsidRPr="00C95105">
              <w:rPr>
                <w:rFonts w:asciiTheme="minorHAnsi" w:hAnsiTheme="minorHAnsi" w:cstheme="minorHAnsi"/>
                <w:bCs/>
                <w:sz w:val="22"/>
                <w:szCs w:val="22"/>
              </w:rPr>
              <w:t xml:space="preserve"> Germany, Italy, and France) the gender pay gap persists or even increases. This appears largely attributable to variation in women’s access to key committees that attract higher remuneration. While lack of access to such committees can, in part, be explained by potential demographic differences between women appointed under quota regimes and their male counterparts (e.g., age, experience), highly experienced female directors have also been shown to be subject to </w:t>
            </w:r>
            <w:r w:rsidRPr="00C95105">
              <w:rPr>
                <w:rFonts w:asciiTheme="minorHAnsi" w:hAnsiTheme="minorHAnsi" w:cstheme="minorHAnsi"/>
                <w:bCs/>
                <w:sz w:val="22"/>
                <w:szCs w:val="22"/>
              </w:rPr>
              <w:lastRenderedPageBreak/>
              <w:t xml:space="preserve">‘positional’ gender segregation limiting their access to powerful positions on corporate boards. </w:t>
            </w:r>
          </w:p>
        </w:tc>
        <w:tc>
          <w:tcPr>
            <w:tcW w:w="3586" w:type="dxa"/>
            <w:tcBorders>
              <w:top w:val="single" w:sz="4" w:space="0" w:color="auto"/>
              <w:left w:val="nil"/>
              <w:bottom w:val="single" w:sz="4" w:space="0" w:color="auto"/>
              <w:right w:val="nil"/>
            </w:tcBorders>
          </w:tcPr>
          <w:p w14:paraId="21C17E2E"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lastRenderedPageBreak/>
              <w:t xml:space="preserve">Meaningful progress in gender equality relies not only on the number of women in leadership roles, but on the nature of the positions they occupy. To achieve pay parity on boards it is necessary to ensure that there is not an inner ‘glass mezzanine’ that reduces women’s access to important monitoring committees, including audit and remuneration committees.  </w:t>
            </w:r>
          </w:p>
        </w:tc>
      </w:tr>
      <w:tr w:rsidR="00EC58B5" w:rsidRPr="00C95105" w14:paraId="620D9416" w14:textId="77777777" w:rsidTr="00F74489">
        <w:tc>
          <w:tcPr>
            <w:tcW w:w="1838" w:type="dxa"/>
            <w:tcBorders>
              <w:top w:val="nil"/>
              <w:left w:val="nil"/>
              <w:bottom w:val="single" w:sz="4" w:space="0" w:color="auto"/>
              <w:right w:val="nil"/>
            </w:tcBorders>
          </w:tcPr>
          <w:p w14:paraId="368ECACB" w14:textId="77777777" w:rsidR="00EC58B5" w:rsidRPr="00C95105" w:rsidRDefault="00EC58B5" w:rsidP="00532791">
            <w:pPr>
              <w:spacing w:after="120"/>
              <w:rPr>
                <w:rFonts w:asciiTheme="minorHAnsi" w:hAnsiTheme="minorHAnsi" w:cstheme="minorHAnsi"/>
                <w:bCs/>
                <w:sz w:val="22"/>
                <w:szCs w:val="22"/>
              </w:rPr>
            </w:pPr>
          </w:p>
        </w:tc>
        <w:tc>
          <w:tcPr>
            <w:tcW w:w="3586" w:type="dxa"/>
            <w:vMerge/>
            <w:tcBorders>
              <w:left w:val="nil"/>
              <w:right w:val="nil"/>
            </w:tcBorders>
          </w:tcPr>
          <w:p w14:paraId="1F068FFC"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left w:val="nil"/>
              <w:bottom w:val="single" w:sz="4" w:space="0" w:color="auto"/>
              <w:right w:val="nil"/>
            </w:tcBorders>
          </w:tcPr>
          <w:p w14:paraId="59CE7FE7" w14:textId="77777777" w:rsidR="00EC58B5" w:rsidRPr="00C95105" w:rsidRDefault="00EC58B5" w:rsidP="00532791">
            <w:pPr>
              <w:spacing w:after="120"/>
              <w:contextualSpacing/>
              <w:rPr>
                <w:rFonts w:asciiTheme="minorHAnsi" w:hAnsiTheme="minorHAnsi" w:cstheme="minorHAnsi"/>
                <w:sz w:val="22"/>
                <w:szCs w:val="22"/>
              </w:rPr>
            </w:pPr>
            <w:r w:rsidRPr="00C95105">
              <w:rPr>
                <w:rFonts w:asciiTheme="minorHAnsi" w:hAnsiTheme="minorHAnsi" w:cstheme="minorHAnsi"/>
                <w:sz w:val="22"/>
                <w:szCs w:val="22"/>
              </w:rPr>
              <w:t xml:space="preserve">Processes by which board directors are appointed to committees should be structured to avoid biases that disadvantage women. Implementing committee-level quotas requiring that at least one woman sit on each board committee may not only contribute to closing the gender pay gap among board directors, but also improve the performance of those committees.   </w:t>
            </w:r>
          </w:p>
        </w:tc>
      </w:tr>
      <w:tr w:rsidR="00EC58B5" w:rsidRPr="00C95105" w14:paraId="4208D53D" w14:textId="77777777" w:rsidTr="00532791">
        <w:tc>
          <w:tcPr>
            <w:tcW w:w="1838" w:type="dxa"/>
            <w:tcBorders>
              <w:top w:val="single" w:sz="4" w:space="0" w:color="auto"/>
              <w:left w:val="nil"/>
              <w:bottom w:val="nil"/>
              <w:right w:val="nil"/>
            </w:tcBorders>
          </w:tcPr>
          <w:p w14:paraId="3DF701A9"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Gender pay gap in executive management compensation</w:t>
            </w:r>
          </w:p>
        </w:tc>
        <w:tc>
          <w:tcPr>
            <w:tcW w:w="3586" w:type="dxa"/>
            <w:tcBorders>
              <w:top w:val="single" w:sz="4" w:space="0" w:color="auto"/>
              <w:left w:val="nil"/>
              <w:bottom w:val="single" w:sz="4" w:space="0" w:color="auto"/>
              <w:right w:val="nil"/>
            </w:tcBorders>
          </w:tcPr>
          <w:p w14:paraId="480778ED"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 xml:space="preserve">With few exceptions, the evidence suggests that gender pay gaps in executive salaries persist after the introduction of board gender quotas. However, the gender gap in managerial pay is significantly smaller in countries that have implemented board quotas than those that have not. </w:t>
            </w:r>
            <w:r w:rsidRPr="00C95105">
              <w:rPr>
                <w:rFonts w:asciiTheme="minorHAnsi" w:hAnsiTheme="minorHAnsi" w:cstheme="minorHAnsi"/>
                <w:bCs/>
                <w:sz w:val="22"/>
                <w:szCs w:val="22"/>
              </w:rPr>
              <w:t>In addition to gender pay gaps in fixed remuneration, there are often significant discrepancies between men and women in variable remuneration components such as fringe benefits, annual and multi-year bonuses, and benefit expenses.</w:t>
            </w:r>
          </w:p>
        </w:tc>
        <w:tc>
          <w:tcPr>
            <w:tcW w:w="3586" w:type="dxa"/>
            <w:tcBorders>
              <w:top w:val="single" w:sz="4" w:space="0" w:color="auto"/>
              <w:left w:val="nil"/>
              <w:bottom w:val="nil"/>
              <w:right w:val="nil"/>
            </w:tcBorders>
          </w:tcPr>
          <w:p w14:paraId="61B6EF57" w14:textId="77777777" w:rsidR="00EC58B5" w:rsidRPr="00C95105" w:rsidRDefault="00EC58B5" w:rsidP="00532791">
            <w:pPr>
              <w:spacing w:after="120"/>
              <w:contextualSpacing/>
              <w:rPr>
                <w:rFonts w:asciiTheme="minorHAnsi" w:hAnsiTheme="minorHAnsi" w:cstheme="minorHAnsi"/>
                <w:sz w:val="22"/>
                <w:szCs w:val="22"/>
              </w:rPr>
            </w:pPr>
            <w:r w:rsidRPr="00C95105">
              <w:rPr>
                <w:rFonts w:asciiTheme="minorHAnsi" w:hAnsiTheme="minorHAnsi" w:cstheme="minorHAnsi"/>
                <w:bCs/>
                <w:sz w:val="22"/>
                <w:szCs w:val="22"/>
              </w:rPr>
              <w:t xml:space="preserve">Board-level gender quotas alone are unlikely to mitigate gender pay gaps in executive management compensation. Targeted measures such as gender pay gap audits or reporting transparency will be necessary to ensure women receive the full benefit of the increases in representation facilitated by gender quotas. The Pay Equity Review prepared for this project canvasses the evidence base for strategies to tackle gender-based disparities in compensation. Any such measures must also apply to variable remuneration, including superannuation. </w:t>
            </w:r>
          </w:p>
        </w:tc>
      </w:tr>
      <w:tr w:rsidR="00EC58B5" w:rsidRPr="00C95105" w14:paraId="15120AA2" w14:textId="77777777" w:rsidTr="00532791">
        <w:tc>
          <w:tcPr>
            <w:tcW w:w="1838" w:type="dxa"/>
            <w:tcBorders>
              <w:top w:val="nil"/>
              <w:left w:val="nil"/>
              <w:bottom w:val="single" w:sz="4" w:space="0" w:color="auto"/>
              <w:right w:val="nil"/>
            </w:tcBorders>
          </w:tcPr>
          <w:p w14:paraId="67E96FEE"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left w:val="nil"/>
              <w:bottom w:val="single" w:sz="4" w:space="0" w:color="auto"/>
              <w:right w:val="nil"/>
            </w:tcBorders>
          </w:tcPr>
          <w:p w14:paraId="0177F773"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Gender pay gaps in executive salaries are largely attributable to discrimination – a failure to recognise and reward female effort - rather than differences between the genders in skills, human capital, family situation and the like. In countries that have implemented board quotas the portion of the gender pay gap accounted for by discrimination against female managers is significantly reduced.</w:t>
            </w:r>
          </w:p>
        </w:tc>
        <w:tc>
          <w:tcPr>
            <w:tcW w:w="3586" w:type="dxa"/>
            <w:tcBorders>
              <w:top w:val="single" w:sz="4" w:space="0" w:color="auto"/>
              <w:left w:val="nil"/>
              <w:bottom w:val="single" w:sz="4" w:space="0" w:color="auto"/>
              <w:right w:val="nil"/>
            </w:tcBorders>
          </w:tcPr>
          <w:p w14:paraId="725C9F29"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Approaches to implementing quotas that define and communicate organisational norms of fair and equal treatment are likely to have a stronger effect on gender pay gaps in executive compensation.</w:t>
            </w:r>
          </w:p>
          <w:p w14:paraId="6652E46D"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11A4BD38" w14:textId="77777777" w:rsidTr="00532791">
        <w:tc>
          <w:tcPr>
            <w:tcW w:w="1838" w:type="dxa"/>
            <w:tcBorders>
              <w:top w:val="single" w:sz="4" w:space="0" w:color="auto"/>
              <w:left w:val="nil"/>
              <w:bottom w:val="nil"/>
              <w:right w:val="nil"/>
            </w:tcBorders>
          </w:tcPr>
          <w:p w14:paraId="702EA4F1"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Women’s representation in executive management</w:t>
            </w:r>
          </w:p>
        </w:tc>
        <w:tc>
          <w:tcPr>
            <w:tcW w:w="3586" w:type="dxa"/>
            <w:tcBorders>
              <w:top w:val="single" w:sz="4" w:space="0" w:color="auto"/>
              <w:left w:val="nil"/>
              <w:bottom w:val="nil"/>
              <w:right w:val="nil"/>
            </w:tcBorders>
          </w:tcPr>
          <w:p w14:paraId="487AA551"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The implementation of board quotas does not appear to have had a substantial impact on women’s representation in executive management in the medium term. There is limited evidence of an increasing probability of women being appointed as executives in the immediate aftermath of quota implementation, especially in companies where the workforce was female-dominated, however the effect was weak and does not seem to be borne out by longer term data. </w:t>
            </w:r>
          </w:p>
        </w:tc>
        <w:tc>
          <w:tcPr>
            <w:tcW w:w="3586" w:type="dxa"/>
            <w:tcBorders>
              <w:top w:val="single" w:sz="4" w:space="0" w:color="auto"/>
              <w:left w:val="nil"/>
              <w:bottom w:val="single" w:sz="4" w:space="0" w:color="auto"/>
              <w:right w:val="nil"/>
            </w:tcBorders>
          </w:tcPr>
          <w:p w14:paraId="2424E055"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As previously noted, trickle-down effects of board-level gender quotas on women’s representation in executive management may take at least ten years to be observed, and realistic evaluation timelines for evaluation should be implemented.</w:t>
            </w:r>
          </w:p>
          <w:p w14:paraId="35BED06E" w14:textId="77777777" w:rsidR="00EC58B5" w:rsidRPr="00C95105" w:rsidRDefault="00EC58B5" w:rsidP="00532791">
            <w:pPr>
              <w:spacing w:after="120"/>
              <w:contextualSpacing/>
              <w:rPr>
                <w:rFonts w:asciiTheme="minorHAnsi" w:hAnsiTheme="minorHAnsi" w:cstheme="minorHAnsi"/>
                <w:bCs/>
                <w:sz w:val="22"/>
                <w:szCs w:val="22"/>
              </w:rPr>
            </w:pPr>
          </w:p>
          <w:p w14:paraId="744EE499" w14:textId="77777777" w:rsidR="00EC58B5" w:rsidRPr="00C95105" w:rsidRDefault="00EC58B5" w:rsidP="00532791">
            <w:pPr>
              <w:spacing w:after="120"/>
              <w:contextualSpacing/>
              <w:rPr>
                <w:rFonts w:asciiTheme="minorHAnsi" w:hAnsiTheme="minorHAnsi" w:cstheme="minorHAnsi"/>
                <w:bCs/>
                <w:sz w:val="22"/>
                <w:szCs w:val="22"/>
              </w:rPr>
            </w:pPr>
          </w:p>
        </w:tc>
      </w:tr>
      <w:tr w:rsidR="00EC58B5" w:rsidRPr="00C95105" w14:paraId="39B9716F" w14:textId="77777777" w:rsidTr="00532791">
        <w:tc>
          <w:tcPr>
            <w:tcW w:w="1838" w:type="dxa"/>
            <w:tcBorders>
              <w:top w:val="nil"/>
              <w:left w:val="nil"/>
              <w:bottom w:val="single" w:sz="4" w:space="0" w:color="auto"/>
              <w:right w:val="nil"/>
            </w:tcBorders>
          </w:tcPr>
          <w:p w14:paraId="77FBB5BA"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nil"/>
              <w:left w:val="nil"/>
              <w:bottom w:val="single" w:sz="4" w:space="0" w:color="auto"/>
              <w:right w:val="nil"/>
            </w:tcBorders>
          </w:tcPr>
          <w:p w14:paraId="0E779D1B"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left w:val="nil"/>
              <w:bottom w:val="single" w:sz="4" w:space="0" w:color="auto"/>
              <w:right w:val="nil"/>
            </w:tcBorders>
          </w:tcPr>
          <w:p w14:paraId="1DD2C417" w14:textId="77777777"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Governments and companies should be wary of relying solely on board-</w:t>
            </w:r>
            <w:r w:rsidRPr="00C95105">
              <w:rPr>
                <w:rFonts w:asciiTheme="minorHAnsi" w:hAnsiTheme="minorHAnsi" w:cstheme="minorHAnsi"/>
                <w:bCs/>
                <w:sz w:val="22"/>
                <w:szCs w:val="22"/>
              </w:rPr>
              <w:lastRenderedPageBreak/>
              <w:t>level quotas to address the under-representation of women in executive management. Gender quotas at multiple levels of an organisation would increase the pool of women available and qualified for management roles and accelerate progress toward gender quality.</w:t>
            </w:r>
          </w:p>
        </w:tc>
      </w:tr>
      <w:tr w:rsidR="00EC58B5" w:rsidRPr="00C95105" w14:paraId="421B4EB3" w14:textId="77777777" w:rsidTr="00532791">
        <w:tc>
          <w:tcPr>
            <w:tcW w:w="1838" w:type="dxa"/>
            <w:tcBorders>
              <w:top w:val="single" w:sz="4" w:space="0" w:color="auto"/>
              <w:left w:val="nil"/>
              <w:right w:val="nil"/>
            </w:tcBorders>
          </w:tcPr>
          <w:p w14:paraId="1A418951" w14:textId="77777777" w:rsidR="00EC58B5" w:rsidRPr="00C95105" w:rsidRDefault="00EC58B5" w:rsidP="00532791">
            <w:pPr>
              <w:spacing w:after="120"/>
              <w:rPr>
                <w:rFonts w:asciiTheme="minorHAnsi" w:hAnsiTheme="minorHAnsi" w:cstheme="minorHAnsi"/>
                <w:bCs/>
                <w:sz w:val="22"/>
                <w:szCs w:val="22"/>
              </w:rPr>
            </w:pPr>
            <w:r w:rsidRPr="00C95105">
              <w:rPr>
                <w:rFonts w:asciiTheme="minorHAnsi" w:hAnsiTheme="minorHAnsi" w:cstheme="minorHAnsi"/>
                <w:bCs/>
                <w:sz w:val="22"/>
                <w:szCs w:val="22"/>
              </w:rPr>
              <w:lastRenderedPageBreak/>
              <w:t>Gender gap in rates of application</w:t>
            </w:r>
          </w:p>
        </w:tc>
        <w:tc>
          <w:tcPr>
            <w:tcW w:w="3586" w:type="dxa"/>
            <w:tcBorders>
              <w:top w:val="single" w:sz="4" w:space="0" w:color="auto"/>
              <w:left w:val="nil"/>
              <w:right w:val="nil"/>
            </w:tcBorders>
          </w:tcPr>
          <w:p w14:paraId="5F3DA1AB"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A single experimental study investigating the effect of gender quotas on women’s willingness to apply for entry- and top-level positions found that implementing quotas solely at the entry-level discouraged women from applying, whereas quotas at either the top-level alone or both entry- and top-level promoted parity in rates of application between men and women.</w:t>
            </w:r>
          </w:p>
          <w:p w14:paraId="5A7014A1" w14:textId="77777777" w:rsidR="00EC58B5" w:rsidRPr="00C95105" w:rsidRDefault="00EC58B5" w:rsidP="00532791">
            <w:pPr>
              <w:spacing w:after="120"/>
              <w:rPr>
                <w:rFonts w:asciiTheme="minorHAnsi" w:hAnsiTheme="minorHAnsi" w:cstheme="minorHAnsi"/>
                <w:sz w:val="22"/>
                <w:szCs w:val="22"/>
              </w:rPr>
            </w:pPr>
          </w:p>
          <w:p w14:paraId="18D459D4" w14:textId="77777777" w:rsidR="00EC58B5" w:rsidRPr="00C95105" w:rsidRDefault="00EC58B5" w:rsidP="00532791">
            <w:pPr>
              <w:spacing w:after="120"/>
              <w:rPr>
                <w:rFonts w:asciiTheme="minorHAnsi" w:hAnsiTheme="minorHAnsi" w:cstheme="minorHAnsi"/>
                <w:bCs/>
                <w:sz w:val="22"/>
                <w:szCs w:val="22"/>
              </w:rPr>
            </w:pPr>
          </w:p>
        </w:tc>
        <w:tc>
          <w:tcPr>
            <w:tcW w:w="3586" w:type="dxa"/>
            <w:tcBorders>
              <w:top w:val="single" w:sz="4" w:space="0" w:color="auto"/>
              <w:left w:val="nil"/>
              <w:right w:val="nil"/>
            </w:tcBorders>
          </w:tcPr>
          <w:p w14:paraId="2586DEBA" w14:textId="215AB99B" w:rsidR="00EC58B5" w:rsidRPr="00C95105" w:rsidRDefault="00EC58B5" w:rsidP="00532791">
            <w:pPr>
              <w:spacing w:after="120"/>
              <w:contextualSpacing/>
              <w:rPr>
                <w:rFonts w:asciiTheme="minorHAnsi" w:hAnsiTheme="minorHAnsi" w:cstheme="minorHAnsi"/>
                <w:bCs/>
                <w:sz w:val="22"/>
                <w:szCs w:val="22"/>
              </w:rPr>
            </w:pPr>
            <w:r w:rsidRPr="00C95105">
              <w:rPr>
                <w:rFonts w:asciiTheme="minorHAnsi" w:hAnsiTheme="minorHAnsi" w:cstheme="minorHAnsi"/>
                <w:bCs/>
                <w:sz w:val="22"/>
                <w:szCs w:val="22"/>
              </w:rPr>
              <w:t>Although the evidence presented in this table suggests board-level quotas may not have strong spill</w:t>
            </w:r>
            <w:r w:rsidR="00700A12" w:rsidRPr="00C95105">
              <w:rPr>
                <w:rFonts w:asciiTheme="minorHAnsi" w:hAnsiTheme="minorHAnsi" w:cstheme="minorHAnsi"/>
                <w:bCs/>
                <w:sz w:val="22"/>
                <w:szCs w:val="22"/>
              </w:rPr>
              <w:t>-</w:t>
            </w:r>
            <w:r w:rsidRPr="00C95105">
              <w:rPr>
                <w:rFonts w:asciiTheme="minorHAnsi" w:hAnsiTheme="minorHAnsi" w:cstheme="minorHAnsi"/>
                <w:bCs/>
                <w:sz w:val="22"/>
                <w:szCs w:val="22"/>
              </w:rPr>
              <w:t>over effects on other indicators of gender equality, this work cautions against abandoning board quotas in favour of entry-level quotas. Board quotas have the capacity to encourage women to climb the corporate ladder, however additional policy approaches such as entry- and mid-level gender quotas and pay equity strategies will be necessary for them to enjoy gender equality as they do so.</w:t>
            </w:r>
          </w:p>
        </w:tc>
      </w:tr>
    </w:tbl>
    <w:p w14:paraId="1FC3BDB3" w14:textId="77777777" w:rsidR="00EC58B5" w:rsidRDefault="00EC58B5" w:rsidP="006757E6"/>
    <w:p w14:paraId="64F289BD" w14:textId="77777777" w:rsidR="006757E6" w:rsidRPr="00C95105" w:rsidRDefault="006757E6" w:rsidP="006757E6"/>
    <w:p w14:paraId="6607B574" w14:textId="77777777" w:rsidR="009C47AB" w:rsidRDefault="009C47AB" w:rsidP="006757E6"/>
    <w:p w14:paraId="3351436F" w14:textId="2AF7C82F" w:rsidR="00EC58B5" w:rsidRPr="00C95105" w:rsidRDefault="00EC58B5" w:rsidP="00756FF3">
      <w:pPr>
        <w:pStyle w:val="Heading2"/>
        <w:numPr>
          <w:ilvl w:val="1"/>
          <w:numId w:val="35"/>
        </w:numPr>
        <w:spacing w:before="0" w:after="120"/>
        <w:ind w:left="426" w:hanging="426"/>
        <w:rPr>
          <w:rFonts w:asciiTheme="minorHAnsi" w:hAnsiTheme="minorHAnsi" w:cstheme="minorHAnsi"/>
          <w:b/>
          <w:bCs/>
        </w:rPr>
      </w:pPr>
      <w:bookmarkStart w:id="589" w:name="_Toc96957746"/>
      <w:r w:rsidRPr="00C95105">
        <w:rPr>
          <w:rFonts w:asciiTheme="minorHAnsi" w:hAnsiTheme="minorHAnsi" w:cstheme="minorHAnsi"/>
          <w:b/>
          <w:bCs/>
        </w:rPr>
        <w:t xml:space="preserve">A </w:t>
      </w:r>
      <w:r w:rsidR="0040422D" w:rsidRPr="00C95105">
        <w:rPr>
          <w:rFonts w:asciiTheme="minorHAnsi" w:hAnsiTheme="minorHAnsi" w:cstheme="minorHAnsi"/>
          <w:b/>
          <w:bCs/>
        </w:rPr>
        <w:t>R</w:t>
      </w:r>
      <w:r w:rsidRPr="00C95105">
        <w:rPr>
          <w:rFonts w:asciiTheme="minorHAnsi" w:hAnsiTheme="minorHAnsi" w:cstheme="minorHAnsi"/>
          <w:b/>
          <w:bCs/>
        </w:rPr>
        <w:t xml:space="preserve">oadmap for </w:t>
      </w:r>
      <w:r w:rsidR="0040422D" w:rsidRPr="00C95105">
        <w:rPr>
          <w:rFonts w:asciiTheme="minorHAnsi" w:hAnsiTheme="minorHAnsi" w:cstheme="minorHAnsi"/>
          <w:b/>
          <w:bCs/>
        </w:rPr>
        <w:t>A</w:t>
      </w:r>
      <w:r w:rsidRPr="00C95105">
        <w:rPr>
          <w:rFonts w:asciiTheme="minorHAnsi" w:hAnsiTheme="minorHAnsi" w:cstheme="minorHAnsi"/>
          <w:b/>
          <w:bCs/>
        </w:rPr>
        <w:t>ction</w:t>
      </w:r>
      <w:bookmarkEnd w:id="589"/>
    </w:p>
    <w:p w14:paraId="4F94D722" w14:textId="77777777" w:rsidR="00EC58B5" w:rsidRPr="00C95105" w:rsidRDefault="00EC58B5" w:rsidP="0040422D">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In this review we systematically examined the evidence for the impact of leadership quotas on gender equality outcomes beyond numerical representation of women. Three classes of outcomes were examined:</w:t>
      </w:r>
    </w:p>
    <w:p w14:paraId="1C0E1D14" w14:textId="77777777" w:rsidR="00EC58B5" w:rsidRPr="00C95105" w:rsidRDefault="00EC58B5" w:rsidP="00756FF3">
      <w:pPr>
        <w:pStyle w:val="ListParagraph"/>
        <w:numPr>
          <w:ilvl w:val="0"/>
          <w:numId w:val="36"/>
        </w:numPr>
        <w:spacing w:after="120"/>
        <w:ind w:hanging="153"/>
        <w:rPr>
          <w:rFonts w:asciiTheme="minorHAnsi" w:hAnsiTheme="minorHAnsi" w:cstheme="minorHAnsi"/>
          <w:sz w:val="22"/>
          <w:szCs w:val="22"/>
        </w:rPr>
      </w:pPr>
      <w:bookmarkStart w:id="590" w:name="_Toc96878430"/>
      <w:r w:rsidRPr="00C95105">
        <w:rPr>
          <w:rFonts w:asciiTheme="minorHAnsi" w:hAnsiTheme="minorHAnsi" w:cstheme="minorHAnsi"/>
          <w:b/>
          <w:bCs/>
          <w:sz w:val="22"/>
          <w:szCs w:val="22"/>
        </w:rPr>
        <w:t>Impact on public attitudes</w:t>
      </w:r>
      <w:r w:rsidRPr="00C95105">
        <w:rPr>
          <w:rFonts w:asciiTheme="minorHAnsi" w:hAnsiTheme="minorHAnsi" w:cstheme="minorHAnsi"/>
          <w:sz w:val="22"/>
          <w:szCs w:val="22"/>
        </w:rPr>
        <w:t>: Shifts in perceptions of gender equality and bias, women in leadership, and views about leadership bodies in general.</w:t>
      </w:r>
      <w:bookmarkEnd w:id="590"/>
    </w:p>
    <w:p w14:paraId="647E470E" w14:textId="77777777" w:rsidR="00EC58B5" w:rsidRPr="00C95105" w:rsidRDefault="00EC58B5" w:rsidP="00756FF3">
      <w:pPr>
        <w:pStyle w:val="ListParagraph"/>
        <w:numPr>
          <w:ilvl w:val="0"/>
          <w:numId w:val="36"/>
        </w:numPr>
        <w:spacing w:after="120"/>
        <w:ind w:hanging="153"/>
        <w:rPr>
          <w:rFonts w:asciiTheme="minorHAnsi" w:hAnsiTheme="minorHAnsi" w:cstheme="minorHAnsi"/>
          <w:sz w:val="22"/>
          <w:szCs w:val="22"/>
        </w:rPr>
      </w:pPr>
      <w:bookmarkStart w:id="591" w:name="_Toc96878431"/>
      <w:r w:rsidRPr="00C95105">
        <w:rPr>
          <w:rFonts w:asciiTheme="minorHAnsi" w:hAnsiTheme="minorHAnsi" w:cstheme="minorHAnsi"/>
          <w:b/>
          <w:bCs/>
          <w:sz w:val="22"/>
          <w:szCs w:val="22"/>
        </w:rPr>
        <w:t>Extent of women’s influence</w:t>
      </w:r>
      <w:r w:rsidRPr="00C95105">
        <w:rPr>
          <w:rFonts w:asciiTheme="minorHAnsi" w:hAnsiTheme="minorHAnsi" w:cstheme="minorHAnsi"/>
          <w:sz w:val="22"/>
          <w:szCs w:val="22"/>
        </w:rPr>
        <w:t>: The extent to which women in the targeted roles carry out their duties in a way that furthers the interest of other women.</w:t>
      </w:r>
      <w:bookmarkEnd w:id="591"/>
    </w:p>
    <w:p w14:paraId="5B78C62A" w14:textId="77777777" w:rsidR="00EC58B5" w:rsidRPr="00C95105" w:rsidRDefault="00EC58B5" w:rsidP="00756FF3">
      <w:pPr>
        <w:pStyle w:val="ListParagraph"/>
        <w:numPr>
          <w:ilvl w:val="0"/>
          <w:numId w:val="36"/>
        </w:numPr>
        <w:spacing w:after="120"/>
        <w:ind w:hanging="153"/>
        <w:rPr>
          <w:rFonts w:asciiTheme="minorHAnsi" w:hAnsiTheme="minorHAnsi" w:cstheme="minorHAnsi"/>
          <w:sz w:val="22"/>
          <w:szCs w:val="22"/>
        </w:rPr>
      </w:pPr>
      <w:bookmarkStart w:id="592" w:name="_Toc96878432"/>
      <w:r w:rsidRPr="00C95105">
        <w:rPr>
          <w:rFonts w:asciiTheme="minorHAnsi" w:hAnsiTheme="minorHAnsi" w:cstheme="minorHAnsi"/>
          <w:b/>
          <w:bCs/>
          <w:sz w:val="22"/>
          <w:szCs w:val="22"/>
        </w:rPr>
        <w:t>Labour market indicators</w:t>
      </w:r>
      <w:r w:rsidRPr="00C95105">
        <w:rPr>
          <w:rFonts w:asciiTheme="minorHAnsi" w:hAnsiTheme="minorHAnsi" w:cstheme="minorHAnsi"/>
          <w:sz w:val="22"/>
          <w:szCs w:val="22"/>
        </w:rPr>
        <w:t>: Reductions in the gender pay gap, changes in women’s workforce participation, effects on representation of women at lower levels of an organisation, or across sectors.</w:t>
      </w:r>
      <w:bookmarkEnd w:id="592"/>
    </w:p>
    <w:p w14:paraId="4357308B" w14:textId="18AE87F6" w:rsidR="00EC58B5" w:rsidRPr="00C95105" w:rsidRDefault="00EC58B5" w:rsidP="0040422D">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A summary of findings for each of these outcomes is given in </w:t>
      </w:r>
      <w:r w:rsidR="00F74489" w:rsidRPr="00C95105">
        <w:rPr>
          <w:rFonts w:asciiTheme="minorHAnsi" w:hAnsiTheme="minorHAnsi" w:cstheme="minorHAnsi"/>
          <w:sz w:val="22"/>
          <w:szCs w:val="22"/>
        </w:rPr>
        <w:t>Table 6.7</w:t>
      </w:r>
      <w:r w:rsidRPr="00C95105">
        <w:rPr>
          <w:rFonts w:asciiTheme="minorHAnsi" w:hAnsiTheme="minorHAnsi" w:cstheme="minorHAnsi"/>
          <w:sz w:val="22"/>
          <w:szCs w:val="22"/>
        </w:rPr>
        <w:t xml:space="preserve">. </w:t>
      </w:r>
    </w:p>
    <w:p w14:paraId="02EE24EF" w14:textId="77777777" w:rsidR="00EC58B5" w:rsidRDefault="00EC58B5" w:rsidP="00EC58B5">
      <w:pPr>
        <w:spacing w:after="120"/>
        <w:rPr>
          <w:rFonts w:asciiTheme="minorHAnsi" w:hAnsiTheme="minorHAnsi" w:cstheme="minorHAnsi"/>
          <w:sz w:val="22"/>
          <w:szCs w:val="22"/>
        </w:rPr>
      </w:pPr>
    </w:p>
    <w:p w14:paraId="1B4D1CD8" w14:textId="77777777" w:rsidR="009C47AB" w:rsidRDefault="009C47AB" w:rsidP="00EC58B5">
      <w:pPr>
        <w:spacing w:after="120"/>
        <w:rPr>
          <w:rFonts w:asciiTheme="minorHAnsi" w:hAnsiTheme="minorHAnsi" w:cstheme="minorHAnsi"/>
          <w:sz w:val="22"/>
          <w:szCs w:val="22"/>
        </w:rPr>
      </w:pPr>
    </w:p>
    <w:p w14:paraId="6DB48E6B" w14:textId="77777777" w:rsidR="009C47AB" w:rsidRDefault="009C47AB" w:rsidP="00EC58B5">
      <w:pPr>
        <w:spacing w:after="120"/>
        <w:rPr>
          <w:rFonts w:asciiTheme="minorHAnsi" w:hAnsiTheme="minorHAnsi" w:cstheme="minorHAnsi"/>
          <w:sz w:val="22"/>
          <w:szCs w:val="22"/>
        </w:rPr>
      </w:pPr>
    </w:p>
    <w:p w14:paraId="6C886B71" w14:textId="77777777" w:rsidR="009C47AB" w:rsidRDefault="009C47AB" w:rsidP="00EC58B5">
      <w:pPr>
        <w:spacing w:after="120"/>
        <w:rPr>
          <w:rFonts w:asciiTheme="minorHAnsi" w:hAnsiTheme="minorHAnsi" w:cstheme="minorHAnsi"/>
          <w:sz w:val="22"/>
          <w:szCs w:val="22"/>
        </w:rPr>
      </w:pPr>
    </w:p>
    <w:p w14:paraId="10EC4271" w14:textId="77777777" w:rsidR="009C47AB" w:rsidRDefault="009C47AB" w:rsidP="00EC58B5">
      <w:pPr>
        <w:spacing w:after="120"/>
        <w:rPr>
          <w:rFonts w:asciiTheme="minorHAnsi" w:hAnsiTheme="minorHAnsi" w:cstheme="minorHAnsi"/>
          <w:sz w:val="22"/>
          <w:szCs w:val="22"/>
        </w:rPr>
      </w:pPr>
    </w:p>
    <w:p w14:paraId="5AA5D3B7" w14:textId="77777777" w:rsidR="009C47AB" w:rsidRDefault="009C47AB" w:rsidP="00EC58B5">
      <w:pPr>
        <w:spacing w:after="120"/>
        <w:rPr>
          <w:rFonts w:asciiTheme="minorHAnsi" w:hAnsiTheme="minorHAnsi" w:cstheme="minorHAnsi"/>
          <w:sz w:val="22"/>
          <w:szCs w:val="22"/>
        </w:rPr>
      </w:pPr>
    </w:p>
    <w:p w14:paraId="050B8F8A" w14:textId="120F39FD" w:rsidR="00EC58B5" w:rsidRPr="00C95105" w:rsidRDefault="00FC73D0" w:rsidP="0040422D">
      <w:pPr>
        <w:pStyle w:val="TableParagraph"/>
        <w:spacing w:after="120"/>
        <w:ind w:left="0"/>
        <w:rPr>
          <w:rFonts w:asciiTheme="minorHAnsi" w:hAnsiTheme="minorHAnsi" w:cstheme="minorHAnsi"/>
          <w:lang w:val="en-AU"/>
        </w:rPr>
      </w:pPr>
      <w:bookmarkStart w:id="593" w:name="_Toc96878661"/>
      <w:r w:rsidRPr="00C95105">
        <w:rPr>
          <w:rFonts w:asciiTheme="minorHAnsi" w:hAnsiTheme="minorHAnsi" w:cstheme="minorHAnsi"/>
          <w:b/>
          <w:bCs/>
          <w:lang w:val="en-AU"/>
        </w:rPr>
        <w:lastRenderedPageBreak/>
        <w:t>Table</w:t>
      </w:r>
      <w:r w:rsidR="00EC58B5" w:rsidRPr="00C95105">
        <w:rPr>
          <w:rFonts w:asciiTheme="minorHAnsi" w:hAnsiTheme="minorHAnsi" w:cstheme="minorHAnsi"/>
          <w:b/>
          <w:bCs/>
          <w:lang w:val="en-AU"/>
        </w:rPr>
        <w:t xml:space="preserve"> 6.</w:t>
      </w:r>
      <w:r w:rsidRPr="00C95105">
        <w:rPr>
          <w:rFonts w:asciiTheme="minorHAnsi" w:hAnsiTheme="minorHAnsi" w:cstheme="minorHAnsi"/>
          <w:b/>
          <w:bCs/>
          <w:lang w:val="en-AU"/>
        </w:rPr>
        <w:t>7</w:t>
      </w:r>
      <w:r w:rsidR="00EC58B5" w:rsidRPr="00C95105">
        <w:rPr>
          <w:rFonts w:asciiTheme="minorHAnsi" w:hAnsiTheme="minorHAnsi" w:cstheme="minorHAnsi"/>
          <w:b/>
          <w:bCs/>
          <w:lang w:val="en-AU"/>
        </w:rPr>
        <w:t>.</w:t>
      </w:r>
      <w:r w:rsidR="00EC58B5" w:rsidRPr="00C95105">
        <w:rPr>
          <w:rFonts w:asciiTheme="minorHAnsi" w:hAnsiTheme="minorHAnsi" w:cstheme="minorHAnsi"/>
          <w:lang w:val="en-AU"/>
        </w:rPr>
        <w:t xml:space="preserve"> Impact of Leadership Gender Quotas on Secondary Outcomes: Summary of Findings</w:t>
      </w:r>
      <w:bookmarkEnd w:id="593"/>
    </w:p>
    <w:tbl>
      <w:tblPr>
        <w:tblStyle w:val="GridTable5Dark-Accent1"/>
        <w:tblW w:w="0" w:type="auto"/>
        <w:tblLook w:val="04A0" w:firstRow="1" w:lastRow="0" w:firstColumn="1" w:lastColumn="0" w:noHBand="0" w:noVBand="1"/>
      </w:tblPr>
      <w:tblGrid>
        <w:gridCol w:w="1696"/>
        <w:gridCol w:w="2440"/>
        <w:gridCol w:w="2440"/>
        <w:gridCol w:w="2440"/>
      </w:tblGrid>
      <w:tr w:rsidR="00EC58B5" w:rsidRPr="00C95105" w14:paraId="396D5DB2" w14:textId="77777777" w:rsidTr="00532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2F5496" w:themeFill="accent1" w:themeFillShade="BF"/>
          </w:tcPr>
          <w:p w14:paraId="278E42C8" w14:textId="77777777" w:rsidR="00EC58B5" w:rsidRPr="00C95105" w:rsidRDefault="00EC58B5" w:rsidP="00532791">
            <w:pPr>
              <w:spacing w:after="120"/>
              <w:rPr>
                <w:rFonts w:asciiTheme="minorHAnsi" w:hAnsiTheme="minorHAnsi" w:cstheme="minorHAnsi"/>
                <w:sz w:val="22"/>
                <w:szCs w:val="22"/>
              </w:rPr>
            </w:pPr>
          </w:p>
        </w:tc>
        <w:tc>
          <w:tcPr>
            <w:tcW w:w="2440" w:type="dxa"/>
            <w:shd w:val="clear" w:color="auto" w:fill="2F5496" w:themeFill="accent1" w:themeFillShade="BF"/>
          </w:tcPr>
          <w:p w14:paraId="17A4AC1F" w14:textId="77777777" w:rsidR="00EC58B5" w:rsidRPr="00C95105" w:rsidRDefault="00EC58B5" w:rsidP="00532791">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5105">
              <w:rPr>
                <w:rFonts w:asciiTheme="minorHAnsi" w:hAnsiTheme="minorHAnsi" w:cstheme="minorHAnsi"/>
                <w:sz w:val="22"/>
                <w:szCs w:val="22"/>
              </w:rPr>
              <w:t>Positive impact</w:t>
            </w:r>
          </w:p>
        </w:tc>
        <w:tc>
          <w:tcPr>
            <w:tcW w:w="2440" w:type="dxa"/>
            <w:shd w:val="clear" w:color="auto" w:fill="2F5496" w:themeFill="accent1" w:themeFillShade="BF"/>
          </w:tcPr>
          <w:p w14:paraId="236BD1B4" w14:textId="77777777" w:rsidR="00EC58B5" w:rsidRPr="00C95105" w:rsidRDefault="00EC58B5" w:rsidP="00532791">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5105">
              <w:rPr>
                <w:rFonts w:asciiTheme="minorHAnsi" w:hAnsiTheme="minorHAnsi" w:cstheme="minorHAnsi"/>
                <w:sz w:val="22"/>
                <w:szCs w:val="22"/>
              </w:rPr>
              <w:t>Unclear</w:t>
            </w:r>
          </w:p>
        </w:tc>
        <w:tc>
          <w:tcPr>
            <w:tcW w:w="2440" w:type="dxa"/>
            <w:shd w:val="clear" w:color="auto" w:fill="2F5496" w:themeFill="accent1" w:themeFillShade="BF"/>
          </w:tcPr>
          <w:p w14:paraId="7A58BD91" w14:textId="77777777" w:rsidR="00EC58B5" w:rsidRPr="00C95105" w:rsidRDefault="00EC58B5" w:rsidP="00532791">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5105">
              <w:rPr>
                <w:rFonts w:asciiTheme="minorHAnsi" w:hAnsiTheme="minorHAnsi" w:cstheme="minorHAnsi"/>
                <w:sz w:val="22"/>
                <w:szCs w:val="22"/>
              </w:rPr>
              <w:t>No impact</w:t>
            </w:r>
          </w:p>
        </w:tc>
      </w:tr>
      <w:tr w:rsidR="00EC58B5" w:rsidRPr="00C95105" w14:paraId="15E55B95" w14:textId="77777777" w:rsidTr="00532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2F5496" w:themeFill="accent1" w:themeFillShade="BF"/>
          </w:tcPr>
          <w:p w14:paraId="33B05B31"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Public attitudes</w:t>
            </w:r>
          </w:p>
        </w:tc>
        <w:tc>
          <w:tcPr>
            <w:tcW w:w="2440" w:type="dxa"/>
            <w:shd w:val="clear" w:color="auto" w:fill="8EAADB" w:themeFill="accent1" w:themeFillTint="99"/>
          </w:tcPr>
          <w:p w14:paraId="0FA7455D"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Heightened perceptions of the competence and effectiveness of women leaders</w:t>
            </w:r>
          </w:p>
        </w:tc>
        <w:tc>
          <w:tcPr>
            <w:tcW w:w="2440" w:type="dxa"/>
            <w:shd w:val="clear" w:color="auto" w:fill="8EAADB" w:themeFill="accent1" w:themeFillTint="99"/>
          </w:tcPr>
          <w:p w14:paraId="1F1CBD1B"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440" w:type="dxa"/>
            <w:shd w:val="clear" w:color="auto" w:fill="8EAADB" w:themeFill="accent1" w:themeFillTint="99"/>
          </w:tcPr>
          <w:p w14:paraId="2C8F70C1"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Persistence of social norms prioritising men as leaders</w:t>
            </w:r>
          </w:p>
        </w:tc>
      </w:tr>
      <w:tr w:rsidR="00EC58B5" w:rsidRPr="00C95105" w14:paraId="38A558D4" w14:textId="77777777" w:rsidTr="00532791">
        <w:tc>
          <w:tcPr>
            <w:cnfStyle w:val="001000000000" w:firstRow="0" w:lastRow="0" w:firstColumn="1" w:lastColumn="0" w:oddVBand="0" w:evenVBand="0" w:oddHBand="0" w:evenHBand="0" w:firstRowFirstColumn="0" w:firstRowLastColumn="0" w:lastRowFirstColumn="0" w:lastRowLastColumn="0"/>
            <w:tcW w:w="1696" w:type="dxa"/>
            <w:vMerge/>
            <w:shd w:val="clear" w:color="auto" w:fill="2F5496" w:themeFill="accent1" w:themeFillShade="BF"/>
          </w:tcPr>
          <w:p w14:paraId="1AF710D6" w14:textId="77777777" w:rsidR="00EC58B5" w:rsidRPr="00C95105" w:rsidRDefault="00EC58B5" w:rsidP="00532791">
            <w:pPr>
              <w:spacing w:after="120"/>
              <w:rPr>
                <w:rFonts w:asciiTheme="minorHAnsi" w:hAnsiTheme="minorHAnsi" w:cstheme="minorHAnsi"/>
                <w:sz w:val="22"/>
                <w:szCs w:val="22"/>
              </w:rPr>
            </w:pPr>
          </w:p>
        </w:tc>
        <w:tc>
          <w:tcPr>
            <w:tcW w:w="2440" w:type="dxa"/>
            <w:shd w:val="clear" w:color="auto" w:fill="8EAADB" w:themeFill="accent1" w:themeFillTint="99"/>
          </w:tcPr>
          <w:p w14:paraId="134DB3F1"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Increased visibility of women leaders</w:t>
            </w:r>
          </w:p>
        </w:tc>
        <w:tc>
          <w:tcPr>
            <w:tcW w:w="2440" w:type="dxa"/>
            <w:shd w:val="clear" w:color="auto" w:fill="8EAADB" w:themeFill="accent1" w:themeFillTint="99"/>
          </w:tcPr>
          <w:p w14:paraId="26FCE1FE"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440" w:type="dxa"/>
            <w:shd w:val="clear" w:color="auto" w:fill="8EAADB" w:themeFill="accent1" w:themeFillTint="99"/>
          </w:tcPr>
          <w:p w14:paraId="4E76A504"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EC58B5" w:rsidRPr="00C95105" w14:paraId="34FCE5C1" w14:textId="77777777" w:rsidTr="00532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2F5496" w:themeFill="accent1" w:themeFillShade="BF"/>
          </w:tcPr>
          <w:p w14:paraId="3A4D96B5" w14:textId="77777777" w:rsidR="00EC58B5" w:rsidRPr="00C95105" w:rsidRDefault="00EC58B5" w:rsidP="00532791">
            <w:pPr>
              <w:spacing w:after="120"/>
              <w:rPr>
                <w:rFonts w:asciiTheme="minorHAnsi" w:hAnsiTheme="minorHAnsi" w:cstheme="minorHAnsi"/>
                <w:sz w:val="22"/>
                <w:szCs w:val="22"/>
              </w:rPr>
            </w:pPr>
          </w:p>
        </w:tc>
        <w:tc>
          <w:tcPr>
            <w:tcW w:w="2440" w:type="dxa"/>
            <w:shd w:val="clear" w:color="auto" w:fill="8EAADB" w:themeFill="accent1" w:themeFillTint="99"/>
          </w:tcPr>
          <w:p w14:paraId="4D9B617D"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Improved attitudes towards gender equality</w:t>
            </w:r>
          </w:p>
        </w:tc>
        <w:tc>
          <w:tcPr>
            <w:tcW w:w="2440" w:type="dxa"/>
            <w:shd w:val="clear" w:color="auto" w:fill="8EAADB" w:themeFill="accent1" w:themeFillTint="99"/>
          </w:tcPr>
          <w:p w14:paraId="5CF7DA0A"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440" w:type="dxa"/>
            <w:shd w:val="clear" w:color="auto" w:fill="8EAADB" w:themeFill="accent1" w:themeFillTint="99"/>
          </w:tcPr>
          <w:p w14:paraId="2B74A579"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EC58B5" w:rsidRPr="00C95105" w14:paraId="52846CBC" w14:textId="77777777" w:rsidTr="00532791">
        <w:tc>
          <w:tcPr>
            <w:cnfStyle w:val="001000000000" w:firstRow="0" w:lastRow="0" w:firstColumn="1" w:lastColumn="0" w:oddVBand="0" w:evenVBand="0" w:oddHBand="0" w:evenHBand="0" w:firstRowFirstColumn="0" w:firstRowLastColumn="0" w:lastRowFirstColumn="0" w:lastRowLastColumn="0"/>
            <w:tcW w:w="1696" w:type="dxa"/>
            <w:vMerge/>
            <w:shd w:val="clear" w:color="auto" w:fill="2F5496" w:themeFill="accent1" w:themeFillShade="BF"/>
          </w:tcPr>
          <w:p w14:paraId="6506EBF0" w14:textId="77777777" w:rsidR="00EC58B5" w:rsidRPr="00C95105" w:rsidRDefault="00EC58B5" w:rsidP="00532791">
            <w:pPr>
              <w:spacing w:after="120"/>
              <w:rPr>
                <w:rFonts w:asciiTheme="minorHAnsi" w:hAnsiTheme="minorHAnsi" w:cstheme="minorHAnsi"/>
                <w:sz w:val="22"/>
                <w:szCs w:val="22"/>
              </w:rPr>
            </w:pPr>
          </w:p>
        </w:tc>
        <w:tc>
          <w:tcPr>
            <w:tcW w:w="2440" w:type="dxa"/>
            <w:shd w:val="clear" w:color="auto" w:fill="8EAADB" w:themeFill="accent1" w:themeFillTint="99"/>
          </w:tcPr>
          <w:p w14:paraId="55963353"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Increase in women’s understanding of and engagement with government</w:t>
            </w:r>
          </w:p>
        </w:tc>
        <w:tc>
          <w:tcPr>
            <w:tcW w:w="2440" w:type="dxa"/>
            <w:shd w:val="clear" w:color="auto" w:fill="8EAADB" w:themeFill="accent1" w:themeFillTint="99"/>
          </w:tcPr>
          <w:p w14:paraId="7E3BC885"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440" w:type="dxa"/>
            <w:shd w:val="clear" w:color="auto" w:fill="8EAADB" w:themeFill="accent1" w:themeFillTint="99"/>
          </w:tcPr>
          <w:p w14:paraId="5688A08F"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EC58B5" w:rsidRPr="00C95105" w14:paraId="7DD1A2D6" w14:textId="77777777" w:rsidTr="00532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2F5496" w:themeFill="accent1" w:themeFillShade="BF"/>
          </w:tcPr>
          <w:p w14:paraId="3D4C3985"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Women’s influence</w:t>
            </w:r>
          </w:p>
        </w:tc>
        <w:tc>
          <w:tcPr>
            <w:tcW w:w="2440" w:type="dxa"/>
          </w:tcPr>
          <w:p w14:paraId="30477943"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Greater attention to women’s interests by political bodies</w:t>
            </w:r>
          </w:p>
        </w:tc>
        <w:tc>
          <w:tcPr>
            <w:tcW w:w="2440" w:type="dxa"/>
          </w:tcPr>
          <w:p w14:paraId="4103BFEE"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Little improvement in the share of women in significant internal roles (e.g., board chair, mayor, audit subcommittee member) in 10 years, but some early indications of increases in the long term</w:t>
            </w:r>
          </w:p>
        </w:tc>
        <w:tc>
          <w:tcPr>
            <w:tcW w:w="2440" w:type="dxa"/>
          </w:tcPr>
          <w:p w14:paraId="47E6D6F7"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Increased policy attention does not translate to concrete policy shifts or outcomes</w:t>
            </w:r>
          </w:p>
        </w:tc>
      </w:tr>
      <w:tr w:rsidR="00EC58B5" w:rsidRPr="00C95105" w14:paraId="7636472F" w14:textId="77777777" w:rsidTr="00532791">
        <w:tc>
          <w:tcPr>
            <w:cnfStyle w:val="001000000000" w:firstRow="0" w:lastRow="0" w:firstColumn="1" w:lastColumn="0" w:oddVBand="0" w:evenVBand="0" w:oddHBand="0" w:evenHBand="0" w:firstRowFirstColumn="0" w:firstRowLastColumn="0" w:lastRowFirstColumn="0" w:lastRowLastColumn="0"/>
            <w:tcW w:w="1696" w:type="dxa"/>
            <w:vMerge/>
            <w:shd w:val="clear" w:color="auto" w:fill="2F5496" w:themeFill="accent1" w:themeFillShade="BF"/>
          </w:tcPr>
          <w:p w14:paraId="6E60D52A" w14:textId="77777777" w:rsidR="00EC58B5" w:rsidRPr="00C95105" w:rsidRDefault="00EC58B5" w:rsidP="00532791">
            <w:pPr>
              <w:spacing w:after="120"/>
              <w:rPr>
                <w:rFonts w:asciiTheme="minorHAnsi" w:hAnsiTheme="minorHAnsi" w:cstheme="minorHAnsi"/>
                <w:sz w:val="22"/>
                <w:szCs w:val="22"/>
              </w:rPr>
            </w:pPr>
          </w:p>
        </w:tc>
        <w:tc>
          <w:tcPr>
            <w:tcW w:w="2440" w:type="dxa"/>
            <w:shd w:val="clear" w:color="auto" w:fill="B4C6E7" w:themeFill="accent1" w:themeFillTint="66"/>
          </w:tcPr>
          <w:p w14:paraId="13DE9BFB"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440" w:type="dxa"/>
            <w:shd w:val="clear" w:color="auto" w:fill="B4C6E7" w:themeFill="accent1" w:themeFillTint="66"/>
          </w:tcPr>
          <w:p w14:paraId="5E129910"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More favourable perceptions of public service provision have been observed in some jurisdictions, but further research is required</w:t>
            </w:r>
          </w:p>
        </w:tc>
        <w:tc>
          <w:tcPr>
            <w:tcW w:w="2440" w:type="dxa"/>
            <w:shd w:val="clear" w:color="auto" w:fill="B4C6E7" w:themeFill="accent1" w:themeFillTint="66"/>
          </w:tcPr>
          <w:p w14:paraId="0A86F373"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EC58B5" w:rsidRPr="00C95105" w14:paraId="68D8FC09" w14:textId="77777777" w:rsidTr="00532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2F5496" w:themeFill="accent1" w:themeFillShade="BF"/>
          </w:tcPr>
          <w:p w14:paraId="1B55D00F" w14:textId="77777777" w:rsidR="00EC58B5" w:rsidRPr="00C95105" w:rsidRDefault="00EC58B5" w:rsidP="00532791">
            <w:pPr>
              <w:spacing w:after="120"/>
              <w:rPr>
                <w:rFonts w:asciiTheme="minorHAnsi" w:hAnsiTheme="minorHAnsi" w:cstheme="minorHAnsi"/>
                <w:sz w:val="22"/>
                <w:szCs w:val="22"/>
              </w:rPr>
            </w:pPr>
            <w:r w:rsidRPr="00C95105">
              <w:rPr>
                <w:rFonts w:asciiTheme="minorHAnsi" w:hAnsiTheme="minorHAnsi" w:cstheme="minorHAnsi"/>
                <w:sz w:val="22"/>
                <w:szCs w:val="22"/>
              </w:rPr>
              <w:t>Labour market indicators</w:t>
            </w:r>
          </w:p>
        </w:tc>
        <w:tc>
          <w:tcPr>
            <w:tcW w:w="2440" w:type="dxa"/>
          </w:tcPr>
          <w:p w14:paraId="461B9E33"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Preliminary evidence suggests that top-level quotas promote parity in rates of application between men and women</w:t>
            </w:r>
          </w:p>
        </w:tc>
        <w:tc>
          <w:tcPr>
            <w:tcW w:w="2440" w:type="dxa"/>
          </w:tcPr>
          <w:p w14:paraId="2C90E0B2" w14:textId="77777777"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Impact on the gender pay gap is inconclusive. While gender pay gaps often persist after the implementation of quotas, they are frequently smaller than in jurisdictions without quotas</w:t>
            </w:r>
          </w:p>
        </w:tc>
        <w:tc>
          <w:tcPr>
            <w:tcW w:w="2440" w:type="dxa"/>
          </w:tcPr>
          <w:p w14:paraId="4D08E228" w14:textId="308F23FC" w:rsidR="00EC58B5" w:rsidRPr="00C95105" w:rsidRDefault="00EC58B5" w:rsidP="00532791">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No spill</w:t>
            </w:r>
            <w:r w:rsidR="00700A12" w:rsidRPr="00C95105">
              <w:rPr>
                <w:rFonts w:asciiTheme="minorHAnsi" w:hAnsiTheme="minorHAnsi" w:cstheme="minorHAnsi"/>
                <w:sz w:val="20"/>
                <w:szCs w:val="20"/>
              </w:rPr>
              <w:t>-</w:t>
            </w:r>
            <w:r w:rsidRPr="00C95105">
              <w:rPr>
                <w:rFonts w:asciiTheme="minorHAnsi" w:hAnsiTheme="minorHAnsi" w:cstheme="minorHAnsi"/>
                <w:sz w:val="20"/>
                <w:szCs w:val="20"/>
              </w:rPr>
              <w:t xml:space="preserve">over effect on women’s employment share, or share of women working part-time </w:t>
            </w:r>
          </w:p>
        </w:tc>
      </w:tr>
      <w:tr w:rsidR="00EC58B5" w:rsidRPr="00C95105" w14:paraId="174BD1E3" w14:textId="77777777" w:rsidTr="00532791">
        <w:tc>
          <w:tcPr>
            <w:cnfStyle w:val="001000000000" w:firstRow="0" w:lastRow="0" w:firstColumn="1" w:lastColumn="0" w:oddVBand="0" w:evenVBand="0" w:oddHBand="0" w:evenHBand="0" w:firstRowFirstColumn="0" w:firstRowLastColumn="0" w:lastRowFirstColumn="0" w:lastRowLastColumn="0"/>
            <w:tcW w:w="1696" w:type="dxa"/>
            <w:vMerge/>
            <w:shd w:val="clear" w:color="auto" w:fill="2F5496" w:themeFill="accent1" w:themeFillShade="BF"/>
          </w:tcPr>
          <w:p w14:paraId="6749C780" w14:textId="77777777" w:rsidR="00EC58B5" w:rsidRPr="00C95105" w:rsidRDefault="00EC58B5" w:rsidP="00532791">
            <w:pPr>
              <w:spacing w:after="120"/>
              <w:rPr>
                <w:rFonts w:asciiTheme="minorHAnsi" w:hAnsiTheme="minorHAnsi" w:cstheme="minorHAnsi"/>
                <w:sz w:val="22"/>
                <w:szCs w:val="22"/>
              </w:rPr>
            </w:pPr>
          </w:p>
        </w:tc>
        <w:tc>
          <w:tcPr>
            <w:tcW w:w="2440" w:type="dxa"/>
          </w:tcPr>
          <w:p w14:paraId="1477585D"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440" w:type="dxa"/>
          </w:tcPr>
          <w:p w14:paraId="4185999D" w14:textId="77777777"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440" w:type="dxa"/>
          </w:tcPr>
          <w:p w14:paraId="3D62EDDB" w14:textId="7E64489E" w:rsidR="00EC58B5" w:rsidRPr="00C95105" w:rsidRDefault="00EC58B5" w:rsidP="0053279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105">
              <w:rPr>
                <w:rFonts w:asciiTheme="minorHAnsi" w:hAnsiTheme="minorHAnsi" w:cstheme="minorHAnsi"/>
                <w:sz w:val="20"/>
                <w:szCs w:val="20"/>
              </w:rPr>
              <w:t>No spill</w:t>
            </w:r>
            <w:r w:rsidR="00700A12" w:rsidRPr="00C95105">
              <w:rPr>
                <w:rFonts w:asciiTheme="minorHAnsi" w:hAnsiTheme="minorHAnsi" w:cstheme="minorHAnsi"/>
                <w:sz w:val="20"/>
                <w:szCs w:val="20"/>
              </w:rPr>
              <w:t>-</w:t>
            </w:r>
            <w:r w:rsidRPr="00C95105">
              <w:rPr>
                <w:rFonts w:asciiTheme="minorHAnsi" w:hAnsiTheme="minorHAnsi" w:cstheme="minorHAnsi"/>
                <w:sz w:val="20"/>
                <w:szCs w:val="20"/>
              </w:rPr>
              <w:t>over effect of board quotas on women’s representation in executive management</w:t>
            </w:r>
          </w:p>
        </w:tc>
      </w:tr>
    </w:tbl>
    <w:p w14:paraId="52BFB772" w14:textId="6E5F338E" w:rsidR="00EC58B5" w:rsidRPr="00C95105" w:rsidRDefault="00EC58B5" w:rsidP="00EC58B5">
      <w:pPr>
        <w:spacing w:after="120"/>
        <w:rPr>
          <w:rFonts w:asciiTheme="minorHAnsi" w:hAnsiTheme="minorHAnsi" w:cstheme="minorHAnsi"/>
          <w:sz w:val="20"/>
          <w:szCs w:val="20"/>
        </w:rPr>
      </w:pPr>
      <w:r w:rsidRPr="00C95105">
        <w:rPr>
          <w:rFonts w:asciiTheme="minorHAnsi" w:hAnsiTheme="minorHAnsi" w:cstheme="minorHAnsi"/>
          <w:sz w:val="20"/>
          <w:szCs w:val="20"/>
        </w:rPr>
        <w:t xml:space="preserve">Note. All impacts reported within a </w:t>
      </w:r>
      <w:r w:rsidR="007217BA" w:rsidRPr="00C95105">
        <w:rPr>
          <w:rFonts w:asciiTheme="minorHAnsi" w:hAnsiTheme="minorHAnsi" w:cstheme="minorHAnsi"/>
          <w:sz w:val="20"/>
          <w:szCs w:val="20"/>
        </w:rPr>
        <w:t>5–10-year</w:t>
      </w:r>
      <w:r w:rsidRPr="00C95105">
        <w:rPr>
          <w:rFonts w:asciiTheme="minorHAnsi" w:hAnsiTheme="minorHAnsi" w:cstheme="minorHAnsi"/>
          <w:sz w:val="20"/>
          <w:szCs w:val="20"/>
        </w:rPr>
        <w:t xml:space="preserve"> time-frame unless otherwise specified</w:t>
      </w:r>
    </w:p>
    <w:p w14:paraId="1FED8348" w14:textId="77777777" w:rsidR="00EC58B5" w:rsidRPr="00C95105" w:rsidRDefault="00EC58B5" w:rsidP="00EC58B5">
      <w:pPr>
        <w:spacing w:after="120"/>
        <w:rPr>
          <w:rFonts w:asciiTheme="minorHAnsi" w:hAnsiTheme="minorHAnsi" w:cstheme="minorHAnsi"/>
          <w:sz w:val="22"/>
          <w:szCs w:val="22"/>
        </w:rPr>
      </w:pPr>
    </w:p>
    <w:p w14:paraId="75D22616" w14:textId="77777777" w:rsidR="00EC58B5" w:rsidRPr="00C95105" w:rsidRDefault="00EC58B5" w:rsidP="00EC58B5">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Quotas have been conclusively shown to increase the proportion of women in the positions to which they are applied, making them a successful intervention for rapidly improving women’s representation (Morgenroth &amp; Ryan, 2018). Our comprehensive review of the literature has shown that implementation of quotas also has a positive impact on several secondary indicators of gender equality. In particular, quotas and the representation that flows from them improve public attitudes towards women leaders, governments, and gender equality in general. </w:t>
      </w:r>
    </w:p>
    <w:p w14:paraId="6CD87931" w14:textId="77777777" w:rsidR="00F0524C" w:rsidRPr="00C95105" w:rsidRDefault="00F0524C" w:rsidP="00EC58B5">
      <w:pPr>
        <w:spacing w:after="120"/>
        <w:ind w:firstLine="567"/>
        <w:rPr>
          <w:rFonts w:asciiTheme="minorHAnsi" w:hAnsiTheme="minorHAnsi" w:cstheme="minorHAnsi"/>
          <w:sz w:val="22"/>
          <w:szCs w:val="22"/>
        </w:rPr>
      </w:pPr>
    </w:p>
    <w:p w14:paraId="1A0C1E65" w14:textId="77777777" w:rsidR="00EC58B5" w:rsidRPr="00C95105" w:rsidRDefault="00EC58B5" w:rsidP="00756FF3">
      <w:pPr>
        <w:pStyle w:val="ListParagraph"/>
        <w:numPr>
          <w:ilvl w:val="0"/>
          <w:numId w:val="42"/>
        </w:numPr>
        <w:spacing w:after="120"/>
        <w:ind w:left="709" w:hanging="283"/>
        <w:rPr>
          <w:rFonts w:asciiTheme="minorHAnsi" w:hAnsiTheme="minorHAnsi" w:cstheme="minorHAnsi"/>
          <w:b/>
          <w:bCs/>
          <w:sz w:val="22"/>
          <w:szCs w:val="22"/>
        </w:rPr>
      </w:pPr>
      <w:bookmarkStart w:id="594" w:name="_Toc96878433"/>
      <w:r w:rsidRPr="00C95105">
        <w:rPr>
          <w:rFonts w:asciiTheme="minorHAnsi" w:hAnsiTheme="minorHAnsi" w:cstheme="minorHAnsi"/>
          <w:b/>
          <w:bCs/>
          <w:sz w:val="22"/>
          <w:szCs w:val="22"/>
        </w:rPr>
        <w:lastRenderedPageBreak/>
        <w:t>To harness and expand the positive of impact of quotas on public attitudes we recommend:</w:t>
      </w:r>
      <w:bookmarkEnd w:id="594"/>
    </w:p>
    <w:p w14:paraId="5D6411E1" w14:textId="62655746" w:rsidR="00EC58B5" w:rsidRPr="00C95105" w:rsidRDefault="00EC58B5" w:rsidP="00756FF3">
      <w:pPr>
        <w:pStyle w:val="ListParagraph"/>
        <w:numPr>
          <w:ilvl w:val="1"/>
          <w:numId w:val="43"/>
        </w:numPr>
        <w:spacing w:after="120"/>
        <w:contextualSpacing w:val="0"/>
        <w:rPr>
          <w:rFonts w:asciiTheme="minorHAnsi" w:hAnsiTheme="minorHAnsi" w:cstheme="minorHAnsi"/>
          <w:i/>
          <w:iCs/>
          <w:sz w:val="22"/>
          <w:szCs w:val="22"/>
        </w:rPr>
      </w:pPr>
      <w:bookmarkStart w:id="595" w:name="_Toc96878434"/>
      <w:r w:rsidRPr="00C95105">
        <w:rPr>
          <w:rFonts w:asciiTheme="minorHAnsi" w:hAnsiTheme="minorHAnsi" w:cstheme="minorHAnsi"/>
          <w:i/>
          <w:iCs/>
          <w:sz w:val="22"/>
          <w:szCs w:val="22"/>
        </w:rPr>
        <w:t>Further increasing the visibility of women leaders among the public by establishing clear protocols for the equal and fair portrayal of women in government publications and transparent processes of compliance.</w:t>
      </w:r>
      <w:bookmarkEnd w:id="595"/>
      <w:r w:rsidRPr="00C95105">
        <w:rPr>
          <w:rFonts w:asciiTheme="minorHAnsi" w:hAnsiTheme="minorHAnsi" w:cstheme="minorHAnsi"/>
          <w:i/>
          <w:iCs/>
          <w:sz w:val="22"/>
          <w:szCs w:val="22"/>
        </w:rPr>
        <w:t xml:space="preserve"> </w:t>
      </w:r>
    </w:p>
    <w:p w14:paraId="630EC3D2" w14:textId="77777777" w:rsidR="00EC58B5" w:rsidRPr="00C95105" w:rsidRDefault="00EC58B5" w:rsidP="00F0524C">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The success of gender quotas in not only increasing the proportion of women in leadership roles, but also driving greater political and public attention to their policy interests has implications for other historically underrepresented groups. Quotas for those with lower socioeconomic status or in racial, ethnic, or sexual minorities may be one tool for increasing attention to their specific needs in policy agendas (Clayton &amp; Zetterberg, 2018). We also note that approaches that treat women as a homogenous target group for interventions such as quotas will rarely achieve equitable outcomes due to the numerous other marginalised identities that intersect with being female. </w:t>
      </w:r>
    </w:p>
    <w:p w14:paraId="651CF4AD" w14:textId="77777777" w:rsidR="00F0524C" w:rsidRPr="00C95105" w:rsidRDefault="00F0524C" w:rsidP="00F0524C">
      <w:pPr>
        <w:spacing w:after="120"/>
        <w:ind w:firstLine="567"/>
        <w:rPr>
          <w:rFonts w:asciiTheme="minorHAnsi" w:hAnsiTheme="minorHAnsi" w:cstheme="minorHAnsi"/>
          <w:sz w:val="22"/>
          <w:szCs w:val="22"/>
        </w:rPr>
      </w:pPr>
    </w:p>
    <w:p w14:paraId="487B3C62" w14:textId="0B978CD2" w:rsidR="00EC58B5" w:rsidRPr="00C95105" w:rsidRDefault="00EC58B5" w:rsidP="00756FF3">
      <w:pPr>
        <w:pStyle w:val="ListParagraph"/>
        <w:numPr>
          <w:ilvl w:val="0"/>
          <w:numId w:val="42"/>
        </w:numPr>
        <w:spacing w:after="120"/>
        <w:ind w:left="709" w:hanging="283"/>
        <w:rPr>
          <w:rFonts w:asciiTheme="minorHAnsi" w:hAnsiTheme="minorHAnsi" w:cstheme="minorHAnsi"/>
          <w:b/>
          <w:bCs/>
          <w:sz w:val="22"/>
          <w:szCs w:val="22"/>
        </w:rPr>
      </w:pPr>
      <w:bookmarkStart w:id="596" w:name="_Toc96878435"/>
      <w:r w:rsidRPr="00C95105">
        <w:rPr>
          <w:rFonts w:asciiTheme="minorHAnsi" w:hAnsiTheme="minorHAnsi" w:cstheme="minorHAnsi"/>
          <w:b/>
          <w:bCs/>
          <w:sz w:val="22"/>
          <w:szCs w:val="22"/>
        </w:rPr>
        <w:t xml:space="preserve">Disabled women, </w:t>
      </w:r>
      <w:r w:rsidR="154028F6" w:rsidRPr="00C95105">
        <w:rPr>
          <w:rFonts w:asciiTheme="minorHAnsi" w:hAnsiTheme="minorHAnsi" w:cstheme="minorHAnsi"/>
          <w:b/>
          <w:bCs/>
          <w:sz w:val="22"/>
          <w:szCs w:val="22"/>
        </w:rPr>
        <w:t xml:space="preserve">trans </w:t>
      </w:r>
      <w:r w:rsidRPr="00C95105">
        <w:rPr>
          <w:rFonts w:asciiTheme="minorHAnsi" w:hAnsiTheme="minorHAnsi" w:cstheme="minorHAnsi"/>
          <w:b/>
          <w:bCs/>
          <w:sz w:val="22"/>
          <w:szCs w:val="22"/>
        </w:rPr>
        <w:t>women</w:t>
      </w:r>
      <w:r w:rsidR="154028F6" w:rsidRPr="00C95105">
        <w:rPr>
          <w:rFonts w:asciiTheme="minorHAnsi" w:hAnsiTheme="minorHAnsi" w:cstheme="minorHAnsi"/>
          <w:b/>
          <w:bCs/>
          <w:sz w:val="22"/>
          <w:szCs w:val="22"/>
        </w:rPr>
        <w:t xml:space="preserve"> and </w:t>
      </w:r>
      <w:r w:rsidR="007217BA" w:rsidRPr="00C95105">
        <w:rPr>
          <w:rFonts w:asciiTheme="minorHAnsi" w:hAnsiTheme="minorHAnsi" w:cstheme="minorHAnsi"/>
          <w:b/>
          <w:bCs/>
          <w:sz w:val="22"/>
          <w:szCs w:val="22"/>
        </w:rPr>
        <w:t>non-binary</w:t>
      </w:r>
      <w:r w:rsidR="154028F6" w:rsidRPr="00C95105">
        <w:rPr>
          <w:rFonts w:asciiTheme="minorHAnsi" w:hAnsiTheme="minorHAnsi" w:cstheme="minorHAnsi"/>
          <w:b/>
          <w:bCs/>
          <w:sz w:val="22"/>
          <w:szCs w:val="22"/>
        </w:rPr>
        <w:t xml:space="preserve"> people</w:t>
      </w:r>
      <w:r w:rsidRPr="00C95105">
        <w:rPr>
          <w:rFonts w:asciiTheme="minorHAnsi" w:hAnsiTheme="minorHAnsi" w:cstheme="minorHAnsi"/>
          <w:b/>
          <w:bCs/>
          <w:sz w:val="22"/>
          <w:szCs w:val="22"/>
        </w:rPr>
        <w:t>, women from culturally and linguistically diverse backgrounds, and women of diverse sexualities will face particular and often compounded, barriers to workplace equality.  We recommend:</w:t>
      </w:r>
      <w:bookmarkEnd w:id="596"/>
    </w:p>
    <w:p w14:paraId="3AC8676D" w14:textId="77777777" w:rsidR="00EC58B5" w:rsidRPr="00C95105" w:rsidRDefault="00EC58B5" w:rsidP="00756FF3">
      <w:pPr>
        <w:pStyle w:val="ListParagraph"/>
        <w:numPr>
          <w:ilvl w:val="1"/>
          <w:numId w:val="38"/>
        </w:numPr>
        <w:spacing w:after="120"/>
        <w:contextualSpacing w:val="0"/>
        <w:rPr>
          <w:rFonts w:asciiTheme="minorHAnsi" w:hAnsiTheme="minorHAnsi" w:cstheme="minorHAnsi"/>
          <w:i/>
          <w:iCs/>
          <w:sz w:val="22"/>
          <w:szCs w:val="22"/>
        </w:rPr>
      </w:pPr>
      <w:bookmarkStart w:id="597" w:name="_Toc96878436"/>
      <w:r w:rsidRPr="00C95105">
        <w:rPr>
          <w:rFonts w:asciiTheme="minorHAnsi" w:hAnsiTheme="minorHAnsi" w:cstheme="minorHAnsi"/>
          <w:i/>
          <w:iCs/>
          <w:sz w:val="22"/>
          <w:szCs w:val="22"/>
        </w:rPr>
        <w:t>Information management systems be reviewed to maximise the capacity to gather data on representation in the public sector along a range of intersecting identities.</w:t>
      </w:r>
      <w:bookmarkEnd w:id="597"/>
    </w:p>
    <w:p w14:paraId="3A86555B" w14:textId="70509D3C" w:rsidR="00EC58B5" w:rsidRPr="00C95105" w:rsidRDefault="00EC58B5" w:rsidP="00756FF3">
      <w:pPr>
        <w:pStyle w:val="ListParagraph"/>
        <w:numPr>
          <w:ilvl w:val="1"/>
          <w:numId w:val="38"/>
        </w:numPr>
        <w:spacing w:after="120"/>
        <w:contextualSpacing w:val="0"/>
        <w:rPr>
          <w:rFonts w:asciiTheme="minorHAnsi" w:hAnsiTheme="minorHAnsi" w:cstheme="minorHAnsi"/>
          <w:i/>
          <w:iCs/>
          <w:sz w:val="22"/>
          <w:szCs w:val="22"/>
        </w:rPr>
      </w:pPr>
      <w:bookmarkStart w:id="598" w:name="_Toc96878437"/>
      <w:r w:rsidRPr="00C95105">
        <w:rPr>
          <w:rFonts w:asciiTheme="minorHAnsi" w:hAnsiTheme="minorHAnsi" w:cstheme="minorHAnsi"/>
          <w:i/>
          <w:iCs/>
          <w:sz w:val="22"/>
          <w:szCs w:val="22"/>
        </w:rPr>
        <w:t>This data be used to inform the establishment of quotas within quotas to ensure equitable representation of a diverse range of women.</w:t>
      </w:r>
      <w:bookmarkEnd w:id="598"/>
    </w:p>
    <w:p w14:paraId="4E855F78" w14:textId="1C625170" w:rsidR="00EC58B5" w:rsidRPr="00C95105" w:rsidRDefault="00EC58B5" w:rsidP="00F0524C">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Gender quotas at one level of an organisation, or in one sector, do not appear to impact women’s representation in other areas in the short to medium term. The ongoing under-representation of women in roles to which quotas have not been applied undermines the capacity of those quotas to effect broader gender equality outcomes. Without suitably skilled and qualified women at lower levels of an organisation the pool of talent may not be large enough to support leadership quotas. Further, some evidence attributes women’s lack of influence once in leadership roles to gender stereotypes and isolation from powerful inner </w:t>
      </w:r>
      <w:r w:rsidR="00522482" w:rsidRPr="00C95105">
        <w:rPr>
          <w:rFonts w:asciiTheme="minorHAnsi" w:hAnsiTheme="minorHAnsi" w:cstheme="minorHAnsi"/>
          <w:sz w:val="22"/>
          <w:szCs w:val="22"/>
        </w:rPr>
        <w:t>circles and</w:t>
      </w:r>
      <w:r w:rsidRPr="00C95105">
        <w:rPr>
          <w:rFonts w:asciiTheme="minorHAnsi" w:hAnsiTheme="minorHAnsi" w:cstheme="minorHAnsi"/>
          <w:sz w:val="22"/>
          <w:szCs w:val="22"/>
        </w:rPr>
        <w:t xml:space="preserve"> suggests this cannot be eliminated while women remain the minority of the broader organisation or industry (Storvik &amp; Gulbrandsen, 2016).</w:t>
      </w:r>
    </w:p>
    <w:p w14:paraId="08A822B8" w14:textId="77777777" w:rsidR="00F0524C" w:rsidRPr="00C95105" w:rsidRDefault="00F0524C" w:rsidP="00F0524C">
      <w:pPr>
        <w:spacing w:after="120"/>
        <w:ind w:firstLine="567"/>
        <w:rPr>
          <w:rFonts w:asciiTheme="minorHAnsi" w:hAnsiTheme="minorHAnsi" w:cstheme="minorHAnsi"/>
          <w:sz w:val="22"/>
          <w:szCs w:val="22"/>
        </w:rPr>
      </w:pPr>
    </w:p>
    <w:p w14:paraId="6DAC6F82" w14:textId="6842DFF0" w:rsidR="00EC58B5" w:rsidRPr="00C95105" w:rsidRDefault="00EC58B5" w:rsidP="00756FF3">
      <w:pPr>
        <w:pStyle w:val="ListParagraph"/>
        <w:numPr>
          <w:ilvl w:val="0"/>
          <w:numId w:val="42"/>
        </w:numPr>
        <w:spacing w:after="120"/>
        <w:ind w:left="709" w:hanging="283"/>
        <w:rPr>
          <w:rFonts w:asciiTheme="minorHAnsi" w:hAnsiTheme="minorHAnsi" w:cstheme="minorHAnsi"/>
          <w:b/>
          <w:bCs/>
          <w:sz w:val="22"/>
          <w:szCs w:val="22"/>
        </w:rPr>
      </w:pPr>
      <w:bookmarkStart w:id="599" w:name="_Toc96878438"/>
      <w:r w:rsidRPr="00C95105">
        <w:rPr>
          <w:rFonts w:asciiTheme="minorHAnsi" w:hAnsiTheme="minorHAnsi" w:cstheme="minorHAnsi"/>
          <w:b/>
          <w:bCs/>
          <w:sz w:val="22"/>
          <w:szCs w:val="22"/>
        </w:rPr>
        <w:t>Rather than relying on leadership quotas to trickle down to lower levels or spill</w:t>
      </w:r>
      <w:r w:rsidR="00700A12" w:rsidRPr="00C95105">
        <w:rPr>
          <w:rFonts w:asciiTheme="minorHAnsi" w:hAnsiTheme="minorHAnsi" w:cstheme="minorHAnsi"/>
          <w:b/>
          <w:bCs/>
          <w:sz w:val="22"/>
          <w:szCs w:val="22"/>
        </w:rPr>
        <w:t xml:space="preserve"> </w:t>
      </w:r>
      <w:r w:rsidRPr="00C95105">
        <w:rPr>
          <w:rFonts w:asciiTheme="minorHAnsi" w:hAnsiTheme="minorHAnsi" w:cstheme="minorHAnsi"/>
          <w:b/>
          <w:bCs/>
          <w:sz w:val="22"/>
          <w:szCs w:val="22"/>
        </w:rPr>
        <w:t>over to other sectors, quotas should be applied to all roles where women are underrepresented. We recommend:</w:t>
      </w:r>
      <w:bookmarkEnd w:id="599"/>
    </w:p>
    <w:p w14:paraId="0B3EC42B" w14:textId="77777777" w:rsidR="00EC58B5" w:rsidRPr="00C95105" w:rsidRDefault="00EC58B5" w:rsidP="00756FF3">
      <w:pPr>
        <w:pStyle w:val="ListParagraph"/>
        <w:numPr>
          <w:ilvl w:val="1"/>
          <w:numId w:val="33"/>
        </w:numPr>
        <w:spacing w:after="120"/>
        <w:contextualSpacing w:val="0"/>
        <w:rPr>
          <w:rFonts w:asciiTheme="minorHAnsi" w:hAnsiTheme="minorHAnsi" w:cstheme="minorHAnsi"/>
          <w:i/>
          <w:iCs/>
          <w:sz w:val="22"/>
          <w:szCs w:val="22"/>
        </w:rPr>
      </w:pPr>
      <w:bookmarkStart w:id="600" w:name="_Toc96878439"/>
      <w:r w:rsidRPr="00C95105">
        <w:rPr>
          <w:rFonts w:asciiTheme="minorHAnsi" w:hAnsiTheme="minorHAnsi" w:cstheme="minorHAnsi"/>
          <w:i/>
          <w:iCs/>
          <w:sz w:val="22"/>
          <w:szCs w:val="22"/>
        </w:rPr>
        <w:t>Ensuring Workforce Gender Audits measure and effectively monitor representation by gender and other intersecting identities both vertically and horizontally across the Victorian Public Sector.</w:t>
      </w:r>
      <w:bookmarkEnd w:id="600"/>
    </w:p>
    <w:p w14:paraId="01F85581" w14:textId="77777777" w:rsidR="00EC58B5" w:rsidRPr="00C95105" w:rsidRDefault="00EC58B5" w:rsidP="00756FF3">
      <w:pPr>
        <w:pStyle w:val="ListParagraph"/>
        <w:numPr>
          <w:ilvl w:val="1"/>
          <w:numId w:val="33"/>
        </w:numPr>
        <w:spacing w:after="120"/>
        <w:contextualSpacing w:val="0"/>
        <w:rPr>
          <w:rFonts w:asciiTheme="minorHAnsi" w:hAnsiTheme="minorHAnsi" w:cstheme="minorHAnsi"/>
          <w:i/>
          <w:iCs/>
          <w:sz w:val="22"/>
          <w:szCs w:val="22"/>
        </w:rPr>
      </w:pPr>
      <w:bookmarkStart w:id="601" w:name="_Toc96878440"/>
      <w:r w:rsidRPr="00C95105">
        <w:rPr>
          <w:rFonts w:asciiTheme="minorHAnsi" w:hAnsiTheme="minorHAnsi" w:cstheme="minorHAnsi"/>
          <w:i/>
          <w:iCs/>
          <w:sz w:val="22"/>
          <w:szCs w:val="22"/>
        </w:rPr>
        <w:t>The Commissioner for Gender Equality in the Public Sector establish an advisory group including VPS representatives and academic researchers, with the purpose of investigating all areas in which quotas may be constructively implemented in the VPS. This should include:</w:t>
      </w:r>
      <w:bookmarkEnd w:id="601"/>
    </w:p>
    <w:p w14:paraId="2EF4EBF6" w14:textId="77777777" w:rsidR="00EC58B5" w:rsidRPr="00C95105" w:rsidRDefault="00EC58B5" w:rsidP="00756FF3">
      <w:pPr>
        <w:pStyle w:val="ListParagraph"/>
        <w:numPr>
          <w:ilvl w:val="0"/>
          <w:numId w:val="39"/>
        </w:numPr>
        <w:spacing w:after="120"/>
        <w:contextualSpacing w:val="0"/>
        <w:rPr>
          <w:rFonts w:asciiTheme="minorHAnsi" w:hAnsiTheme="minorHAnsi" w:cstheme="minorHAnsi"/>
          <w:i/>
          <w:iCs/>
          <w:sz w:val="22"/>
          <w:szCs w:val="22"/>
        </w:rPr>
      </w:pPr>
      <w:bookmarkStart w:id="602" w:name="_Toc96878441"/>
      <w:r w:rsidRPr="00C95105">
        <w:rPr>
          <w:rFonts w:asciiTheme="minorHAnsi" w:hAnsiTheme="minorHAnsi" w:cstheme="minorHAnsi"/>
          <w:i/>
          <w:iCs/>
          <w:sz w:val="22"/>
          <w:szCs w:val="22"/>
        </w:rPr>
        <w:t>Candidate quotas for executive positions</w:t>
      </w:r>
      <w:bookmarkEnd w:id="602"/>
    </w:p>
    <w:p w14:paraId="050D1BC2" w14:textId="77777777" w:rsidR="00EC58B5" w:rsidRPr="00C95105" w:rsidRDefault="00EC58B5" w:rsidP="00756FF3">
      <w:pPr>
        <w:pStyle w:val="ListParagraph"/>
        <w:numPr>
          <w:ilvl w:val="0"/>
          <w:numId w:val="39"/>
        </w:numPr>
        <w:spacing w:after="120"/>
        <w:contextualSpacing w:val="0"/>
        <w:rPr>
          <w:rFonts w:asciiTheme="minorHAnsi" w:hAnsiTheme="minorHAnsi" w:cstheme="minorHAnsi"/>
          <w:i/>
          <w:iCs/>
          <w:sz w:val="22"/>
          <w:szCs w:val="22"/>
        </w:rPr>
      </w:pPr>
      <w:bookmarkStart w:id="603" w:name="_Toc96878442"/>
      <w:r w:rsidRPr="00C95105">
        <w:rPr>
          <w:rFonts w:asciiTheme="minorHAnsi" w:hAnsiTheme="minorHAnsi" w:cstheme="minorHAnsi"/>
          <w:i/>
          <w:iCs/>
          <w:sz w:val="22"/>
          <w:szCs w:val="22"/>
        </w:rPr>
        <w:t>Committee-level quotas on boards requiring that at least one woman sit on each subcommittee</w:t>
      </w:r>
      <w:bookmarkEnd w:id="603"/>
    </w:p>
    <w:p w14:paraId="62EE8E5B" w14:textId="77777777" w:rsidR="00EC58B5" w:rsidRPr="00C95105" w:rsidRDefault="00EC58B5" w:rsidP="00756FF3">
      <w:pPr>
        <w:pStyle w:val="ListParagraph"/>
        <w:numPr>
          <w:ilvl w:val="1"/>
          <w:numId w:val="33"/>
        </w:numPr>
        <w:spacing w:after="120"/>
        <w:contextualSpacing w:val="0"/>
        <w:rPr>
          <w:rFonts w:asciiTheme="minorHAnsi" w:hAnsiTheme="minorHAnsi" w:cstheme="minorHAnsi"/>
          <w:i/>
          <w:iCs/>
          <w:sz w:val="22"/>
          <w:szCs w:val="22"/>
        </w:rPr>
      </w:pPr>
      <w:bookmarkStart w:id="604" w:name="_Toc96878443"/>
      <w:r w:rsidRPr="00C95105">
        <w:rPr>
          <w:rFonts w:asciiTheme="minorHAnsi" w:hAnsiTheme="minorHAnsi" w:cstheme="minorHAnsi"/>
          <w:i/>
          <w:iCs/>
          <w:sz w:val="22"/>
          <w:szCs w:val="22"/>
        </w:rPr>
        <w:t>Approaches to implementing expanded VPS quotas should:</w:t>
      </w:r>
      <w:bookmarkEnd w:id="604"/>
    </w:p>
    <w:p w14:paraId="74D831B1" w14:textId="77777777" w:rsidR="00EC58B5" w:rsidRPr="00C95105" w:rsidRDefault="00EC58B5" w:rsidP="00756FF3">
      <w:pPr>
        <w:pStyle w:val="ListParagraph"/>
        <w:numPr>
          <w:ilvl w:val="0"/>
          <w:numId w:val="40"/>
        </w:numPr>
        <w:spacing w:after="120"/>
        <w:contextualSpacing w:val="0"/>
        <w:rPr>
          <w:rFonts w:asciiTheme="minorHAnsi" w:hAnsiTheme="minorHAnsi" w:cstheme="minorHAnsi"/>
          <w:i/>
          <w:iCs/>
          <w:sz w:val="22"/>
          <w:szCs w:val="22"/>
        </w:rPr>
      </w:pPr>
      <w:bookmarkStart w:id="605" w:name="_Toc96878444"/>
      <w:r w:rsidRPr="00C95105">
        <w:rPr>
          <w:rFonts w:asciiTheme="minorHAnsi" w:hAnsiTheme="minorHAnsi" w:cstheme="minorHAnsi"/>
          <w:i/>
          <w:iCs/>
          <w:sz w:val="22"/>
          <w:szCs w:val="22"/>
        </w:rPr>
        <w:t>Define and communicate organisational norms of fair and equal treatment</w:t>
      </w:r>
      <w:bookmarkEnd w:id="605"/>
    </w:p>
    <w:p w14:paraId="24F73E13" w14:textId="77777777" w:rsidR="00EC58B5" w:rsidRPr="00C95105" w:rsidRDefault="00EC58B5" w:rsidP="00756FF3">
      <w:pPr>
        <w:pStyle w:val="ListParagraph"/>
        <w:numPr>
          <w:ilvl w:val="0"/>
          <w:numId w:val="40"/>
        </w:numPr>
        <w:spacing w:after="120"/>
        <w:contextualSpacing w:val="0"/>
        <w:rPr>
          <w:rFonts w:asciiTheme="minorHAnsi" w:hAnsiTheme="minorHAnsi" w:cstheme="minorHAnsi"/>
          <w:i/>
          <w:iCs/>
          <w:sz w:val="22"/>
          <w:szCs w:val="22"/>
        </w:rPr>
      </w:pPr>
      <w:bookmarkStart w:id="606" w:name="_Toc96878445"/>
      <w:r w:rsidRPr="00C95105">
        <w:rPr>
          <w:rFonts w:asciiTheme="minorHAnsi" w:hAnsiTheme="minorHAnsi" w:cstheme="minorHAnsi"/>
          <w:i/>
          <w:iCs/>
          <w:sz w:val="22"/>
          <w:szCs w:val="22"/>
        </w:rPr>
        <w:lastRenderedPageBreak/>
        <w:t>Position quotas as a positive means of achieving and maintaining these norms</w:t>
      </w:r>
      <w:bookmarkEnd w:id="606"/>
    </w:p>
    <w:p w14:paraId="1442ED4E" w14:textId="317B37A1" w:rsidR="00EC58B5" w:rsidRPr="00C95105" w:rsidRDefault="00EC58B5" w:rsidP="00756FF3">
      <w:pPr>
        <w:pStyle w:val="ListParagraph"/>
        <w:numPr>
          <w:ilvl w:val="0"/>
          <w:numId w:val="40"/>
        </w:numPr>
        <w:spacing w:after="120"/>
        <w:contextualSpacing w:val="0"/>
        <w:rPr>
          <w:rFonts w:asciiTheme="minorHAnsi" w:hAnsiTheme="minorHAnsi" w:cstheme="minorHAnsi"/>
          <w:i/>
          <w:iCs/>
          <w:sz w:val="22"/>
          <w:szCs w:val="22"/>
        </w:rPr>
      </w:pPr>
      <w:bookmarkStart w:id="607" w:name="_Toc96878446"/>
      <w:r w:rsidRPr="00C95105">
        <w:rPr>
          <w:rFonts w:asciiTheme="minorHAnsi" w:hAnsiTheme="minorHAnsi" w:cstheme="minorHAnsi"/>
          <w:i/>
          <w:iCs/>
          <w:sz w:val="22"/>
          <w:szCs w:val="22"/>
        </w:rPr>
        <w:t>Directly negate false dichotomies between ‘equality’ and ‘merit’</w:t>
      </w:r>
      <w:bookmarkEnd w:id="607"/>
    </w:p>
    <w:p w14:paraId="4DEF3558" w14:textId="77777777" w:rsidR="00F0524C" w:rsidRPr="00C95105" w:rsidRDefault="00EC58B5" w:rsidP="00F0524C">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Evidence shows that in developed nations there is not, in reality, a tension between merit and equality. The implementation of gender quotas has been shown to increase the quality of leaders in both electoral and board contexts (Bennouri et al., 2020). Women who progress to leadership roles under quota systems are frequently as qualified, or more qualified, than the men in those roles (e.g., Allen et al., 2016; Bagues &amp; Campa, 2021; Beer &amp; Camp, 2016). Studies have shown that with an influx of highly qualified and capable women, it is the under-performing men who vacate leadership roles, leading to higher performing leadership bodies overall (Baltrunaite et al., 2014; Besley et al., 2017). </w:t>
      </w:r>
    </w:p>
    <w:p w14:paraId="66967504" w14:textId="5F11EE48" w:rsidR="00EC58B5" w:rsidRPr="00C95105" w:rsidRDefault="00EC58B5" w:rsidP="00F0524C">
      <w:pPr>
        <w:spacing w:after="120"/>
        <w:ind w:firstLine="567"/>
        <w:rPr>
          <w:rFonts w:asciiTheme="minorHAnsi" w:hAnsiTheme="minorHAnsi" w:cstheme="minorHAnsi"/>
          <w:sz w:val="22"/>
          <w:szCs w:val="22"/>
        </w:rPr>
      </w:pPr>
      <w:r w:rsidRPr="00C95105">
        <w:rPr>
          <w:rFonts w:asciiTheme="minorHAnsi" w:hAnsiTheme="minorHAnsi" w:cstheme="minorHAnsi"/>
          <w:sz w:val="22"/>
          <w:szCs w:val="22"/>
        </w:rPr>
        <w:t xml:space="preserve">Nonetheless, what is considered ‘merited’ is constructed by tradition and convention and does not always objectively reflect the highest possible standards of performance (Crosby et al., 2013). Notions of merit that reflect the status quo can prevent organisations from benefitting from the skills and perspectives of candidates with diverse life experiences. To truly embrace and benefit from diversity, organisations should subject their standards of merit to regular, clear-eyed scrutiny. </w:t>
      </w:r>
    </w:p>
    <w:p w14:paraId="351416AF" w14:textId="77777777" w:rsidR="00CF6262" w:rsidRPr="00C95105" w:rsidRDefault="00CF6262" w:rsidP="00CF6262">
      <w:pPr>
        <w:spacing w:after="120"/>
        <w:rPr>
          <w:rFonts w:asciiTheme="minorHAnsi" w:hAnsiTheme="minorHAnsi" w:cstheme="minorHAnsi"/>
          <w:i/>
          <w:iCs/>
          <w:sz w:val="22"/>
          <w:szCs w:val="22"/>
        </w:rPr>
      </w:pPr>
    </w:p>
    <w:p w14:paraId="5EB7178E" w14:textId="77777777" w:rsidR="00EC58B5" w:rsidRPr="00C95105" w:rsidRDefault="00EC58B5" w:rsidP="00756FF3">
      <w:pPr>
        <w:pStyle w:val="ListParagraph"/>
        <w:numPr>
          <w:ilvl w:val="0"/>
          <w:numId w:val="42"/>
        </w:numPr>
        <w:spacing w:after="120"/>
        <w:ind w:left="709" w:hanging="283"/>
        <w:rPr>
          <w:rFonts w:asciiTheme="minorHAnsi" w:hAnsiTheme="minorHAnsi" w:cstheme="minorHAnsi"/>
          <w:b/>
          <w:bCs/>
          <w:sz w:val="22"/>
          <w:szCs w:val="22"/>
        </w:rPr>
      </w:pPr>
      <w:bookmarkStart w:id="608" w:name="_Toc96878447"/>
      <w:r w:rsidRPr="00C95105">
        <w:rPr>
          <w:rFonts w:asciiTheme="minorHAnsi" w:hAnsiTheme="minorHAnsi" w:cstheme="minorHAnsi"/>
          <w:b/>
          <w:bCs/>
          <w:sz w:val="22"/>
          <w:szCs w:val="22"/>
        </w:rPr>
        <w:t>Persistent under-representation of women should also be addressed by a long-term strategy to establish a ‘pipeline’ of women at all levels and across all sectors. We recommend:</w:t>
      </w:r>
      <w:bookmarkEnd w:id="608"/>
    </w:p>
    <w:p w14:paraId="310F9693" w14:textId="77777777" w:rsidR="00EC58B5" w:rsidRPr="00C95105" w:rsidRDefault="00EC58B5" w:rsidP="00756FF3">
      <w:pPr>
        <w:pStyle w:val="ListParagraph"/>
        <w:numPr>
          <w:ilvl w:val="1"/>
          <w:numId w:val="37"/>
        </w:numPr>
        <w:spacing w:after="120"/>
        <w:contextualSpacing w:val="0"/>
        <w:rPr>
          <w:rFonts w:asciiTheme="minorHAnsi" w:hAnsiTheme="minorHAnsi" w:cstheme="minorHAnsi"/>
          <w:i/>
          <w:iCs/>
          <w:sz w:val="22"/>
          <w:szCs w:val="22"/>
        </w:rPr>
      </w:pPr>
      <w:bookmarkStart w:id="609" w:name="_Toc96878448"/>
      <w:r w:rsidRPr="00C95105">
        <w:rPr>
          <w:rFonts w:asciiTheme="minorHAnsi" w:hAnsiTheme="minorHAnsi" w:cstheme="minorHAnsi"/>
          <w:i/>
          <w:iCs/>
          <w:sz w:val="22"/>
          <w:szCs w:val="22"/>
        </w:rPr>
        <w:t>Using Workforce Gender Audits to develop a map of the gender pipeline</w:t>
      </w:r>
      <w:bookmarkEnd w:id="609"/>
    </w:p>
    <w:p w14:paraId="3E106623" w14:textId="77777777" w:rsidR="00EC58B5" w:rsidRPr="00C95105" w:rsidRDefault="00EC58B5" w:rsidP="00756FF3">
      <w:pPr>
        <w:pStyle w:val="ListParagraph"/>
        <w:numPr>
          <w:ilvl w:val="1"/>
          <w:numId w:val="37"/>
        </w:numPr>
        <w:spacing w:after="120"/>
        <w:contextualSpacing w:val="0"/>
        <w:rPr>
          <w:rFonts w:asciiTheme="minorHAnsi" w:hAnsiTheme="minorHAnsi" w:cstheme="minorHAnsi"/>
          <w:i/>
          <w:iCs/>
          <w:sz w:val="22"/>
          <w:szCs w:val="22"/>
        </w:rPr>
      </w:pPr>
      <w:bookmarkStart w:id="610" w:name="_Toc96878449"/>
      <w:r w:rsidRPr="00C95105">
        <w:rPr>
          <w:rFonts w:asciiTheme="minorHAnsi" w:hAnsiTheme="minorHAnsi" w:cstheme="minorHAnsi"/>
          <w:i/>
          <w:iCs/>
          <w:sz w:val="22"/>
          <w:szCs w:val="22"/>
        </w:rPr>
        <w:t>Establishing pipeline targets at each level within each sector</w:t>
      </w:r>
      <w:bookmarkEnd w:id="610"/>
    </w:p>
    <w:p w14:paraId="162B134D" w14:textId="77777777" w:rsidR="00EC58B5" w:rsidRPr="00C95105" w:rsidRDefault="00EC58B5" w:rsidP="00756FF3">
      <w:pPr>
        <w:pStyle w:val="ListParagraph"/>
        <w:numPr>
          <w:ilvl w:val="1"/>
          <w:numId w:val="37"/>
        </w:numPr>
        <w:spacing w:after="120"/>
        <w:contextualSpacing w:val="0"/>
        <w:rPr>
          <w:rFonts w:asciiTheme="minorHAnsi" w:hAnsiTheme="minorHAnsi" w:cstheme="minorHAnsi"/>
          <w:i/>
          <w:iCs/>
          <w:sz w:val="22"/>
          <w:szCs w:val="22"/>
        </w:rPr>
      </w:pPr>
      <w:bookmarkStart w:id="611" w:name="_Toc96878450"/>
      <w:r w:rsidRPr="00C95105">
        <w:rPr>
          <w:rFonts w:asciiTheme="minorHAnsi" w:hAnsiTheme="minorHAnsi" w:cstheme="minorHAnsi"/>
          <w:i/>
          <w:iCs/>
          <w:sz w:val="22"/>
          <w:szCs w:val="22"/>
        </w:rPr>
        <w:t>Evaluating information management systems to ensure they can track individual promotion and development across the VPS, so women’s progress can be monitored.</w:t>
      </w:r>
      <w:bookmarkEnd w:id="611"/>
    </w:p>
    <w:p w14:paraId="0D90287F" w14:textId="77777777" w:rsidR="00EC58B5" w:rsidRPr="00C95105" w:rsidRDefault="00EC58B5" w:rsidP="00756FF3">
      <w:pPr>
        <w:pStyle w:val="ListParagraph"/>
        <w:numPr>
          <w:ilvl w:val="1"/>
          <w:numId w:val="37"/>
        </w:numPr>
        <w:spacing w:after="120"/>
        <w:contextualSpacing w:val="0"/>
        <w:rPr>
          <w:rFonts w:asciiTheme="minorHAnsi" w:hAnsiTheme="minorHAnsi" w:cstheme="minorHAnsi"/>
          <w:i/>
          <w:iCs/>
          <w:sz w:val="22"/>
          <w:szCs w:val="22"/>
        </w:rPr>
      </w:pPr>
      <w:bookmarkStart w:id="612" w:name="_Toc96878451"/>
      <w:r w:rsidRPr="00C95105">
        <w:rPr>
          <w:rFonts w:asciiTheme="minorHAnsi" w:hAnsiTheme="minorHAnsi" w:cstheme="minorHAnsi"/>
          <w:i/>
          <w:iCs/>
          <w:sz w:val="22"/>
          <w:szCs w:val="22"/>
        </w:rPr>
        <w:t>Establishing initiatives to drive promotion and development of women in areas in which they are underrepresented, with consideration for the needs of those with intersecting identities that compound barriers to career progression.</w:t>
      </w:r>
      <w:bookmarkEnd w:id="612"/>
    </w:p>
    <w:p w14:paraId="6E6E5A77" w14:textId="77777777" w:rsidR="00EC58B5" w:rsidRPr="00C95105" w:rsidRDefault="00EC58B5" w:rsidP="00756FF3">
      <w:pPr>
        <w:pStyle w:val="ListParagraph"/>
        <w:numPr>
          <w:ilvl w:val="1"/>
          <w:numId w:val="37"/>
        </w:numPr>
        <w:spacing w:after="120"/>
        <w:contextualSpacing w:val="0"/>
        <w:rPr>
          <w:rFonts w:asciiTheme="minorHAnsi" w:hAnsiTheme="minorHAnsi" w:cstheme="minorHAnsi"/>
          <w:i/>
          <w:iCs/>
          <w:sz w:val="22"/>
          <w:szCs w:val="22"/>
        </w:rPr>
      </w:pPr>
      <w:bookmarkStart w:id="613" w:name="_Toc96878452"/>
      <w:r w:rsidRPr="00C95105">
        <w:rPr>
          <w:rFonts w:asciiTheme="minorHAnsi" w:hAnsiTheme="minorHAnsi" w:cstheme="minorHAnsi"/>
          <w:i/>
          <w:iCs/>
          <w:sz w:val="22"/>
          <w:szCs w:val="22"/>
        </w:rPr>
        <w:t xml:space="preserve">Investigating models for outreach to secondary schools and tertiary education institutions to increase numbers of girls and women entering study in fields where women are historically underrepresented. Several successful programs exist and could be adapted to address VPS pipeline problems at their source (see Women and Girls in STEM map: </w:t>
      </w:r>
      <w:hyperlink r:id="rId127" w:history="1">
        <w:r w:rsidRPr="00C95105">
          <w:rPr>
            <w:rStyle w:val="Hyperlink"/>
            <w:rFonts w:asciiTheme="minorHAnsi" w:hAnsiTheme="minorHAnsi" w:cstheme="minorHAnsi"/>
            <w:i/>
            <w:iCs/>
            <w:sz w:val="22"/>
            <w:szCs w:val="22"/>
          </w:rPr>
          <w:t>https://djpr.vic.gov.au/__data/assets/pdf_file/0007/1925305/Women-in-STEM-Map.pdf</w:t>
        </w:r>
      </w:hyperlink>
      <w:r w:rsidRPr="00C95105">
        <w:rPr>
          <w:rFonts w:asciiTheme="minorHAnsi" w:hAnsiTheme="minorHAnsi" w:cstheme="minorHAnsi"/>
          <w:i/>
          <w:iCs/>
          <w:sz w:val="22"/>
          <w:szCs w:val="22"/>
        </w:rPr>
        <w:t xml:space="preserve"> and the University of Melbourne’s Pathway to Politics Program: </w:t>
      </w:r>
      <w:hyperlink r:id="rId128" w:history="1">
        <w:r w:rsidRPr="00C95105">
          <w:rPr>
            <w:rStyle w:val="Hyperlink"/>
            <w:rFonts w:asciiTheme="minorHAnsi" w:hAnsiTheme="minorHAnsi" w:cstheme="minorHAnsi"/>
            <w:i/>
            <w:iCs/>
            <w:sz w:val="22"/>
            <w:szCs w:val="22"/>
          </w:rPr>
          <w:t>https://www.unimelb.edu.au/pathways-to-politics</w:t>
        </w:r>
      </w:hyperlink>
      <w:r w:rsidRPr="00C95105">
        <w:rPr>
          <w:rFonts w:asciiTheme="minorHAnsi" w:hAnsiTheme="minorHAnsi" w:cstheme="minorHAnsi"/>
          <w:i/>
          <w:iCs/>
          <w:sz w:val="22"/>
          <w:szCs w:val="22"/>
        </w:rPr>
        <w:t xml:space="preserve"> for examples)</w:t>
      </w:r>
      <w:bookmarkEnd w:id="613"/>
    </w:p>
    <w:p w14:paraId="1A916844" w14:textId="77777777" w:rsidR="00EC58B5" w:rsidRPr="00C95105" w:rsidRDefault="00EC58B5" w:rsidP="00EC58B5">
      <w:pPr>
        <w:spacing w:after="120"/>
        <w:rPr>
          <w:rFonts w:asciiTheme="minorHAnsi" w:hAnsiTheme="minorHAnsi" w:cstheme="minorHAnsi"/>
          <w:sz w:val="22"/>
          <w:szCs w:val="22"/>
        </w:rPr>
      </w:pPr>
    </w:p>
    <w:p w14:paraId="5759B4DF" w14:textId="77777777" w:rsidR="00EC58B5" w:rsidRPr="00C95105" w:rsidRDefault="00EC58B5" w:rsidP="00E120C1">
      <w:pPr>
        <w:spacing w:after="120"/>
        <w:ind w:firstLine="567"/>
        <w:rPr>
          <w:rFonts w:asciiTheme="minorHAnsi" w:hAnsiTheme="minorHAnsi" w:cstheme="minorHAnsi"/>
          <w:bCs/>
          <w:sz w:val="22"/>
          <w:szCs w:val="22"/>
        </w:rPr>
      </w:pPr>
      <w:r w:rsidRPr="00C95105">
        <w:rPr>
          <w:rFonts w:asciiTheme="minorHAnsi" w:hAnsiTheme="minorHAnsi" w:cstheme="minorHAnsi"/>
          <w:bCs/>
          <w:sz w:val="22"/>
          <w:szCs w:val="22"/>
        </w:rPr>
        <w:t xml:space="preserve">Quotas must complement other efforts to transform social and organisational norms and values and should not, on their own, be expected to translate to substantive outcomes for women. Institutional entrenchment of gender inequality and social norms regarding the role of women frequently prevent the beneficiaries of quota systems from achieving outcomes that benefit other women. </w:t>
      </w:r>
    </w:p>
    <w:p w14:paraId="277CA362" w14:textId="77777777" w:rsidR="00EC58B5" w:rsidRPr="00C95105" w:rsidRDefault="00EC58B5" w:rsidP="00756FF3">
      <w:pPr>
        <w:pStyle w:val="ListParagraph"/>
        <w:numPr>
          <w:ilvl w:val="0"/>
          <w:numId w:val="42"/>
        </w:numPr>
        <w:spacing w:after="120"/>
        <w:ind w:left="709" w:hanging="283"/>
        <w:rPr>
          <w:rFonts w:asciiTheme="minorHAnsi" w:hAnsiTheme="minorHAnsi" w:cstheme="minorHAnsi"/>
          <w:b/>
          <w:bCs/>
          <w:sz w:val="22"/>
          <w:szCs w:val="22"/>
        </w:rPr>
      </w:pPr>
      <w:bookmarkStart w:id="614" w:name="_Toc96878453"/>
      <w:r w:rsidRPr="00C95105">
        <w:rPr>
          <w:rFonts w:asciiTheme="minorHAnsi" w:hAnsiTheme="minorHAnsi" w:cstheme="minorHAnsi"/>
          <w:b/>
          <w:bCs/>
          <w:sz w:val="22"/>
          <w:szCs w:val="22"/>
        </w:rPr>
        <w:t>Quotas must be implemented in concert with a range of measures intended to enhance gender equality. We recommend:</w:t>
      </w:r>
      <w:bookmarkEnd w:id="614"/>
      <w:r w:rsidRPr="00C95105">
        <w:rPr>
          <w:rFonts w:asciiTheme="minorHAnsi" w:hAnsiTheme="minorHAnsi" w:cstheme="minorHAnsi"/>
          <w:b/>
          <w:bCs/>
          <w:sz w:val="22"/>
          <w:szCs w:val="22"/>
        </w:rPr>
        <w:t xml:space="preserve"> </w:t>
      </w:r>
    </w:p>
    <w:p w14:paraId="7394AE4E" w14:textId="77777777" w:rsidR="00EC58B5" w:rsidRPr="00C95105" w:rsidRDefault="00EC58B5" w:rsidP="00756FF3">
      <w:pPr>
        <w:pStyle w:val="ListParagraph"/>
        <w:numPr>
          <w:ilvl w:val="1"/>
          <w:numId w:val="33"/>
        </w:numPr>
        <w:spacing w:after="120"/>
        <w:ind w:hanging="357"/>
        <w:contextualSpacing w:val="0"/>
        <w:rPr>
          <w:rFonts w:asciiTheme="minorHAnsi" w:hAnsiTheme="minorHAnsi" w:cstheme="minorHAnsi"/>
          <w:bCs/>
          <w:i/>
          <w:iCs/>
          <w:sz w:val="22"/>
          <w:szCs w:val="22"/>
        </w:rPr>
      </w:pPr>
      <w:bookmarkStart w:id="615" w:name="_Toc96878454"/>
      <w:r w:rsidRPr="00C95105">
        <w:rPr>
          <w:rFonts w:asciiTheme="minorHAnsi" w:hAnsiTheme="minorHAnsi" w:cstheme="minorHAnsi"/>
          <w:bCs/>
          <w:i/>
          <w:iCs/>
          <w:sz w:val="22"/>
          <w:szCs w:val="22"/>
        </w:rPr>
        <w:t>Women’s disproportionate responsibility for childcare and household duties be addressed by measures to improve access to childcare and the roadmap to increase men’s uptake of flexible work arrangements provided elsewhere in this report.</w:t>
      </w:r>
      <w:bookmarkEnd w:id="615"/>
      <w:r w:rsidRPr="00C95105">
        <w:rPr>
          <w:rFonts w:asciiTheme="minorHAnsi" w:hAnsiTheme="minorHAnsi" w:cstheme="minorHAnsi"/>
          <w:bCs/>
          <w:i/>
          <w:iCs/>
          <w:sz w:val="22"/>
          <w:szCs w:val="22"/>
        </w:rPr>
        <w:t xml:space="preserve"> </w:t>
      </w:r>
    </w:p>
    <w:p w14:paraId="29EFE005" w14:textId="77777777" w:rsidR="00EC58B5" w:rsidRPr="00C95105" w:rsidRDefault="00EC58B5" w:rsidP="00756FF3">
      <w:pPr>
        <w:pStyle w:val="ListParagraph"/>
        <w:numPr>
          <w:ilvl w:val="1"/>
          <w:numId w:val="33"/>
        </w:numPr>
        <w:spacing w:after="120"/>
        <w:ind w:hanging="357"/>
        <w:contextualSpacing w:val="0"/>
        <w:rPr>
          <w:rFonts w:asciiTheme="minorHAnsi" w:hAnsiTheme="minorHAnsi" w:cstheme="minorHAnsi"/>
          <w:bCs/>
          <w:i/>
          <w:iCs/>
          <w:sz w:val="22"/>
          <w:szCs w:val="22"/>
        </w:rPr>
      </w:pPr>
      <w:bookmarkStart w:id="616" w:name="_Toc96878455"/>
      <w:r w:rsidRPr="00C95105">
        <w:rPr>
          <w:rFonts w:asciiTheme="minorHAnsi" w:hAnsiTheme="minorHAnsi" w:cstheme="minorHAnsi"/>
          <w:bCs/>
          <w:i/>
          <w:iCs/>
          <w:sz w:val="22"/>
          <w:szCs w:val="22"/>
        </w:rPr>
        <w:lastRenderedPageBreak/>
        <w:t>Women’s frequent socioeconomic disadvantage be addressed by the elimination of the gender pay gap and pay structures that financially penalise a woman for carrying and raising children.</w:t>
      </w:r>
      <w:bookmarkEnd w:id="616"/>
      <w:r w:rsidRPr="00C95105">
        <w:rPr>
          <w:rFonts w:asciiTheme="minorHAnsi" w:hAnsiTheme="minorHAnsi" w:cstheme="minorHAnsi"/>
          <w:bCs/>
          <w:i/>
          <w:iCs/>
          <w:sz w:val="22"/>
          <w:szCs w:val="22"/>
        </w:rPr>
        <w:t xml:space="preserve"> </w:t>
      </w:r>
    </w:p>
    <w:p w14:paraId="7271F90E" w14:textId="77777777" w:rsidR="00EC58B5" w:rsidRPr="00C95105" w:rsidRDefault="00EC58B5" w:rsidP="00756FF3">
      <w:pPr>
        <w:pStyle w:val="ListParagraph"/>
        <w:numPr>
          <w:ilvl w:val="1"/>
          <w:numId w:val="33"/>
        </w:numPr>
        <w:spacing w:after="120"/>
        <w:ind w:hanging="357"/>
        <w:contextualSpacing w:val="0"/>
        <w:rPr>
          <w:rFonts w:asciiTheme="minorHAnsi" w:hAnsiTheme="minorHAnsi" w:cstheme="minorHAnsi"/>
          <w:bCs/>
          <w:i/>
          <w:iCs/>
          <w:sz w:val="22"/>
          <w:szCs w:val="22"/>
        </w:rPr>
      </w:pPr>
      <w:bookmarkStart w:id="617" w:name="_Toc96878456"/>
      <w:r w:rsidRPr="00C95105">
        <w:rPr>
          <w:rFonts w:asciiTheme="minorHAnsi" w:hAnsiTheme="minorHAnsi" w:cstheme="minorHAnsi"/>
          <w:bCs/>
          <w:i/>
          <w:iCs/>
          <w:sz w:val="22"/>
          <w:szCs w:val="22"/>
        </w:rPr>
        <w:t>Strategies to reduce gender prejudice, such as those outlined in the Anonymous Application Procedures roadmap in this report, be implemented immediately.</w:t>
      </w:r>
      <w:bookmarkEnd w:id="617"/>
      <w:r w:rsidRPr="00C95105">
        <w:rPr>
          <w:rFonts w:asciiTheme="minorHAnsi" w:hAnsiTheme="minorHAnsi" w:cstheme="minorHAnsi"/>
          <w:bCs/>
          <w:i/>
          <w:iCs/>
          <w:sz w:val="22"/>
          <w:szCs w:val="22"/>
        </w:rPr>
        <w:t xml:space="preserve"> </w:t>
      </w:r>
    </w:p>
    <w:p w14:paraId="196C74BE" w14:textId="77777777" w:rsidR="00EC58B5" w:rsidRPr="00C95105" w:rsidRDefault="00EC58B5" w:rsidP="00EC58B5">
      <w:pPr>
        <w:spacing w:after="120"/>
        <w:rPr>
          <w:rFonts w:asciiTheme="minorHAnsi" w:hAnsiTheme="minorHAnsi" w:cstheme="minorHAnsi"/>
          <w:sz w:val="22"/>
          <w:szCs w:val="22"/>
        </w:rPr>
      </w:pPr>
    </w:p>
    <w:p w14:paraId="288D9A01" w14:textId="56730275" w:rsidR="00EC58B5" w:rsidRPr="00C95105" w:rsidRDefault="00EC58B5" w:rsidP="00756FF3">
      <w:pPr>
        <w:pStyle w:val="Heading2"/>
        <w:numPr>
          <w:ilvl w:val="1"/>
          <w:numId w:val="35"/>
        </w:numPr>
        <w:spacing w:before="0" w:after="120"/>
        <w:ind w:left="426" w:hanging="426"/>
        <w:rPr>
          <w:rFonts w:asciiTheme="minorHAnsi" w:hAnsiTheme="minorHAnsi" w:cstheme="minorHAnsi"/>
          <w:b/>
          <w:bCs/>
        </w:rPr>
      </w:pPr>
      <w:bookmarkStart w:id="618" w:name="_Toc96957747"/>
      <w:r w:rsidRPr="00C95105">
        <w:rPr>
          <w:rFonts w:asciiTheme="minorHAnsi" w:hAnsiTheme="minorHAnsi" w:cstheme="minorHAnsi"/>
          <w:b/>
          <w:bCs/>
        </w:rPr>
        <w:t>Conclusions</w:t>
      </w:r>
      <w:bookmarkEnd w:id="618"/>
    </w:p>
    <w:p w14:paraId="5B59D1D5" w14:textId="77777777" w:rsidR="00EC58B5" w:rsidRPr="00C95105" w:rsidRDefault="00EC58B5" w:rsidP="00EC58B5">
      <w:pPr>
        <w:spacing w:after="120"/>
        <w:ind w:firstLine="720"/>
        <w:rPr>
          <w:rFonts w:asciiTheme="minorHAnsi" w:hAnsiTheme="minorHAnsi" w:cstheme="minorHAnsi"/>
          <w:sz w:val="22"/>
          <w:szCs w:val="22"/>
        </w:rPr>
      </w:pPr>
      <w:r w:rsidRPr="00C95105">
        <w:rPr>
          <w:rFonts w:asciiTheme="minorHAnsi" w:hAnsiTheme="minorHAnsi" w:cstheme="minorHAnsi"/>
          <w:sz w:val="22"/>
          <w:szCs w:val="22"/>
        </w:rPr>
        <w:t xml:space="preserve">Early research into the outcomes of leadership gender quotas focused almost exclusively on whether these interventions were successful in increasing the numbers of women on corporate boards and in legislatures. It is only relatively recently that academic inquiry has turned to questions regarding the substantive impact that women’s greater representation has had on progress toward gender equality. This report has examined the available literature addressing the impact of leadership gender quotas on women’s influence, public attitudes, and labour market indicators. As noted throughout our findings, little of this research has been able to report on long-term outcomes (greater than ten years) of gender quotas and this should be borne in mind when evaluating our findings. Three key themes emerge in our policy implications: </w:t>
      </w:r>
    </w:p>
    <w:p w14:paraId="1FD3BE6F" w14:textId="75141437" w:rsidR="00EC58B5" w:rsidRPr="00C95105" w:rsidRDefault="00EC58B5" w:rsidP="00756FF3">
      <w:pPr>
        <w:pStyle w:val="ListParagraph"/>
        <w:numPr>
          <w:ilvl w:val="1"/>
          <w:numId w:val="41"/>
        </w:numPr>
        <w:spacing w:after="120"/>
        <w:ind w:hanging="153"/>
        <w:rPr>
          <w:rFonts w:asciiTheme="minorHAnsi" w:hAnsiTheme="minorHAnsi" w:cstheme="minorHAnsi"/>
          <w:b/>
          <w:bCs/>
          <w:sz w:val="22"/>
          <w:szCs w:val="22"/>
        </w:rPr>
      </w:pPr>
      <w:bookmarkStart w:id="619" w:name="_Toc96878457"/>
      <w:r w:rsidRPr="00C95105">
        <w:rPr>
          <w:rFonts w:asciiTheme="minorHAnsi" w:hAnsiTheme="minorHAnsi" w:cstheme="minorHAnsi"/>
          <w:b/>
          <w:bCs/>
          <w:sz w:val="22"/>
          <w:szCs w:val="22"/>
        </w:rPr>
        <w:t xml:space="preserve">Gender quotas at one level of an organisation, or in one sector, do not appear to have </w:t>
      </w:r>
      <w:r w:rsidR="7A99E324" w:rsidRPr="00C95105">
        <w:rPr>
          <w:rFonts w:asciiTheme="minorHAnsi" w:hAnsiTheme="minorHAnsi" w:cstheme="minorHAnsi"/>
          <w:b/>
          <w:bCs/>
          <w:sz w:val="22"/>
          <w:szCs w:val="22"/>
        </w:rPr>
        <w:t>spill</w:t>
      </w:r>
      <w:r w:rsidR="0049477B" w:rsidRPr="00C95105">
        <w:rPr>
          <w:rFonts w:asciiTheme="minorHAnsi" w:hAnsiTheme="minorHAnsi" w:cstheme="minorHAnsi"/>
          <w:b/>
          <w:bCs/>
          <w:sz w:val="22"/>
          <w:szCs w:val="22"/>
        </w:rPr>
        <w:t>-</w:t>
      </w:r>
      <w:r w:rsidR="7A99E324" w:rsidRPr="00C95105">
        <w:rPr>
          <w:rFonts w:asciiTheme="minorHAnsi" w:hAnsiTheme="minorHAnsi" w:cstheme="minorHAnsi"/>
          <w:b/>
          <w:bCs/>
          <w:sz w:val="22"/>
          <w:szCs w:val="22"/>
        </w:rPr>
        <w:t>over</w:t>
      </w:r>
      <w:r w:rsidRPr="00C95105">
        <w:rPr>
          <w:rFonts w:asciiTheme="minorHAnsi" w:hAnsiTheme="minorHAnsi" w:cstheme="minorHAnsi"/>
          <w:b/>
          <w:bCs/>
          <w:sz w:val="22"/>
          <w:szCs w:val="22"/>
        </w:rPr>
        <w:t xml:space="preserve"> effects to other levels or sectors in the short to medium term.</w:t>
      </w:r>
      <w:bookmarkEnd w:id="619"/>
      <w:r w:rsidRPr="00C95105">
        <w:rPr>
          <w:rFonts w:asciiTheme="minorHAnsi" w:hAnsiTheme="minorHAnsi" w:cstheme="minorHAnsi"/>
          <w:b/>
          <w:bCs/>
          <w:sz w:val="22"/>
          <w:szCs w:val="22"/>
        </w:rPr>
        <w:t xml:space="preserve"> </w:t>
      </w:r>
    </w:p>
    <w:p w14:paraId="193D6AF0" w14:textId="4797532D" w:rsidR="00EC58B5" w:rsidRPr="00C95105" w:rsidRDefault="00EC58B5" w:rsidP="00EC58B5">
      <w:pPr>
        <w:spacing w:after="120"/>
        <w:rPr>
          <w:rFonts w:asciiTheme="minorHAnsi" w:hAnsiTheme="minorHAnsi" w:cstheme="minorHAnsi"/>
          <w:bCs/>
          <w:sz w:val="22"/>
          <w:szCs w:val="22"/>
        </w:rPr>
      </w:pPr>
      <w:r w:rsidRPr="00C95105">
        <w:rPr>
          <w:rFonts w:asciiTheme="minorHAnsi" w:hAnsiTheme="minorHAnsi" w:cstheme="minorHAnsi"/>
          <w:bCs/>
          <w:sz w:val="22"/>
          <w:szCs w:val="22"/>
        </w:rPr>
        <w:t>Quotas have been shown to increase the proportion of women in the roles to which they are applied. Rather than relying on leadership quotas to ‘trickle</w:t>
      </w:r>
      <w:r w:rsidR="0049477B" w:rsidRPr="00C95105">
        <w:rPr>
          <w:rFonts w:asciiTheme="minorHAnsi" w:hAnsiTheme="minorHAnsi" w:cstheme="minorHAnsi"/>
          <w:bCs/>
          <w:sz w:val="22"/>
          <w:szCs w:val="22"/>
        </w:rPr>
        <w:t xml:space="preserve"> </w:t>
      </w:r>
      <w:r w:rsidRPr="00C95105">
        <w:rPr>
          <w:rFonts w:asciiTheme="minorHAnsi" w:hAnsiTheme="minorHAnsi" w:cstheme="minorHAnsi"/>
          <w:bCs/>
          <w:sz w:val="22"/>
          <w:szCs w:val="22"/>
        </w:rPr>
        <w:t>down’ to lower levels, or ‘spill</w:t>
      </w:r>
      <w:r w:rsidR="0049477B" w:rsidRPr="00C95105">
        <w:rPr>
          <w:rFonts w:asciiTheme="minorHAnsi" w:hAnsiTheme="minorHAnsi" w:cstheme="minorHAnsi"/>
          <w:bCs/>
          <w:sz w:val="22"/>
          <w:szCs w:val="22"/>
        </w:rPr>
        <w:t xml:space="preserve"> </w:t>
      </w:r>
      <w:r w:rsidRPr="00C95105">
        <w:rPr>
          <w:rFonts w:asciiTheme="minorHAnsi" w:hAnsiTheme="minorHAnsi" w:cstheme="minorHAnsi"/>
          <w:bCs/>
          <w:sz w:val="22"/>
          <w:szCs w:val="22"/>
        </w:rPr>
        <w:t xml:space="preserve">over’ to other sectors, quotas should be </w:t>
      </w:r>
      <w:r w:rsidRPr="00C95105">
        <w:rPr>
          <w:rFonts w:asciiTheme="minorHAnsi" w:hAnsiTheme="minorHAnsi" w:cstheme="minorHAnsi"/>
          <w:sz w:val="22"/>
          <w:szCs w:val="22"/>
        </w:rPr>
        <w:t>considered for</w:t>
      </w:r>
      <w:r w:rsidRPr="00C95105">
        <w:rPr>
          <w:rFonts w:asciiTheme="minorHAnsi" w:hAnsiTheme="minorHAnsi" w:cstheme="minorHAnsi"/>
          <w:bCs/>
          <w:sz w:val="22"/>
          <w:szCs w:val="22"/>
        </w:rPr>
        <w:t xml:space="preserve"> all roles where women are underrepresented. </w:t>
      </w:r>
    </w:p>
    <w:p w14:paraId="643C3F05" w14:textId="2BFFB74C" w:rsidR="00EC58B5" w:rsidRPr="00C95105" w:rsidRDefault="00EC58B5" w:rsidP="00756FF3">
      <w:pPr>
        <w:pStyle w:val="ListParagraph"/>
        <w:numPr>
          <w:ilvl w:val="1"/>
          <w:numId w:val="41"/>
        </w:numPr>
        <w:spacing w:after="120"/>
        <w:ind w:hanging="153"/>
        <w:rPr>
          <w:rFonts w:asciiTheme="minorHAnsi" w:hAnsiTheme="minorHAnsi" w:cstheme="minorHAnsi"/>
          <w:b/>
          <w:bCs/>
          <w:sz w:val="22"/>
          <w:szCs w:val="22"/>
        </w:rPr>
      </w:pPr>
      <w:bookmarkStart w:id="620" w:name="_Toc96878458"/>
      <w:r w:rsidRPr="00C95105">
        <w:rPr>
          <w:rFonts w:asciiTheme="minorHAnsi" w:hAnsiTheme="minorHAnsi" w:cstheme="minorHAnsi"/>
          <w:b/>
          <w:bCs/>
          <w:sz w:val="22"/>
          <w:szCs w:val="22"/>
        </w:rPr>
        <w:t>To take full advantage of leadership gender quotas, organisations must create a ‘pipeline’ of women suitable for senior positions.</w:t>
      </w:r>
      <w:bookmarkEnd w:id="620"/>
    </w:p>
    <w:p w14:paraId="764A87BE" w14:textId="77777777" w:rsidR="00EC58B5" w:rsidRPr="00C95105" w:rsidRDefault="00EC58B5" w:rsidP="00EC58B5">
      <w:pPr>
        <w:spacing w:after="120"/>
        <w:rPr>
          <w:rFonts w:asciiTheme="minorHAnsi" w:hAnsiTheme="minorHAnsi" w:cstheme="minorHAnsi"/>
          <w:sz w:val="22"/>
          <w:szCs w:val="22"/>
        </w:rPr>
      </w:pPr>
      <w:r w:rsidRPr="00C95105">
        <w:rPr>
          <w:rFonts w:asciiTheme="minorHAnsi" w:hAnsiTheme="minorHAnsi" w:cstheme="minorHAnsi"/>
          <w:sz w:val="22"/>
          <w:szCs w:val="22"/>
        </w:rPr>
        <w:t>Employing quotas and other measures to increase women’s representation at all levels, creates a pool of experienced and qualified women to take on leadership roles. This, in turn, increases the likelihood that these women will attain senior roles such as board chair, mayor, or member of significant committees. Proportionate representation at all levels of an organisation also challenges the gender stereotypes that undermine women’s power and influence.</w:t>
      </w:r>
    </w:p>
    <w:p w14:paraId="24467791" w14:textId="7ADE1160" w:rsidR="00EC58B5" w:rsidRPr="00C95105" w:rsidRDefault="00EC58B5" w:rsidP="00756FF3">
      <w:pPr>
        <w:pStyle w:val="ListParagraph"/>
        <w:numPr>
          <w:ilvl w:val="1"/>
          <w:numId w:val="41"/>
        </w:numPr>
        <w:spacing w:after="120"/>
        <w:ind w:hanging="153"/>
        <w:rPr>
          <w:rFonts w:asciiTheme="minorHAnsi" w:hAnsiTheme="minorHAnsi" w:cstheme="minorHAnsi"/>
          <w:b/>
          <w:bCs/>
          <w:sz w:val="22"/>
          <w:szCs w:val="22"/>
        </w:rPr>
      </w:pPr>
      <w:bookmarkStart w:id="621" w:name="_Toc96878459"/>
      <w:r w:rsidRPr="00C95105">
        <w:rPr>
          <w:rFonts w:asciiTheme="minorHAnsi" w:hAnsiTheme="minorHAnsi" w:cstheme="minorHAnsi"/>
          <w:b/>
          <w:bCs/>
          <w:sz w:val="22"/>
          <w:szCs w:val="22"/>
        </w:rPr>
        <w:t>Quotas must complement other efforts to transform social and organisational norms and values and should not, on their own, be expected to translate to substantive outcomes for women.</w:t>
      </w:r>
      <w:bookmarkEnd w:id="621"/>
      <w:r w:rsidRPr="00C95105">
        <w:rPr>
          <w:rFonts w:asciiTheme="minorHAnsi" w:hAnsiTheme="minorHAnsi" w:cstheme="minorHAnsi"/>
          <w:b/>
          <w:bCs/>
          <w:sz w:val="22"/>
          <w:szCs w:val="22"/>
        </w:rPr>
        <w:t xml:space="preserve"> </w:t>
      </w:r>
    </w:p>
    <w:p w14:paraId="3E65ACC0" w14:textId="77777777" w:rsidR="00EC58B5" w:rsidRPr="00C95105" w:rsidRDefault="00EC58B5" w:rsidP="00EC58B5">
      <w:pPr>
        <w:spacing w:after="120"/>
        <w:rPr>
          <w:rFonts w:asciiTheme="minorHAnsi" w:hAnsiTheme="minorHAnsi" w:cstheme="minorHAnsi"/>
          <w:bCs/>
          <w:sz w:val="22"/>
          <w:szCs w:val="22"/>
        </w:rPr>
      </w:pPr>
      <w:r w:rsidRPr="00C95105">
        <w:rPr>
          <w:rFonts w:asciiTheme="minorHAnsi" w:hAnsiTheme="minorHAnsi" w:cstheme="minorHAnsi"/>
          <w:bCs/>
          <w:sz w:val="22"/>
          <w:szCs w:val="22"/>
        </w:rPr>
        <w:t xml:space="preserve">Institutional entrenchment of gender inequality and social norms regarding the role of women frequently prevent the beneficiaries of quota systems from achieving outcomes that benefit other women. Consequently, gender quotas must be implemented in concert with a range of measures intended to enhance gender equality. A number of potential organisational measures are presented in this project, but a holistic approach to gender equality also requires commitment from the private sector, media, and a range of community actors. </w:t>
      </w:r>
    </w:p>
    <w:p w14:paraId="5DA108A1" w14:textId="77777777" w:rsidR="00EC58B5" w:rsidRPr="00C95105" w:rsidRDefault="00EC58B5" w:rsidP="00EC58B5">
      <w:pPr>
        <w:spacing w:after="120"/>
        <w:rPr>
          <w:rFonts w:asciiTheme="minorHAnsi" w:hAnsiTheme="minorHAnsi" w:cstheme="minorHAnsi"/>
          <w:sz w:val="22"/>
          <w:szCs w:val="22"/>
        </w:rPr>
      </w:pPr>
    </w:p>
    <w:p w14:paraId="16EA7A41" w14:textId="77777777" w:rsidR="00EC58B5" w:rsidRPr="00C95105" w:rsidRDefault="00EC58B5" w:rsidP="00756FF3">
      <w:pPr>
        <w:pStyle w:val="Heading2"/>
        <w:numPr>
          <w:ilvl w:val="1"/>
          <w:numId w:val="35"/>
        </w:numPr>
        <w:spacing w:before="0" w:after="120"/>
        <w:ind w:left="426" w:hanging="426"/>
        <w:rPr>
          <w:rFonts w:asciiTheme="minorHAnsi" w:hAnsiTheme="minorHAnsi" w:cstheme="minorHAnsi"/>
          <w:b/>
          <w:bCs/>
        </w:rPr>
      </w:pPr>
      <w:bookmarkStart w:id="622" w:name="_Toc96957748"/>
      <w:r w:rsidRPr="00C95105">
        <w:rPr>
          <w:rFonts w:asciiTheme="minorHAnsi" w:hAnsiTheme="minorHAnsi" w:cstheme="minorHAnsi"/>
          <w:b/>
          <w:bCs/>
        </w:rPr>
        <w:t>Cited References</w:t>
      </w:r>
      <w:bookmarkEnd w:id="622"/>
    </w:p>
    <w:p w14:paraId="3C60BD9F"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Abrami, P. C., Borokhovski, E., Bernard, R. M., Wade, C. A., Tamim, R., Persson, T., Bethel, E. C., Hanz, K., &amp; Surkes, M. A. (2010). Issues in conducting and disseminating brief reviews of evidence. </w:t>
      </w:r>
      <w:r w:rsidRPr="00C95105">
        <w:rPr>
          <w:rFonts w:asciiTheme="minorHAnsi" w:hAnsiTheme="minorHAnsi" w:cstheme="minorHAnsi"/>
          <w:i/>
          <w:iCs/>
          <w:sz w:val="22"/>
          <w:szCs w:val="22"/>
          <w:lang w:val="en-AU"/>
        </w:rPr>
        <w:t>Evidence &amp; Policy: A Journal of Research, Debate and Practice</w:t>
      </w:r>
      <w:r w:rsidRPr="00C95105">
        <w:rPr>
          <w:rFonts w:asciiTheme="minorHAnsi" w:hAnsiTheme="minorHAnsi" w:cstheme="minorHAnsi"/>
          <w:sz w:val="22"/>
          <w:szCs w:val="22"/>
          <w:lang w:val="en-AU"/>
        </w:rPr>
        <w:t xml:space="preserve">, </w:t>
      </w:r>
      <w:r w:rsidRPr="00C95105">
        <w:rPr>
          <w:rFonts w:asciiTheme="minorHAnsi" w:hAnsiTheme="minorHAnsi" w:cstheme="minorHAnsi"/>
          <w:i/>
          <w:iCs/>
          <w:sz w:val="22"/>
          <w:szCs w:val="22"/>
          <w:lang w:val="en-AU"/>
        </w:rPr>
        <w:t>6</w:t>
      </w:r>
      <w:r w:rsidRPr="00C95105">
        <w:rPr>
          <w:rFonts w:asciiTheme="minorHAnsi" w:hAnsiTheme="minorHAnsi" w:cstheme="minorHAnsi"/>
          <w:sz w:val="22"/>
          <w:szCs w:val="22"/>
          <w:lang w:val="en-AU"/>
        </w:rPr>
        <w:t>(3), 371-389.</w:t>
      </w:r>
    </w:p>
    <w:p w14:paraId="66574477" w14:textId="77777777" w:rsidR="00EC58B5" w:rsidRPr="00C95105" w:rsidRDefault="00EC58B5" w:rsidP="00E120C1">
      <w:pPr>
        <w:spacing w:after="120"/>
        <w:ind w:left="567" w:hanging="567"/>
        <w:rPr>
          <w:rFonts w:asciiTheme="minorHAnsi" w:hAnsiTheme="minorHAnsi" w:cstheme="minorHAnsi"/>
        </w:rPr>
      </w:pPr>
      <w:r w:rsidRPr="00C95105">
        <w:rPr>
          <w:rFonts w:asciiTheme="minorHAnsi" w:hAnsiTheme="minorHAnsi" w:cstheme="minorHAnsi"/>
          <w:sz w:val="22"/>
          <w:szCs w:val="22"/>
        </w:rPr>
        <w:t xml:space="preserve">Allen, P., Cutts, D., &amp; Campbell, R. (2016). Measuring the quality of politicians elected by gender quotas – are they any different? </w:t>
      </w:r>
      <w:r w:rsidRPr="00C95105">
        <w:rPr>
          <w:rFonts w:asciiTheme="minorHAnsi" w:hAnsiTheme="minorHAnsi" w:cstheme="minorHAnsi"/>
          <w:i/>
          <w:sz w:val="22"/>
          <w:szCs w:val="22"/>
        </w:rPr>
        <w:t>Political Studies</w:t>
      </w:r>
      <w:r w:rsidRPr="00C95105">
        <w:rPr>
          <w:rFonts w:asciiTheme="minorHAnsi" w:hAnsiTheme="minorHAnsi" w:cstheme="minorHAnsi"/>
          <w:sz w:val="22"/>
          <w:szCs w:val="22"/>
        </w:rPr>
        <w:t>,</w:t>
      </w:r>
      <w:r w:rsidRPr="00C95105">
        <w:rPr>
          <w:rFonts w:asciiTheme="minorHAnsi" w:hAnsiTheme="minorHAnsi" w:cstheme="minorHAnsi"/>
          <w:i/>
          <w:sz w:val="22"/>
          <w:szCs w:val="22"/>
        </w:rPr>
        <w:t xml:space="preserve"> 64</w:t>
      </w:r>
      <w:r w:rsidRPr="00C95105">
        <w:rPr>
          <w:rFonts w:asciiTheme="minorHAnsi" w:hAnsiTheme="minorHAnsi" w:cstheme="minorHAnsi"/>
          <w:sz w:val="22"/>
          <w:szCs w:val="22"/>
        </w:rPr>
        <w:t xml:space="preserve">(1), 143-163. </w:t>
      </w:r>
      <w:r w:rsidRPr="00C95105">
        <w:rPr>
          <w:rFonts w:asciiTheme="minorHAnsi" w:hAnsiTheme="minorHAnsi" w:cstheme="minorHAnsi"/>
          <w:sz w:val="20"/>
          <w:szCs w:val="20"/>
          <w:shd w:val="clear" w:color="auto" w:fill="FFFFFF"/>
        </w:rPr>
        <w:t>https://doi.org/10.1111/1467-9248.12161 </w:t>
      </w:r>
    </w:p>
    <w:p w14:paraId="3CEA82EA"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lastRenderedPageBreak/>
        <w:t xml:space="preserve">Bagues, M., &amp; Campa, P. (2021). Can gender quotas in candidate lists empower women? Evidence from a regression discontinuity design. </w:t>
      </w:r>
      <w:r w:rsidRPr="00C95105">
        <w:rPr>
          <w:rFonts w:asciiTheme="minorHAnsi" w:hAnsiTheme="minorHAnsi" w:cstheme="minorHAnsi"/>
          <w:i/>
          <w:sz w:val="22"/>
          <w:szCs w:val="22"/>
          <w:lang w:val="en-AU"/>
        </w:rPr>
        <w:t>Journal of Public Economics</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194</w:t>
      </w:r>
      <w:r w:rsidRPr="00C95105">
        <w:rPr>
          <w:rFonts w:asciiTheme="minorHAnsi" w:hAnsiTheme="minorHAnsi" w:cstheme="minorHAnsi"/>
          <w:sz w:val="22"/>
          <w:szCs w:val="22"/>
          <w:lang w:val="en-AU"/>
        </w:rPr>
        <w:t xml:space="preserve">. https://doi.org/10.2139/ssrn.3010666 </w:t>
      </w:r>
    </w:p>
    <w:p w14:paraId="0BAD2440" w14:textId="77777777" w:rsidR="00EC58B5" w:rsidRPr="00C95105" w:rsidRDefault="00EC58B5" w:rsidP="00E120C1">
      <w:pPr>
        <w:spacing w:after="120"/>
        <w:ind w:left="567" w:hanging="567"/>
        <w:rPr>
          <w:rFonts w:asciiTheme="minorHAnsi" w:hAnsiTheme="minorHAnsi" w:cstheme="minorHAnsi"/>
          <w:sz w:val="20"/>
          <w:szCs w:val="20"/>
          <w:shd w:val="clear" w:color="auto" w:fill="FFFFFF"/>
        </w:rPr>
      </w:pPr>
      <w:r w:rsidRPr="00C95105">
        <w:rPr>
          <w:rFonts w:asciiTheme="minorHAnsi" w:hAnsiTheme="minorHAnsi" w:cstheme="minorHAnsi"/>
          <w:sz w:val="22"/>
          <w:szCs w:val="22"/>
        </w:rPr>
        <w:t xml:space="preserve">Baltrunaite, A., Bello, P., Casarico, A., &amp; Profeta, P. (2014). Gender quotas and the quality of politicians. </w:t>
      </w:r>
      <w:r w:rsidRPr="00C95105">
        <w:rPr>
          <w:rFonts w:asciiTheme="minorHAnsi" w:hAnsiTheme="minorHAnsi" w:cstheme="minorHAnsi"/>
          <w:i/>
          <w:sz w:val="22"/>
          <w:szCs w:val="22"/>
        </w:rPr>
        <w:t>Journal of Public Economics</w:t>
      </w:r>
      <w:r w:rsidRPr="00C95105">
        <w:rPr>
          <w:rFonts w:asciiTheme="minorHAnsi" w:hAnsiTheme="minorHAnsi" w:cstheme="minorHAnsi"/>
          <w:sz w:val="22"/>
          <w:szCs w:val="22"/>
        </w:rPr>
        <w:t>,</w:t>
      </w:r>
      <w:r w:rsidRPr="00C95105">
        <w:rPr>
          <w:rFonts w:asciiTheme="minorHAnsi" w:hAnsiTheme="minorHAnsi" w:cstheme="minorHAnsi"/>
          <w:i/>
          <w:sz w:val="22"/>
          <w:szCs w:val="22"/>
        </w:rPr>
        <w:t xml:space="preserve"> 118</w:t>
      </w:r>
      <w:r w:rsidRPr="00C95105">
        <w:rPr>
          <w:rFonts w:asciiTheme="minorHAnsi" w:hAnsiTheme="minorHAnsi" w:cstheme="minorHAnsi"/>
          <w:sz w:val="22"/>
          <w:szCs w:val="22"/>
        </w:rPr>
        <w:t xml:space="preserve">, 62-74. </w:t>
      </w:r>
      <w:r w:rsidRPr="00C95105">
        <w:rPr>
          <w:rFonts w:asciiTheme="minorHAnsi" w:hAnsiTheme="minorHAnsi" w:cstheme="minorHAnsi"/>
          <w:sz w:val="20"/>
          <w:szCs w:val="20"/>
          <w:shd w:val="clear" w:color="auto" w:fill="FFFFFF"/>
        </w:rPr>
        <w:t> </w:t>
      </w:r>
      <w:r w:rsidRPr="00C95105">
        <w:rPr>
          <w:rFonts w:asciiTheme="minorHAnsi" w:hAnsiTheme="minorHAnsi" w:cstheme="minorHAnsi"/>
          <w:sz w:val="22"/>
          <w:szCs w:val="22"/>
          <w:shd w:val="clear" w:color="auto" w:fill="FFFFFF"/>
        </w:rPr>
        <w:t>https://doi.org/10.2139/ssrn.2008607</w:t>
      </w:r>
      <w:r w:rsidRPr="00C95105">
        <w:rPr>
          <w:rFonts w:asciiTheme="minorHAnsi" w:hAnsiTheme="minorHAnsi" w:cstheme="minorHAnsi"/>
          <w:sz w:val="20"/>
          <w:szCs w:val="20"/>
          <w:shd w:val="clear" w:color="auto" w:fill="FFFFFF"/>
        </w:rPr>
        <w:t> </w:t>
      </w:r>
    </w:p>
    <w:p w14:paraId="0C546B8B"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Beer, C., &amp; Camp, R. (2016). Democracy, gender quotas, and political recruitment in Mexico. </w:t>
      </w:r>
      <w:r w:rsidRPr="00C95105">
        <w:rPr>
          <w:rFonts w:asciiTheme="minorHAnsi" w:hAnsiTheme="minorHAnsi" w:cstheme="minorHAnsi"/>
          <w:i/>
          <w:sz w:val="22"/>
          <w:szCs w:val="22"/>
          <w:lang w:val="en-AU"/>
        </w:rPr>
        <w:t>Politics, Groups, and Identities</w:t>
      </w:r>
      <w:r w:rsidRPr="00C95105">
        <w:rPr>
          <w:rFonts w:asciiTheme="minorHAnsi" w:hAnsiTheme="minorHAnsi" w:cstheme="minorHAnsi"/>
          <w:sz w:val="22"/>
          <w:szCs w:val="22"/>
          <w:lang w:val="en-AU"/>
        </w:rPr>
        <w:t xml:space="preserve">. https://doi.org/10.1080/21565503.2015.1120223 </w:t>
      </w:r>
    </w:p>
    <w:p w14:paraId="1DAE6121"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Bennouri, M., De Amicis, C., &amp; Falconieri, S. (2020). Welcome on board: A note on gender quotas regulation in Europe. </w:t>
      </w:r>
      <w:r w:rsidRPr="00C95105">
        <w:rPr>
          <w:rFonts w:asciiTheme="minorHAnsi" w:hAnsiTheme="minorHAnsi" w:cstheme="minorHAnsi"/>
          <w:i/>
          <w:sz w:val="22"/>
          <w:szCs w:val="22"/>
          <w:lang w:val="en-AU"/>
        </w:rPr>
        <w:t>Economics Letters</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190</w:t>
      </w:r>
      <w:r w:rsidRPr="00C95105">
        <w:rPr>
          <w:rFonts w:asciiTheme="minorHAnsi" w:hAnsiTheme="minorHAnsi" w:cstheme="minorHAnsi"/>
          <w:sz w:val="22"/>
          <w:szCs w:val="22"/>
          <w:lang w:val="en-AU"/>
        </w:rPr>
        <w:t xml:space="preserve">. https://doi.org/10.1016/j.econlet.2020.109055 </w:t>
      </w:r>
    </w:p>
    <w:p w14:paraId="45D0FA37"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Bertrand, M., Black, S. E., Jensen, S., &amp; Lleras-Muney, A. (2019). Breaking the glass ceiling? The effect of board quotas on female labour market outcomes in Norway. </w:t>
      </w:r>
      <w:r w:rsidRPr="00C95105">
        <w:rPr>
          <w:rFonts w:asciiTheme="minorHAnsi" w:hAnsiTheme="minorHAnsi" w:cstheme="minorHAnsi"/>
          <w:i/>
          <w:sz w:val="22"/>
          <w:szCs w:val="22"/>
          <w:lang w:val="en-AU"/>
        </w:rPr>
        <w:t>Review of Economic Studies</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86</w:t>
      </w:r>
      <w:r w:rsidRPr="00C95105">
        <w:rPr>
          <w:rFonts w:asciiTheme="minorHAnsi" w:hAnsiTheme="minorHAnsi" w:cstheme="minorHAnsi"/>
          <w:sz w:val="22"/>
          <w:szCs w:val="22"/>
          <w:lang w:val="en-AU"/>
        </w:rPr>
        <w:t xml:space="preserve">(1), 191-239. https://doi.org/10.3386/w20256 </w:t>
      </w:r>
    </w:p>
    <w:p w14:paraId="7D1BF7E7"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Besley, T., Folke, O., Persson, T., &amp; Rickne, J. (2017). Gender quotas and the crisis of the mediocre man: Theory and evidence from Sweden. </w:t>
      </w:r>
      <w:r w:rsidRPr="00C95105">
        <w:rPr>
          <w:rFonts w:asciiTheme="minorHAnsi" w:hAnsiTheme="minorHAnsi" w:cstheme="minorHAnsi"/>
          <w:i/>
          <w:sz w:val="22"/>
          <w:szCs w:val="22"/>
          <w:lang w:val="en-AU"/>
        </w:rPr>
        <w:t>American Economic Review</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107</w:t>
      </w:r>
      <w:r w:rsidRPr="00C95105">
        <w:rPr>
          <w:rFonts w:asciiTheme="minorHAnsi" w:hAnsiTheme="minorHAnsi" w:cstheme="minorHAnsi"/>
          <w:sz w:val="22"/>
          <w:szCs w:val="22"/>
          <w:lang w:val="en-AU"/>
        </w:rPr>
        <w:t xml:space="preserve">(8), 2204-2242. https://doi.org/10.1257/aer.20160080 </w:t>
      </w:r>
    </w:p>
    <w:p w14:paraId="350256A6"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Bonomi, G., Brosio, G., &amp; Di Tommaso, M. L. (2013). The impact of gender quotas on votes for women candidates: Evidence from Italy. </w:t>
      </w:r>
      <w:r w:rsidRPr="00C95105">
        <w:rPr>
          <w:rFonts w:asciiTheme="minorHAnsi" w:hAnsiTheme="minorHAnsi" w:cstheme="minorHAnsi"/>
          <w:i/>
          <w:sz w:val="22"/>
          <w:szCs w:val="22"/>
          <w:lang w:val="en-AU"/>
        </w:rPr>
        <w:t>Feminist Economics</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19</w:t>
      </w:r>
      <w:r w:rsidRPr="00C95105">
        <w:rPr>
          <w:rFonts w:asciiTheme="minorHAnsi" w:hAnsiTheme="minorHAnsi" w:cstheme="minorHAnsi"/>
          <w:sz w:val="22"/>
          <w:szCs w:val="22"/>
          <w:lang w:val="en-AU"/>
        </w:rPr>
        <w:t xml:space="preserve">(4), 48-75. https://doi.org/10.1080/13545701.2013.825375 </w:t>
      </w:r>
    </w:p>
    <w:p w14:paraId="35C2F05A" w14:textId="77777777" w:rsidR="00EC58B5" w:rsidRPr="00C95105" w:rsidRDefault="00EC58B5" w:rsidP="00E120C1">
      <w:pPr>
        <w:spacing w:after="120"/>
        <w:ind w:left="567" w:hanging="567"/>
        <w:rPr>
          <w:rFonts w:asciiTheme="minorHAnsi" w:hAnsiTheme="minorHAnsi" w:cstheme="minorHAnsi"/>
        </w:rPr>
      </w:pPr>
      <w:r w:rsidRPr="00C95105">
        <w:rPr>
          <w:rFonts w:asciiTheme="minorHAnsi" w:hAnsiTheme="minorHAnsi" w:cstheme="minorHAnsi"/>
          <w:sz w:val="22"/>
          <w:szCs w:val="22"/>
        </w:rPr>
        <w:t xml:space="preserve">Caul, M. (2001). Political parties and the adoption of candidate gender quotas: A cross-national analysis. </w:t>
      </w:r>
      <w:r w:rsidRPr="00C95105">
        <w:rPr>
          <w:rFonts w:asciiTheme="minorHAnsi" w:hAnsiTheme="minorHAnsi" w:cstheme="minorHAnsi"/>
          <w:i/>
          <w:sz w:val="22"/>
          <w:szCs w:val="22"/>
        </w:rPr>
        <w:t>The Journal of Politics</w:t>
      </w:r>
      <w:r w:rsidRPr="00C95105">
        <w:rPr>
          <w:rFonts w:asciiTheme="minorHAnsi" w:hAnsiTheme="minorHAnsi" w:cstheme="minorHAnsi"/>
          <w:sz w:val="22"/>
          <w:szCs w:val="22"/>
        </w:rPr>
        <w:t>,</w:t>
      </w:r>
      <w:r w:rsidRPr="00C95105">
        <w:rPr>
          <w:rFonts w:asciiTheme="minorHAnsi" w:hAnsiTheme="minorHAnsi" w:cstheme="minorHAnsi"/>
          <w:i/>
          <w:sz w:val="22"/>
          <w:szCs w:val="22"/>
        </w:rPr>
        <w:t xml:space="preserve"> 63</w:t>
      </w:r>
      <w:r w:rsidRPr="00C95105">
        <w:rPr>
          <w:rFonts w:asciiTheme="minorHAnsi" w:hAnsiTheme="minorHAnsi" w:cstheme="minorHAnsi"/>
          <w:sz w:val="22"/>
          <w:szCs w:val="22"/>
        </w:rPr>
        <w:t xml:space="preserve">(4), 1214. </w:t>
      </w:r>
      <w:r w:rsidRPr="00C95105">
        <w:rPr>
          <w:rFonts w:asciiTheme="minorHAnsi" w:hAnsiTheme="minorHAnsi" w:cstheme="minorHAnsi"/>
          <w:sz w:val="22"/>
          <w:szCs w:val="22"/>
          <w:shd w:val="clear" w:color="auto" w:fill="FFFFFF"/>
        </w:rPr>
        <w:t>https://doi.org/10.1111/0022-3816.00107</w:t>
      </w:r>
      <w:r w:rsidRPr="00C95105">
        <w:rPr>
          <w:rFonts w:asciiTheme="minorHAnsi" w:hAnsiTheme="minorHAnsi" w:cstheme="minorHAnsi"/>
          <w:sz w:val="20"/>
          <w:szCs w:val="20"/>
          <w:shd w:val="clear" w:color="auto" w:fill="FFFFFF"/>
        </w:rPr>
        <w:t> </w:t>
      </w:r>
    </w:p>
    <w:p w14:paraId="128B8291"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Clayton, A., &amp; Zetterberg, P. (2018). Quota shocks: Electoral gender quotas and government spending priorities worldwide. </w:t>
      </w:r>
      <w:r w:rsidRPr="00C95105">
        <w:rPr>
          <w:rFonts w:asciiTheme="minorHAnsi" w:hAnsiTheme="minorHAnsi" w:cstheme="minorHAnsi"/>
          <w:i/>
          <w:sz w:val="22"/>
          <w:szCs w:val="22"/>
          <w:lang w:val="en-AU"/>
        </w:rPr>
        <w:t>Journal of Politics</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80</w:t>
      </w:r>
      <w:r w:rsidRPr="00C95105">
        <w:rPr>
          <w:rFonts w:asciiTheme="minorHAnsi" w:hAnsiTheme="minorHAnsi" w:cstheme="minorHAnsi"/>
          <w:sz w:val="22"/>
          <w:szCs w:val="22"/>
          <w:lang w:val="en-AU"/>
        </w:rPr>
        <w:t xml:space="preserve">(3), 916-932. https://doi.org/10.1086/697251 </w:t>
      </w:r>
    </w:p>
    <w:p w14:paraId="0D1CAE4D" w14:textId="77777777" w:rsidR="00EC58B5" w:rsidRPr="00C95105" w:rsidRDefault="00EC58B5" w:rsidP="00E120C1">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Crosby, F. J., Iyer, A., &amp; Sincharoen, S. (2006). Understanding affirmative action. </w:t>
      </w:r>
      <w:r w:rsidRPr="00C95105">
        <w:rPr>
          <w:rFonts w:asciiTheme="minorHAnsi" w:hAnsiTheme="minorHAnsi" w:cstheme="minorHAnsi"/>
          <w:i/>
          <w:iCs/>
          <w:sz w:val="22"/>
          <w:szCs w:val="22"/>
        </w:rPr>
        <w:t>Annual Review of Psychology, 57</w:t>
      </w:r>
      <w:r w:rsidRPr="00C95105">
        <w:rPr>
          <w:rFonts w:asciiTheme="minorHAnsi" w:hAnsiTheme="minorHAnsi" w:cstheme="minorHAnsi"/>
          <w:sz w:val="22"/>
          <w:szCs w:val="22"/>
        </w:rPr>
        <w:t xml:space="preserve">, 585-611. </w:t>
      </w:r>
      <w:r w:rsidRPr="00C95105">
        <w:rPr>
          <w:rFonts w:asciiTheme="minorHAnsi" w:hAnsiTheme="minorHAnsi" w:cstheme="minorHAnsi"/>
          <w:sz w:val="22"/>
          <w:szCs w:val="22"/>
          <w:shd w:val="clear" w:color="auto" w:fill="FFFFFF"/>
        </w:rPr>
        <w:t>https://doi.org/10.1146/annurev.psych.57.102904.190029 </w:t>
      </w:r>
    </w:p>
    <w:p w14:paraId="2057673D"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Dahlerup, D., Hilal, Z., Kalandadze, N., &amp; Kandawasvika-Nhundu, R. (2013). </w:t>
      </w:r>
      <w:r w:rsidRPr="00C95105">
        <w:rPr>
          <w:rFonts w:asciiTheme="minorHAnsi" w:hAnsiTheme="minorHAnsi" w:cstheme="minorHAnsi"/>
          <w:i/>
          <w:sz w:val="22"/>
          <w:szCs w:val="22"/>
          <w:lang w:val="en-AU"/>
        </w:rPr>
        <w:t>Atlas of electoral gender quotas</w:t>
      </w:r>
      <w:r w:rsidRPr="00C95105">
        <w:rPr>
          <w:rFonts w:asciiTheme="minorHAnsi" w:hAnsiTheme="minorHAnsi" w:cstheme="minorHAnsi"/>
          <w:sz w:val="22"/>
          <w:szCs w:val="22"/>
          <w:lang w:val="en-AU"/>
        </w:rPr>
        <w:t xml:space="preserve">. diva-portal.org. https://www.diva-portal.org/smash/record.jsf?pid=diva2:771318 </w:t>
      </w:r>
    </w:p>
    <w:p w14:paraId="54204987"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Darhour, H., &amp; Dahlerup, D. (2013). Sustainable representation of women through gender quotas: A decade's experience in Morocco. </w:t>
      </w:r>
      <w:r w:rsidRPr="00C95105">
        <w:rPr>
          <w:rFonts w:asciiTheme="minorHAnsi" w:hAnsiTheme="minorHAnsi" w:cstheme="minorHAnsi"/>
          <w:i/>
          <w:sz w:val="22"/>
          <w:szCs w:val="22"/>
          <w:lang w:val="en-AU"/>
        </w:rPr>
        <w:t>Women's Studies International Forum</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41</w:t>
      </w:r>
      <w:r w:rsidRPr="00C95105">
        <w:rPr>
          <w:rFonts w:asciiTheme="minorHAnsi" w:hAnsiTheme="minorHAnsi" w:cstheme="minorHAnsi"/>
          <w:sz w:val="22"/>
          <w:szCs w:val="22"/>
          <w:lang w:val="en-AU"/>
        </w:rPr>
        <w:t xml:space="preserve">(Part 2), 132-142. http://dx.doi.org/10.1016/j.wsif.2013.04.008 </w:t>
      </w:r>
    </w:p>
    <w:p w14:paraId="75B1ACFC"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Dauti, M. (2021). 'The newcomer effect': Gender quotas, state reforms and service responsiveness in local councils. </w:t>
      </w:r>
      <w:r w:rsidRPr="00C95105">
        <w:rPr>
          <w:rFonts w:asciiTheme="minorHAnsi" w:hAnsiTheme="minorHAnsi" w:cstheme="minorHAnsi"/>
          <w:i/>
          <w:sz w:val="22"/>
          <w:szCs w:val="22"/>
          <w:lang w:val="en-AU"/>
        </w:rPr>
        <w:t>International Journal of Social Welfare</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30</w:t>
      </w:r>
      <w:r w:rsidRPr="00C95105">
        <w:rPr>
          <w:rFonts w:asciiTheme="minorHAnsi" w:hAnsiTheme="minorHAnsi" w:cstheme="minorHAnsi"/>
          <w:sz w:val="22"/>
          <w:szCs w:val="22"/>
          <w:lang w:val="en-AU"/>
        </w:rPr>
        <w:t xml:space="preserve">(3), 330-341. https://doi.org/10.1111/ijsw.12471 </w:t>
      </w:r>
    </w:p>
    <w:p w14:paraId="3C4643CC" w14:textId="77777777" w:rsidR="00EC58B5" w:rsidRPr="00C95105" w:rsidRDefault="00EC58B5" w:rsidP="00E120C1">
      <w:pPr>
        <w:autoSpaceDE w:val="0"/>
        <w:autoSpaceDN w:val="0"/>
        <w:adjustRightInd w:val="0"/>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De Paola, M., Scoppa, V., &amp; Lombardo, R. (2010). Can gender quotas break down negative stereotypes? Evidence from changes in electoral rules. </w:t>
      </w:r>
      <w:r w:rsidRPr="00C95105">
        <w:rPr>
          <w:rFonts w:asciiTheme="minorHAnsi" w:hAnsiTheme="minorHAnsi" w:cstheme="minorHAnsi"/>
          <w:i/>
          <w:iCs/>
          <w:sz w:val="22"/>
          <w:szCs w:val="22"/>
        </w:rPr>
        <w:t>Journal of Public Economics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94</w:t>
      </w:r>
      <w:r w:rsidRPr="00C95105">
        <w:rPr>
          <w:rFonts w:asciiTheme="minorHAnsi" w:hAnsiTheme="minorHAnsi" w:cstheme="minorHAnsi"/>
          <w:sz w:val="22"/>
          <w:szCs w:val="22"/>
        </w:rPr>
        <w:t xml:space="preserve">(5-6), 344-353. https://doi.org/10.1016/j.jpubeco.2010.02.004 </w:t>
      </w:r>
    </w:p>
    <w:p w14:paraId="5E6B62A0" w14:textId="6AE0BC7E" w:rsidR="00F54897" w:rsidRPr="00C95105" w:rsidRDefault="00F54897" w:rsidP="00F54897">
      <w:pPr>
        <w:spacing w:after="120"/>
        <w:ind w:left="567" w:hanging="567"/>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European Parliament (2011). </w:t>
      </w:r>
      <w:r w:rsidRPr="00C95105">
        <w:rPr>
          <w:rFonts w:asciiTheme="minorHAnsi" w:hAnsiTheme="minorHAnsi" w:cstheme="minorHAnsi"/>
          <w:i/>
          <w:iCs/>
          <w:color w:val="000000"/>
          <w:sz w:val="22"/>
          <w:szCs w:val="22"/>
        </w:rPr>
        <w:t>Electoral gender quota systems and their implementation in Europe</w:t>
      </w:r>
      <w:r w:rsidRPr="00C95105">
        <w:rPr>
          <w:rFonts w:asciiTheme="minorHAnsi" w:hAnsiTheme="minorHAnsi" w:cstheme="minorHAnsi"/>
          <w:color w:val="000000"/>
          <w:sz w:val="22"/>
          <w:szCs w:val="22"/>
        </w:rPr>
        <w:t xml:space="preserve"> (PE 453.210). Retrieved from http://www.europarl.europa.eu/RegData/etudes/etudes/join/2011/453210/IPOL-FEMM_ET%282011%29453210_EN.pdf</w:t>
      </w:r>
    </w:p>
    <w:p w14:paraId="6EA3B383" w14:textId="4D8E1293" w:rsidR="00EC58B5" w:rsidRPr="00C95105" w:rsidRDefault="00EC58B5" w:rsidP="00F54897">
      <w:pPr>
        <w:spacing w:after="120"/>
        <w:ind w:left="567" w:hanging="567"/>
        <w:rPr>
          <w:rFonts w:asciiTheme="minorHAnsi" w:hAnsiTheme="minorHAnsi" w:cstheme="minorHAnsi"/>
          <w:color w:val="000000"/>
          <w:sz w:val="22"/>
          <w:szCs w:val="22"/>
        </w:rPr>
      </w:pPr>
      <w:r w:rsidRPr="00C95105">
        <w:rPr>
          <w:rFonts w:asciiTheme="minorHAnsi" w:hAnsiTheme="minorHAnsi" w:cstheme="minorHAnsi"/>
          <w:color w:val="000000"/>
          <w:sz w:val="22"/>
          <w:szCs w:val="22"/>
        </w:rPr>
        <w:t xml:space="preserve">Hiscox, M. J., Oliver, T., Ridgway, M., Arcos-Holzinger, L., Warren, A., &amp; Willis, A. (2016). </w:t>
      </w:r>
      <w:r w:rsidRPr="00C95105">
        <w:rPr>
          <w:rFonts w:asciiTheme="minorHAnsi" w:hAnsiTheme="minorHAnsi" w:cstheme="minorHAnsi"/>
          <w:i/>
          <w:iCs/>
          <w:color w:val="000000"/>
          <w:sz w:val="22"/>
          <w:szCs w:val="22"/>
        </w:rPr>
        <w:t>Unconscious bias in hiring in the Australian public service</w:t>
      </w:r>
      <w:r w:rsidRPr="00C95105">
        <w:rPr>
          <w:rFonts w:asciiTheme="minorHAnsi" w:hAnsiTheme="minorHAnsi" w:cstheme="minorHAnsi"/>
          <w:color w:val="000000"/>
          <w:sz w:val="22"/>
          <w:szCs w:val="22"/>
        </w:rPr>
        <w:t>. Canberra, Australia: Commonwealth of Australia, Department of the Prime Minister and Cabinet. Retrieved in July 2021 from: https://behaviouraleconomics.pmc.gov.au/sites/default/files/projects/unconscious-bias.pdf</w:t>
      </w:r>
    </w:p>
    <w:p w14:paraId="192A9098"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lastRenderedPageBreak/>
        <w:t xml:space="preserve">Htun, M., Lacalle, M., &amp; Micozzi, J. P. (2013). Does women's presence change legislative behavior? Evidence from Argentina, 1983-2007. </w:t>
      </w:r>
      <w:r w:rsidRPr="00C95105">
        <w:rPr>
          <w:rFonts w:asciiTheme="minorHAnsi" w:hAnsiTheme="minorHAnsi" w:cstheme="minorHAnsi"/>
          <w:i/>
          <w:sz w:val="22"/>
          <w:szCs w:val="22"/>
          <w:lang w:val="en-AU"/>
        </w:rPr>
        <w:t>The Journal of Political in Latin America</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5</w:t>
      </w:r>
      <w:r w:rsidRPr="00C95105">
        <w:rPr>
          <w:rFonts w:asciiTheme="minorHAnsi" w:hAnsiTheme="minorHAnsi" w:cstheme="minorHAnsi"/>
          <w:sz w:val="22"/>
          <w:szCs w:val="22"/>
          <w:lang w:val="en-AU"/>
        </w:rPr>
        <w:t xml:space="preserve">(1), 95-125. https://doi.org/10.1177/1866802X1300500105 </w:t>
      </w:r>
    </w:p>
    <w:p w14:paraId="10F9CF32"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Kerevel, Y. (2019). Empowering women? Gender quotas and women's political careers. </w:t>
      </w:r>
      <w:r w:rsidRPr="00C95105">
        <w:rPr>
          <w:rFonts w:asciiTheme="minorHAnsi" w:hAnsiTheme="minorHAnsi" w:cstheme="minorHAnsi"/>
          <w:i/>
          <w:sz w:val="22"/>
          <w:szCs w:val="22"/>
          <w:lang w:val="en-AU"/>
        </w:rPr>
        <w:t>Journal of Politics</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81</w:t>
      </w:r>
      <w:r w:rsidRPr="00C95105">
        <w:rPr>
          <w:rFonts w:asciiTheme="minorHAnsi" w:hAnsiTheme="minorHAnsi" w:cstheme="minorHAnsi"/>
          <w:sz w:val="22"/>
          <w:szCs w:val="22"/>
          <w:lang w:val="en-AU"/>
        </w:rPr>
        <w:t xml:space="preserve">(4), 1167-1180. https://doi.org/10.1086/704434 </w:t>
      </w:r>
    </w:p>
    <w:p w14:paraId="5A8E5893"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Korn/Ferry Whitehead Mann. (202) </w:t>
      </w:r>
      <w:r w:rsidRPr="00C95105">
        <w:rPr>
          <w:rFonts w:asciiTheme="minorHAnsi" w:hAnsiTheme="minorHAnsi" w:cstheme="minorHAnsi"/>
          <w:i/>
          <w:iCs/>
          <w:sz w:val="22"/>
          <w:szCs w:val="22"/>
          <w:lang w:val="en-AU"/>
        </w:rPr>
        <w:t>Boardroom diversity: Quotas are not helping women into senior management</w:t>
      </w:r>
      <w:r w:rsidRPr="00C95105">
        <w:rPr>
          <w:rFonts w:asciiTheme="minorHAnsi" w:hAnsiTheme="minorHAnsi" w:cstheme="minorHAnsi"/>
          <w:sz w:val="22"/>
          <w:szCs w:val="22"/>
          <w:lang w:val="en-AU"/>
        </w:rPr>
        <w:t>. https://highpaycentre.org</w:t>
      </w:r>
    </w:p>
    <w:p w14:paraId="21E8EE13"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Maganelli, B. S., Raoli, E., &amp; Tiscini, R. (2017). Female directors in Italy: The state of art after the mandatory gender quota. </w:t>
      </w:r>
      <w:r w:rsidRPr="00C95105">
        <w:rPr>
          <w:rFonts w:asciiTheme="minorHAnsi" w:hAnsiTheme="minorHAnsi" w:cstheme="minorHAnsi"/>
          <w:i/>
          <w:sz w:val="22"/>
          <w:szCs w:val="22"/>
          <w:lang w:val="en-AU"/>
        </w:rPr>
        <w:t>Corporate Ownership and Control</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14</w:t>
      </w:r>
      <w:r w:rsidRPr="00C95105">
        <w:rPr>
          <w:rFonts w:asciiTheme="minorHAnsi" w:hAnsiTheme="minorHAnsi" w:cstheme="minorHAnsi"/>
          <w:sz w:val="22"/>
          <w:szCs w:val="22"/>
          <w:lang w:val="en-AU"/>
        </w:rPr>
        <w:t xml:space="preserve">(3-1), 157-169. https://doi.org/10.22495/cocv14i3c1art1 </w:t>
      </w:r>
    </w:p>
    <w:p w14:paraId="00020D3F"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Maggian, V., Montinari, N., &amp; Nicolo, A. (2020). Do quotas help women to climb the career ladder? A laboratory experiment. </w:t>
      </w:r>
      <w:r w:rsidRPr="00C95105">
        <w:rPr>
          <w:rFonts w:asciiTheme="minorHAnsi" w:hAnsiTheme="minorHAnsi" w:cstheme="minorHAnsi"/>
          <w:i/>
          <w:sz w:val="22"/>
          <w:szCs w:val="22"/>
          <w:lang w:val="en-AU"/>
        </w:rPr>
        <w:t>European Economic Review</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123</w:t>
      </w:r>
      <w:r w:rsidRPr="00C95105">
        <w:rPr>
          <w:rFonts w:asciiTheme="minorHAnsi" w:hAnsiTheme="minorHAnsi" w:cstheme="minorHAnsi"/>
          <w:sz w:val="22"/>
          <w:szCs w:val="22"/>
          <w:lang w:val="en-AU"/>
        </w:rPr>
        <w:t xml:space="preserve">(103390). https://doi.org/10.2139/ssrn.3039455 </w:t>
      </w:r>
    </w:p>
    <w:p w14:paraId="69C2E228"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Maume, D. J., Heymann, O., &amp; Ruppanner, L. (2019). National board quotas and the gender pay gap among European managers. </w:t>
      </w:r>
      <w:r w:rsidRPr="00C95105">
        <w:rPr>
          <w:rFonts w:asciiTheme="minorHAnsi" w:hAnsiTheme="minorHAnsi" w:cstheme="minorHAnsi"/>
          <w:i/>
          <w:sz w:val="22"/>
          <w:szCs w:val="22"/>
          <w:lang w:val="en-AU"/>
        </w:rPr>
        <w:t>Work, Employment &amp; Society</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33</w:t>
      </w:r>
      <w:r w:rsidRPr="00C95105">
        <w:rPr>
          <w:rFonts w:asciiTheme="minorHAnsi" w:hAnsiTheme="minorHAnsi" w:cstheme="minorHAnsi"/>
          <w:sz w:val="22"/>
          <w:szCs w:val="22"/>
          <w:lang w:val="en-AU"/>
        </w:rPr>
        <w:t xml:space="preserve">(6), 1002-1019. https://doi.org/10.1177/0950017019864509 </w:t>
      </w:r>
    </w:p>
    <w:p w14:paraId="746B022E" w14:textId="77777777" w:rsidR="00EC58B5" w:rsidRPr="00C95105" w:rsidRDefault="00EC58B5" w:rsidP="00E120C1">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Meier, P. (2004). The mutual contagion effect of legal and party quotas: A Belgian perspective. </w:t>
      </w:r>
      <w:r w:rsidRPr="00C95105">
        <w:rPr>
          <w:rFonts w:asciiTheme="minorHAnsi" w:hAnsiTheme="minorHAnsi" w:cstheme="minorHAnsi"/>
          <w:i/>
          <w:sz w:val="22"/>
          <w:szCs w:val="22"/>
        </w:rPr>
        <w:t>Party Politics</w:t>
      </w:r>
      <w:r w:rsidRPr="00C95105">
        <w:rPr>
          <w:rFonts w:asciiTheme="minorHAnsi" w:hAnsiTheme="minorHAnsi" w:cstheme="minorHAnsi"/>
          <w:sz w:val="22"/>
          <w:szCs w:val="22"/>
        </w:rPr>
        <w:t>,</w:t>
      </w:r>
      <w:r w:rsidRPr="00C95105">
        <w:rPr>
          <w:rFonts w:asciiTheme="minorHAnsi" w:hAnsiTheme="minorHAnsi" w:cstheme="minorHAnsi"/>
          <w:i/>
          <w:sz w:val="22"/>
          <w:szCs w:val="22"/>
        </w:rPr>
        <w:t xml:space="preserve"> 10</w:t>
      </w:r>
      <w:r w:rsidRPr="00C95105">
        <w:rPr>
          <w:rFonts w:asciiTheme="minorHAnsi" w:hAnsiTheme="minorHAnsi" w:cstheme="minorHAnsi"/>
          <w:sz w:val="22"/>
          <w:szCs w:val="22"/>
        </w:rPr>
        <w:t xml:space="preserve">(5), 583. </w:t>
      </w:r>
      <w:r w:rsidRPr="00C95105">
        <w:rPr>
          <w:rFonts w:asciiTheme="minorHAnsi" w:hAnsiTheme="minorHAnsi" w:cstheme="minorHAnsi"/>
          <w:sz w:val="22"/>
          <w:szCs w:val="22"/>
          <w:shd w:val="clear" w:color="auto" w:fill="FFFFFF"/>
        </w:rPr>
        <w:t>https://doi.org/10.1177/1354068804045389 </w:t>
      </w:r>
    </w:p>
    <w:p w14:paraId="483F8AC2"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Morgenroth, T., &amp; Ryan, M. K. (2018). Quotas and affirmative action: Understanding group‐based outcomes and attitudes. </w:t>
      </w:r>
      <w:r w:rsidRPr="00C95105">
        <w:rPr>
          <w:rFonts w:asciiTheme="minorHAnsi" w:hAnsiTheme="minorHAnsi" w:cstheme="minorHAnsi"/>
          <w:i/>
          <w:sz w:val="22"/>
          <w:szCs w:val="22"/>
          <w:lang w:val="en-AU"/>
        </w:rPr>
        <w:t>Social and Personality Psychology Compass</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12</w:t>
      </w:r>
      <w:r w:rsidRPr="00C95105">
        <w:rPr>
          <w:rFonts w:asciiTheme="minorHAnsi" w:hAnsiTheme="minorHAnsi" w:cstheme="minorHAnsi"/>
          <w:sz w:val="22"/>
          <w:szCs w:val="22"/>
          <w:lang w:val="en-AU"/>
        </w:rPr>
        <w:t xml:space="preserve">(3), e12374. </w:t>
      </w:r>
    </w:p>
    <w:p w14:paraId="48BB0B9E"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Naaraayanan, S., &amp; Nielsen, K. M. (2020). Do gender quotas change attitudes towards female directors? </w:t>
      </w:r>
      <w:r w:rsidRPr="00C95105">
        <w:rPr>
          <w:rFonts w:asciiTheme="minorHAnsi" w:hAnsiTheme="minorHAnsi" w:cstheme="minorHAnsi"/>
          <w:i/>
          <w:sz w:val="22"/>
          <w:szCs w:val="22"/>
          <w:lang w:val="en-AU"/>
        </w:rPr>
        <w:t>Available at SSRN</w:t>
      </w:r>
      <w:r w:rsidRPr="00C95105">
        <w:rPr>
          <w:rFonts w:asciiTheme="minorHAnsi" w:hAnsiTheme="minorHAnsi" w:cstheme="minorHAnsi"/>
          <w:sz w:val="22"/>
          <w:szCs w:val="22"/>
          <w:lang w:val="en-AU"/>
        </w:rPr>
        <w:t xml:space="preserve">. </w:t>
      </w:r>
    </w:p>
    <w:p w14:paraId="4AB98FC1"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Paxton, P., Hughes, M. M., &amp; Painter, M. A. (2010). Growth in women's political representation: A longitudinal exploration of democracy, electoral system and gender quotas. </w:t>
      </w:r>
      <w:r w:rsidRPr="00C95105">
        <w:rPr>
          <w:rFonts w:asciiTheme="minorHAnsi" w:hAnsiTheme="minorHAnsi" w:cstheme="minorHAnsi"/>
          <w:i/>
          <w:sz w:val="22"/>
          <w:szCs w:val="22"/>
          <w:lang w:val="en-AU"/>
        </w:rPr>
        <w:t>European Journal of Political Research</w:t>
      </w:r>
      <w:r w:rsidRPr="00C95105">
        <w:rPr>
          <w:rFonts w:asciiTheme="minorHAnsi" w:hAnsiTheme="minorHAnsi" w:cstheme="minorHAnsi"/>
          <w:sz w:val="22"/>
          <w:szCs w:val="22"/>
          <w:lang w:val="en-AU"/>
        </w:rPr>
        <w:t>,</w:t>
      </w:r>
      <w:r w:rsidRPr="00C95105">
        <w:rPr>
          <w:rFonts w:asciiTheme="minorHAnsi" w:hAnsiTheme="minorHAnsi" w:cstheme="minorHAnsi"/>
          <w:i/>
          <w:sz w:val="22"/>
          <w:szCs w:val="22"/>
          <w:lang w:val="en-AU"/>
        </w:rPr>
        <w:t xml:space="preserve"> 49</w:t>
      </w:r>
      <w:r w:rsidRPr="00C95105">
        <w:rPr>
          <w:rFonts w:asciiTheme="minorHAnsi" w:hAnsiTheme="minorHAnsi" w:cstheme="minorHAnsi"/>
          <w:sz w:val="22"/>
          <w:szCs w:val="22"/>
          <w:lang w:val="en-AU"/>
        </w:rPr>
        <w:t xml:space="preserve">(1), 25-52. https://doi.org/10.1111/j.1475-6765.2009.01886.x </w:t>
      </w:r>
    </w:p>
    <w:p w14:paraId="4BCCB368"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Premier of Victoria. (2015, March 28). </w:t>
      </w:r>
      <w:r w:rsidRPr="00C95105">
        <w:rPr>
          <w:rFonts w:asciiTheme="minorHAnsi" w:hAnsiTheme="minorHAnsi" w:cstheme="minorHAnsi"/>
          <w:i/>
          <w:iCs/>
          <w:sz w:val="22"/>
          <w:szCs w:val="22"/>
          <w:lang w:val="en-AU"/>
        </w:rPr>
        <w:t>Balanced boards make better decisions</w:t>
      </w:r>
      <w:r w:rsidRPr="00C95105">
        <w:rPr>
          <w:rFonts w:asciiTheme="minorHAnsi" w:hAnsiTheme="minorHAnsi" w:cstheme="minorHAnsi"/>
          <w:sz w:val="22"/>
          <w:szCs w:val="22"/>
          <w:lang w:val="en-AU"/>
        </w:rPr>
        <w:t>. [Press release]. Retrived from https://www.premier.vic.gov.au/balanced-boards-make-better-decisions/</w:t>
      </w:r>
    </w:p>
    <w:p w14:paraId="0479F511" w14:textId="77777777" w:rsidR="00402CFF" w:rsidRPr="00C95105" w:rsidRDefault="00402CFF" w:rsidP="00402CFF">
      <w:pPr>
        <w:pStyle w:val="TableParagraph"/>
        <w:spacing w:after="120"/>
        <w:ind w:left="426" w:right="65" w:hanging="426"/>
        <w:rPr>
          <w:rFonts w:asciiTheme="minorHAnsi" w:hAnsiTheme="minorHAnsi" w:cstheme="minorHAnsi"/>
          <w:lang w:val="en-AU"/>
        </w:rPr>
      </w:pPr>
      <w:r w:rsidRPr="00C95105">
        <w:rPr>
          <w:rFonts w:asciiTheme="minorHAnsi" w:hAnsiTheme="minorHAnsi" w:cstheme="minorHAnsi"/>
          <w:lang w:val="en-AU"/>
        </w:rPr>
        <w:t xml:space="preserve">Sojo, V., Wood, R., Wood, S., &amp; Wheeler, M. (2016). Reporting requirements, targets, and quotas for women in leadership. </w:t>
      </w:r>
      <w:r w:rsidRPr="00C95105">
        <w:rPr>
          <w:rFonts w:asciiTheme="minorHAnsi" w:hAnsiTheme="minorHAnsi" w:cstheme="minorHAnsi"/>
          <w:i/>
          <w:iCs/>
          <w:lang w:val="en-AU"/>
        </w:rPr>
        <w:t>The Leadership Quarterly (Special Issue: Gender and Leadership), 27</w:t>
      </w:r>
      <w:r w:rsidRPr="00C95105">
        <w:rPr>
          <w:rFonts w:asciiTheme="minorHAnsi" w:hAnsiTheme="minorHAnsi" w:cstheme="minorHAnsi"/>
          <w:lang w:val="en-AU"/>
        </w:rPr>
        <w:t xml:space="preserve"> (3), 519-536. doi:10.1016/j.leaqua.2015.12.003</w:t>
      </w:r>
    </w:p>
    <w:p w14:paraId="070B83E3" w14:textId="77777777" w:rsidR="00EC58B5" w:rsidRPr="00C95105" w:rsidRDefault="00EC58B5" w:rsidP="00E120C1">
      <w:pPr>
        <w:pStyle w:val="EndNoteBibliography"/>
        <w:spacing w:after="120"/>
        <w:ind w:left="567" w:hanging="567"/>
        <w:rPr>
          <w:rFonts w:asciiTheme="minorHAnsi" w:hAnsiTheme="minorHAnsi" w:cstheme="minorHAnsi"/>
          <w:sz w:val="22"/>
          <w:szCs w:val="22"/>
          <w:lang w:val="en-AU"/>
        </w:rPr>
      </w:pPr>
      <w:r w:rsidRPr="00C95105">
        <w:rPr>
          <w:rFonts w:asciiTheme="minorHAnsi" w:hAnsiTheme="minorHAnsi" w:cstheme="minorHAnsi"/>
          <w:sz w:val="22"/>
          <w:szCs w:val="22"/>
          <w:lang w:val="en-AU"/>
        </w:rPr>
        <w:t xml:space="preserve">Storvik, A. (2011). </w:t>
      </w:r>
      <w:r w:rsidRPr="00C95105">
        <w:rPr>
          <w:rFonts w:asciiTheme="minorHAnsi" w:hAnsiTheme="minorHAnsi" w:cstheme="minorHAnsi"/>
          <w:i/>
          <w:sz w:val="22"/>
          <w:szCs w:val="22"/>
          <w:lang w:val="en-AU"/>
        </w:rPr>
        <w:t>Women on boards–experience from the Norwegian quota reform</w:t>
      </w:r>
      <w:r w:rsidRPr="00C95105">
        <w:rPr>
          <w:rFonts w:asciiTheme="minorHAnsi" w:hAnsiTheme="minorHAnsi" w:cstheme="minorHAnsi"/>
          <w:sz w:val="22"/>
          <w:szCs w:val="22"/>
          <w:lang w:val="en-AU"/>
        </w:rPr>
        <w:t xml:space="preserve">. econstor.eu. Retrieved from https://www.econstor.eu/bitstream/10419/167029/1/ifo-dice-report-v09-y2011-i1-p34-41.pdf </w:t>
      </w:r>
    </w:p>
    <w:p w14:paraId="5FCF4C8B"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Storvik, A. E. L., &amp; Gulbrandsen, T. J. (2016). Included, but still not equal? Gender segregation at quota regulated boards. </w:t>
      </w:r>
      <w:r w:rsidRPr="00C95105">
        <w:rPr>
          <w:rFonts w:asciiTheme="minorHAnsi" w:hAnsiTheme="minorHAnsi" w:cstheme="minorHAnsi"/>
          <w:i/>
          <w:iCs/>
          <w:sz w:val="22"/>
          <w:szCs w:val="22"/>
        </w:rPr>
        <w:t>Corporate Board: Role, Duties &amp; Composition</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12</w:t>
      </w:r>
      <w:r w:rsidRPr="00C95105">
        <w:rPr>
          <w:rFonts w:asciiTheme="minorHAnsi" w:hAnsiTheme="minorHAnsi" w:cstheme="minorHAnsi"/>
          <w:sz w:val="22"/>
          <w:szCs w:val="22"/>
        </w:rPr>
        <w:t xml:space="preserve">(4). https://doi.org/dx.doi.org/10.22495/cbv12i2art5 </w:t>
      </w:r>
    </w:p>
    <w:p w14:paraId="2EB8495D"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Wang, M., &amp; Kelan, E. (2013). The gender quota and female leadership: Effects of the Norwegian gender quota on board chairs and CEOs. </w:t>
      </w:r>
      <w:r w:rsidRPr="00C95105">
        <w:rPr>
          <w:rFonts w:asciiTheme="minorHAnsi" w:hAnsiTheme="minorHAnsi" w:cstheme="minorHAnsi"/>
          <w:i/>
          <w:iCs/>
          <w:sz w:val="22"/>
          <w:szCs w:val="22"/>
        </w:rPr>
        <w:t>Journal of Business Ethics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117</w:t>
      </w:r>
      <w:r w:rsidRPr="00C95105">
        <w:rPr>
          <w:rFonts w:asciiTheme="minorHAnsi" w:hAnsiTheme="minorHAnsi" w:cstheme="minorHAnsi"/>
          <w:sz w:val="22"/>
          <w:szCs w:val="22"/>
        </w:rPr>
        <w:t xml:space="preserve">(3), 449-466. https://doi.org/10.1007/s10551-012-1546-5 </w:t>
      </w:r>
    </w:p>
    <w:p w14:paraId="6EE33898" w14:textId="77777777" w:rsidR="00EC58B5" w:rsidRPr="00C95105" w:rsidRDefault="00EC58B5" w:rsidP="00EC58B5">
      <w:pPr>
        <w:pStyle w:val="EndNoteBibliography"/>
        <w:spacing w:after="120"/>
        <w:ind w:left="720" w:hanging="720"/>
        <w:rPr>
          <w:rFonts w:asciiTheme="minorHAnsi" w:hAnsiTheme="minorHAnsi" w:cstheme="minorHAnsi"/>
          <w:sz w:val="22"/>
          <w:szCs w:val="22"/>
          <w:lang w:val="en-AU"/>
        </w:rPr>
      </w:pPr>
    </w:p>
    <w:p w14:paraId="1DFF07D2" w14:textId="77777777" w:rsidR="00EC58B5" w:rsidRPr="00C95105" w:rsidRDefault="00EC58B5" w:rsidP="00EC58B5">
      <w:pPr>
        <w:spacing w:after="120"/>
        <w:rPr>
          <w:rFonts w:asciiTheme="minorHAnsi" w:hAnsiTheme="minorHAnsi" w:cstheme="minorHAnsi"/>
          <w:sz w:val="22"/>
          <w:szCs w:val="22"/>
        </w:rPr>
      </w:pPr>
    </w:p>
    <w:p w14:paraId="5BDBCCA4" w14:textId="77777777" w:rsidR="00EC58B5" w:rsidRPr="00C95105" w:rsidRDefault="00EC58B5" w:rsidP="00756FF3">
      <w:pPr>
        <w:pStyle w:val="Heading2"/>
        <w:numPr>
          <w:ilvl w:val="1"/>
          <w:numId w:val="35"/>
        </w:numPr>
        <w:spacing w:before="0" w:after="120"/>
        <w:ind w:left="426" w:hanging="426"/>
        <w:rPr>
          <w:rFonts w:asciiTheme="minorHAnsi" w:hAnsiTheme="minorHAnsi" w:cstheme="minorHAnsi"/>
          <w:b/>
          <w:bCs/>
        </w:rPr>
      </w:pPr>
      <w:bookmarkStart w:id="623" w:name="_Toc96957749"/>
      <w:r w:rsidRPr="00C95105">
        <w:rPr>
          <w:rFonts w:asciiTheme="minorHAnsi" w:hAnsiTheme="minorHAnsi" w:cstheme="minorHAnsi"/>
          <w:b/>
          <w:bCs/>
        </w:rPr>
        <w:lastRenderedPageBreak/>
        <w:t>Reviewed References</w:t>
      </w:r>
      <w:bookmarkEnd w:id="623"/>
    </w:p>
    <w:p w14:paraId="1A46A91D"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Abbas, M. (2019). </w:t>
      </w:r>
      <w:r w:rsidRPr="00C95105">
        <w:rPr>
          <w:rFonts w:asciiTheme="minorHAnsi" w:hAnsiTheme="minorHAnsi" w:cstheme="minorHAnsi"/>
          <w:i/>
          <w:iCs/>
          <w:sz w:val="22"/>
          <w:szCs w:val="22"/>
        </w:rPr>
        <w:t>The impact of quotas on women's representation in Iraq</w:t>
      </w:r>
      <w:r w:rsidRPr="00C95105">
        <w:rPr>
          <w:rFonts w:asciiTheme="minorHAnsi" w:hAnsiTheme="minorHAnsi" w:cstheme="minorHAnsi"/>
          <w:sz w:val="22"/>
          <w:szCs w:val="22"/>
        </w:rPr>
        <w:t xml:space="preserve"> [Doctoral dissertation, Kingston University]. EThOS. https://ethos.bl.uk/OrderDetails.do?uin=uk.bl.ethos.819250</w:t>
      </w:r>
    </w:p>
    <w:p w14:paraId="23D288D7"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Adriaanse, J., &amp; Schofield, T. (2014). The impact of gender quotas on gender equality in sport governance. </w:t>
      </w:r>
      <w:r w:rsidRPr="00C95105">
        <w:rPr>
          <w:rFonts w:asciiTheme="minorHAnsi" w:hAnsiTheme="minorHAnsi" w:cstheme="minorHAnsi"/>
          <w:i/>
          <w:iCs/>
          <w:sz w:val="22"/>
          <w:szCs w:val="22"/>
        </w:rPr>
        <w:t>Journal of Sport Management</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28</w:t>
      </w:r>
      <w:r w:rsidRPr="00C95105">
        <w:rPr>
          <w:rFonts w:asciiTheme="minorHAnsi" w:hAnsiTheme="minorHAnsi" w:cstheme="minorHAnsi"/>
          <w:sz w:val="22"/>
          <w:szCs w:val="22"/>
        </w:rPr>
        <w:t xml:space="preserve">(5), 485-497. https://doi.org/10.1123/jsm.2013-0108 </w:t>
      </w:r>
    </w:p>
    <w:p w14:paraId="5ED868A2" w14:textId="77777777" w:rsidR="00EC58B5" w:rsidRPr="00C95105" w:rsidRDefault="00EC58B5" w:rsidP="00E120C1">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Al-Tamimi, H. (2018). Effects of Iraq’s parliamentary gender quota on women’s political mobilization and legitimacy post-2003. </w:t>
      </w:r>
      <w:r w:rsidRPr="00C95105">
        <w:rPr>
          <w:rFonts w:asciiTheme="minorHAnsi" w:hAnsiTheme="minorHAnsi" w:cstheme="minorHAnsi"/>
          <w:i/>
          <w:iCs/>
          <w:sz w:val="22"/>
          <w:szCs w:val="22"/>
        </w:rPr>
        <w:t>Contemporary Arab Affairs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11</w:t>
      </w:r>
      <w:r w:rsidRPr="00C95105">
        <w:rPr>
          <w:rFonts w:asciiTheme="minorHAnsi" w:hAnsiTheme="minorHAnsi" w:cstheme="minorHAnsi"/>
          <w:sz w:val="22"/>
          <w:szCs w:val="22"/>
        </w:rPr>
        <w:t>(4), 41-62. https://doi.org/10.1525/caa.2018.114003</w:t>
      </w:r>
      <w:r w:rsidRPr="00C95105">
        <w:rPr>
          <w:rStyle w:val="apple-converted-space"/>
          <w:rFonts w:asciiTheme="minorHAnsi" w:hAnsiTheme="minorHAnsi" w:cstheme="minorHAnsi"/>
          <w:color w:val="38A6CB"/>
          <w:sz w:val="22"/>
          <w:szCs w:val="22"/>
        </w:rPr>
        <w:t> </w:t>
      </w:r>
    </w:p>
    <w:p w14:paraId="2F330876" w14:textId="77777777" w:rsidR="00EC58B5" w:rsidRPr="00C95105" w:rsidRDefault="00EC58B5" w:rsidP="00E120C1">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Anumo, F., &amp; Pacificah, F. (2019). The influence of gender quotas on women's participation in legislative processes in the National Assembly of the 11th Parliament of Kenya (2013-2017). </w:t>
      </w:r>
      <w:r w:rsidRPr="00C95105">
        <w:rPr>
          <w:rFonts w:asciiTheme="minorHAnsi" w:hAnsiTheme="minorHAnsi" w:cstheme="minorHAnsi"/>
          <w:i/>
          <w:iCs/>
          <w:sz w:val="22"/>
          <w:szCs w:val="22"/>
        </w:rPr>
        <w:t>International Journal of Current Aspects</w:t>
      </w:r>
      <w:r w:rsidRPr="00C95105">
        <w:rPr>
          <w:rFonts w:asciiTheme="minorHAnsi" w:hAnsiTheme="minorHAnsi" w:cstheme="minorHAnsi"/>
          <w:sz w:val="22"/>
          <w:szCs w:val="22"/>
        </w:rPr>
        <w:t>. https://doi.org/10.35942/ijcab.v3iii.22</w:t>
      </w:r>
      <w:r w:rsidRPr="00C95105">
        <w:rPr>
          <w:rStyle w:val="apple-converted-space"/>
          <w:rFonts w:asciiTheme="minorHAnsi" w:hAnsiTheme="minorHAnsi" w:cstheme="minorHAnsi"/>
          <w:color w:val="38A6CB"/>
          <w:sz w:val="22"/>
          <w:szCs w:val="22"/>
        </w:rPr>
        <w:t> </w:t>
      </w:r>
    </w:p>
    <w:p w14:paraId="53D86923"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Archer, E. (2019). </w:t>
      </w:r>
      <w:r w:rsidRPr="00C95105">
        <w:rPr>
          <w:rFonts w:asciiTheme="minorHAnsi" w:hAnsiTheme="minorHAnsi" w:cstheme="minorHAnsi"/>
          <w:i/>
          <w:iCs/>
          <w:sz w:val="22"/>
          <w:szCs w:val="22"/>
        </w:rPr>
        <w:t>“Quota [ed]”: The impact of gender quota on the visibility of female politicians in the media</w:t>
      </w:r>
      <w:r w:rsidRPr="00C95105">
        <w:rPr>
          <w:rFonts w:asciiTheme="minorHAnsi" w:hAnsiTheme="minorHAnsi" w:cstheme="minorHAnsi"/>
          <w:sz w:val="22"/>
          <w:szCs w:val="22"/>
        </w:rPr>
        <w:t xml:space="preserve"> (Publication Number 4695286099785) [Master’s thesis, Masaryk University/Utrecht University]. https://dspace.library.uu.nl/handle/1874/388711</w:t>
      </w:r>
    </w:p>
    <w:p w14:paraId="30464E7D" w14:textId="77777777" w:rsidR="00EC58B5" w:rsidRPr="00C95105" w:rsidRDefault="00EC58B5" w:rsidP="00E120C1">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Bagues, M., &amp; Campa, P. (2021). Can gender quotas in candidate lists empower women? Evidence from a regression discontinuity design. </w:t>
      </w:r>
      <w:r w:rsidRPr="00C95105">
        <w:rPr>
          <w:rFonts w:asciiTheme="minorHAnsi" w:hAnsiTheme="minorHAnsi" w:cstheme="minorHAnsi"/>
          <w:i/>
          <w:iCs/>
          <w:sz w:val="22"/>
          <w:szCs w:val="22"/>
        </w:rPr>
        <w:t>Journal of Public Economics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194</w:t>
      </w:r>
      <w:r w:rsidRPr="00C95105">
        <w:rPr>
          <w:rFonts w:asciiTheme="minorHAnsi" w:hAnsiTheme="minorHAnsi" w:cstheme="minorHAnsi"/>
          <w:sz w:val="22"/>
          <w:szCs w:val="22"/>
        </w:rPr>
        <w:t>. https://doi.org/10.2139/ssrn.3010666</w:t>
      </w:r>
      <w:r w:rsidRPr="00C95105">
        <w:rPr>
          <w:rStyle w:val="apple-converted-space"/>
          <w:rFonts w:asciiTheme="minorHAnsi" w:hAnsiTheme="minorHAnsi" w:cstheme="minorHAnsi"/>
          <w:color w:val="38A6CB"/>
          <w:sz w:val="22"/>
          <w:szCs w:val="22"/>
        </w:rPr>
        <w:t> </w:t>
      </w:r>
    </w:p>
    <w:p w14:paraId="143DE508"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Bari, F. (2015). </w:t>
      </w:r>
      <w:r w:rsidRPr="00C95105">
        <w:rPr>
          <w:rFonts w:asciiTheme="minorHAnsi" w:hAnsiTheme="minorHAnsi" w:cstheme="minorHAnsi"/>
          <w:i/>
          <w:iCs/>
          <w:sz w:val="22"/>
          <w:szCs w:val="22"/>
        </w:rPr>
        <w:t>Bridging the faults lines? Rethinking the gender quota approach in Pakistan</w:t>
      </w:r>
      <w:r w:rsidRPr="00C95105">
        <w:rPr>
          <w:rFonts w:asciiTheme="minorHAnsi" w:hAnsiTheme="minorHAnsi" w:cstheme="minorHAnsi"/>
          <w:sz w:val="22"/>
          <w:szCs w:val="22"/>
        </w:rPr>
        <w:t xml:space="preserve"> (Reviewing gender quotas in Afghanistan and Pakistan).</w:t>
      </w:r>
    </w:p>
    <w:p w14:paraId="258832A8"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Barnes, T. D. (2012). </w:t>
      </w:r>
      <w:r w:rsidRPr="00C95105">
        <w:rPr>
          <w:rFonts w:asciiTheme="minorHAnsi" w:hAnsiTheme="minorHAnsi" w:cstheme="minorHAnsi"/>
          <w:i/>
          <w:iCs/>
          <w:sz w:val="22"/>
          <w:szCs w:val="22"/>
        </w:rPr>
        <w:t>Gender quotas and the representation of women: Empowerment, Decision-making, and public policy</w:t>
      </w:r>
      <w:r w:rsidRPr="00C95105">
        <w:rPr>
          <w:rFonts w:asciiTheme="minorHAnsi" w:hAnsiTheme="minorHAnsi" w:cstheme="minorHAnsi"/>
          <w:sz w:val="22"/>
          <w:szCs w:val="22"/>
        </w:rPr>
        <w:t xml:space="preserve"> (Publication Number 3534211) [Doctoral dissertation, Rice University]. </w:t>
      </w:r>
    </w:p>
    <w:p w14:paraId="750C2D32"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Batto, N. F. (2018). Gender quotas and upward mobility in elections in Taiwan. </w:t>
      </w:r>
      <w:r w:rsidRPr="00C95105">
        <w:rPr>
          <w:rFonts w:asciiTheme="minorHAnsi" w:hAnsiTheme="minorHAnsi" w:cstheme="minorHAnsi"/>
          <w:i/>
          <w:iCs/>
          <w:sz w:val="22"/>
          <w:szCs w:val="22"/>
        </w:rPr>
        <w:t>Journal of Women, Politics &amp; Policy</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39</w:t>
      </w:r>
      <w:r w:rsidRPr="00C95105">
        <w:rPr>
          <w:rFonts w:asciiTheme="minorHAnsi" w:hAnsiTheme="minorHAnsi" w:cstheme="minorHAnsi"/>
          <w:sz w:val="22"/>
          <w:szCs w:val="22"/>
        </w:rPr>
        <w:t xml:space="preserve">(4), 451-466. https://doi.org/10.1080/1554477X.2018.1511126 </w:t>
      </w:r>
    </w:p>
    <w:p w14:paraId="6F2ED305" w14:textId="77777777" w:rsidR="00EC58B5" w:rsidRPr="00C95105" w:rsidRDefault="00EC58B5" w:rsidP="00E120C1">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Beaman, L., Chattopadhyay, R., Duflo, E., Pande, R., &amp; Topalova, P. (2009). Powerful women: Does exposure reduce bias? </w:t>
      </w:r>
      <w:r w:rsidRPr="00C95105">
        <w:rPr>
          <w:rFonts w:asciiTheme="minorHAnsi" w:hAnsiTheme="minorHAnsi" w:cstheme="minorHAnsi"/>
          <w:i/>
          <w:iCs/>
          <w:sz w:val="22"/>
          <w:szCs w:val="22"/>
        </w:rPr>
        <w:t>The Quarterly Journal of Economics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124</w:t>
      </w:r>
      <w:r w:rsidRPr="00C95105">
        <w:rPr>
          <w:rFonts w:asciiTheme="minorHAnsi" w:hAnsiTheme="minorHAnsi" w:cstheme="minorHAnsi"/>
          <w:sz w:val="22"/>
          <w:szCs w:val="22"/>
        </w:rPr>
        <w:t>(4), 1497-1540. https://doi.org/10.3386/w14198</w:t>
      </w:r>
      <w:r w:rsidRPr="00C95105">
        <w:rPr>
          <w:rStyle w:val="apple-converted-space"/>
          <w:rFonts w:asciiTheme="minorHAnsi" w:hAnsiTheme="minorHAnsi" w:cstheme="minorHAnsi"/>
          <w:color w:val="38A6CB"/>
          <w:sz w:val="22"/>
          <w:szCs w:val="22"/>
        </w:rPr>
        <w:t> </w:t>
      </w:r>
    </w:p>
    <w:p w14:paraId="72624A65"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Bennouri, M., De Amicis, C., &amp; Falconieri, S. (2020). Welcome on board: A note on gender quotas regulation in Europe. </w:t>
      </w:r>
      <w:r w:rsidRPr="00C95105">
        <w:rPr>
          <w:rFonts w:asciiTheme="minorHAnsi" w:hAnsiTheme="minorHAnsi" w:cstheme="minorHAnsi"/>
          <w:i/>
          <w:iCs/>
          <w:sz w:val="22"/>
          <w:szCs w:val="22"/>
        </w:rPr>
        <w:t>Economics Letters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190</w:t>
      </w:r>
      <w:r w:rsidRPr="00C95105">
        <w:rPr>
          <w:rFonts w:asciiTheme="minorHAnsi" w:hAnsiTheme="minorHAnsi" w:cstheme="minorHAnsi"/>
          <w:sz w:val="22"/>
          <w:szCs w:val="22"/>
        </w:rPr>
        <w:t xml:space="preserve">. https://doi.org/10.1016/j.econlet.2020.109055 </w:t>
      </w:r>
    </w:p>
    <w:p w14:paraId="3FCCEDF7"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Benstead, L. J. (2016). Why quotas are needed to improve women's access to services in clientelistic regimes. </w:t>
      </w:r>
      <w:r w:rsidRPr="00C95105">
        <w:rPr>
          <w:rFonts w:asciiTheme="minorHAnsi" w:hAnsiTheme="minorHAnsi" w:cstheme="minorHAnsi"/>
          <w:i/>
          <w:iCs/>
          <w:sz w:val="22"/>
          <w:szCs w:val="22"/>
        </w:rPr>
        <w:t>Governance</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29</w:t>
      </w:r>
      <w:r w:rsidRPr="00C95105">
        <w:rPr>
          <w:rFonts w:asciiTheme="minorHAnsi" w:hAnsiTheme="minorHAnsi" w:cstheme="minorHAnsi"/>
          <w:sz w:val="22"/>
          <w:szCs w:val="22"/>
        </w:rPr>
        <w:t xml:space="preserve">(2), 185-205. https://doi.org/10.1111/gove.12162 </w:t>
      </w:r>
    </w:p>
    <w:p w14:paraId="33D1FE83"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Bertrand, M., Black, S. E., Jensen, S., &amp; Lleras-Muney, A. (2019). Breaking the glass ceiling? The effect of board quotas on female labour market outcomes in Norway. </w:t>
      </w:r>
      <w:r w:rsidRPr="00C95105">
        <w:rPr>
          <w:rFonts w:asciiTheme="minorHAnsi" w:hAnsiTheme="minorHAnsi" w:cstheme="minorHAnsi"/>
          <w:i/>
          <w:iCs/>
          <w:sz w:val="22"/>
          <w:szCs w:val="22"/>
        </w:rPr>
        <w:t>Review of Economic Studies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86</w:t>
      </w:r>
      <w:r w:rsidRPr="00C95105">
        <w:rPr>
          <w:rFonts w:asciiTheme="minorHAnsi" w:hAnsiTheme="minorHAnsi" w:cstheme="minorHAnsi"/>
          <w:sz w:val="22"/>
          <w:szCs w:val="22"/>
        </w:rPr>
        <w:t xml:space="preserve">(1), 191-239. https://doi.org/10.3386/w20256 </w:t>
      </w:r>
    </w:p>
    <w:p w14:paraId="1A1DC301" w14:textId="77777777" w:rsidR="00EC58B5" w:rsidRPr="00C95105" w:rsidRDefault="00EC58B5" w:rsidP="00E120C1">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Bhalotra, S., Clarke, D., Gomes, J. F., &amp; Venkataramani, A. (2021). </w:t>
      </w:r>
      <w:r w:rsidRPr="00C95105">
        <w:rPr>
          <w:rFonts w:asciiTheme="minorHAnsi" w:hAnsiTheme="minorHAnsi" w:cstheme="minorHAnsi"/>
          <w:i/>
          <w:iCs/>
          <w:sz w:val="22"/>
          <w:szCs w:val="22"/>
        </w:rPr>
        <w:t>Maternal Mortality and Women's Political Participation</w:t>
      </w:r>
      <w:r w:rsidRPr="00C95105">
        <w:rPr>
          <w:rFonts w:asciiTheme="minorHAnsi" w:hAnsiTheme="minorHAnsi" w:cstheme="minorHAnsi"/>
          <w:sz w:val="22"/>
          <w:szCs w:val="22"/>
        </w:rPr>
        <w:t>. University of Warwick, Department of Economics, The Warwick Economics Research Paper Series (TWERPS). https://doi.org/10.1101/19000570</w:t>
      </w:r>
      <w:r w:rsidRPr="00C95105">
        <w:rPr>
          <w:rStyle w:val="apple-converted-space"/>
          <w:rFonts w:asciiTheme="minorHAnsi" w:hAnsiTheme="minorHAnsi" w:cstheme="minorHAnsi"/>
          <w:color w:val="38A6CB"/>
          <w:sz w:val="22"/>
          <w:szCs w:val="22"/>
        </w:rPr>
        <w:t> </w:t>
      </w:r>
    </w:p>
    <w:p w14:paraId="02CEC7EC"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Bhattacharjee, S., Smith, A., &amp; Yi, S. X. (2021). </w:t>
      </w:r>
      <w:r w:rsidRPr="00C95105">
        <w:rPr>
          <w:rFonts w:asciiTheme="minorHAnsi" w:hAnsiTheme="minorHAnsi" w:cstheme="minorHAnsi"/>
          <w:i/>
          <w:iCs/>
          <w:sz w:val="22"/>
          <w:szCs w:val="22"/>
        </w:rPr>
        <w:t>Electoral Gender Quotas, Women's Health, and Transparency</w:t>
      </w:r>
      <w:r w:rsidRPr="00C95105">
        <w:rPr>
          <w:rFonts w:asciiTheme="minorHAnsi" w:hAnsiTheme="minorHAnsi" w:cstheme="minorHAnsi"/>
          <w:sz w:val="22"/>
          <w:szCs w:val="22"/>
        </w:rPr>
        <w:t xml:space="preserve"> [Thesis, New York University]. https://as.nyu.edu/content/dam/nyu-as/politics/documents/Sarika%20Bhattacharjee%20-%20Thesis%20(4).pdf</w:t>
      </w:r>
    </w:p>
    <w:p w14:paraId="51D851F2"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Burnet, J. E. (2011). Women have found respect: Gender quotas, symbolic representation, and female empowerment in Rwanda. </w:t>
      </w:r>
      <w:r w:rsidRPr="00C95105">
        <w:rPr>
          <w:rFonts w:asciiTheme="minorHAnsi" w:hAnsiTheme="minorHAnsi" w:cstheme="minorHAnsi"/>
          <w:i/>
          <w:iCs/>
          <w:sz w:val="22"/>
          <w:szCs w:val="22"/>
        </w:rPr>
        <w:t>Politics &amp; Gender</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7</w:t>
      </w:r>
      <w:r w:rsidRPr="00C95105">
        <w:rPr>
          <w:rFonts w:asciiTheme="minorHAnsi" w:hAnsiTheme="minorHAnsi" w:cstheme="minorHAnsi"/>
          <w:sz w:val="22"/>
          <w:szCs w:val="22"/>
        </w:rPr>
        <w:t xml:space="preserve">(3), 303-334. https://doi.org/10.1017/S1743923X11000250 </w:t>
      </w:r>
    </w:p>
    <w:p w14:paraId="72CC8702" w14:textId="77777777" w:rsidR="00EC58B5" w:rsidRPr="00C95105" w:rsidRDefault="00EC58B5" w:rsidP="00E120C1">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t xml:space="preserve">Campa, P. (2011). </w:t>
      </w:r>
      <w:r w:rsidRPr="00C95105">
        <w:rPr>
          <w:rFonts w:asciiTheme="minorHAnsi" w:hAnsiTheme="minorHAnsi" w:cstheme="minorHAnsi"/>
          <w:i/>
          <w:iCs/>
          <w:sz w:val="22"/>
          <w:szCs w:val="22"/>
        </w:rPr>
        <w:t>Gender quotas, female politicians, and public expenditures: quasi-experimental evidence</w:t>
      </w:r>
      <w:r w:rsidRPr="00C95105">
        <w:rPr>
          <w:rFonts w:asciiTheme="minorHAnsi" w:hAnsiTheme="minorHAnsi" w:cstheme="minorHAnsi"/>
          <w:sz w:val="22"/>
          <w:szCs w:val="22"/>
        </w:rPr>
        <w:t>. papers.ssrn.com. https://doi.org/10.2139/ssrn.2014050</w:t>
      </w:r>
      <w:r w:rsidRPr="00C95105">
        <w:rPr>
          <w:rStyle w:val="apple-converted-space"/>
          <w:rFonts w:asciiTheme="minorHAnsi" w:hAnsiTheme="minorHAnsi" w:cstheme="minorHAnsi"/>
          <w:color w:val="38A6CB"/>
          <w:sz w:val="22"/>
          <w:szCs w:val="22"/>
        </w:rPr>
        <w:t> </w:t>
      </w:r>
    </w:p>
    <w:p w14:paraId="2B643D42" w14:textId="77777777" w:rsidR="00EC58B5" w:rsidRPr="00C95105" w:rsidRDefault="00EC58B5" w:rsidP="00E120C1">
      <w:pPr>
        <w:spacing w:after="120"/>
        <w:ind w:left="567" w:hanging="567"/>
        <w:rPr>
          <w:rFonts w:asciiTheme="minorHAnsi" w:hAnsiTheme="minorHAnsi" w:cstheme="minorHAnsi"/>
          <w:sz w:val="22"/>
          <w:szCs w:val="22"/>
        </w:rPr>
      </w:pPr>
      <w:r w:rsidRPr="00C95105">
        <w:rPr>
          <w:rFonts w:asciiTheme="minorHAnsi" w:hAnsiTheme="minorHAnsi" w:cstheme="minorHAnsi"/>
          <w:sz w:val="22"/>
          <w:szCs w:val="22"/>
        </w:rPr>
        <w:lastRenderedPageBreak/>
        <w:t xml:space="preserve">Catalano Weeks, A. (2019). Quotas and party priorities: Direct and indirect effects of quota laws. </w:t>
      </w:r>
      <w:r w:rsidRPr="00C95105">
        <w:rPr>
          <w:rFonts w:asciiTheme="minorHAnsi" w:hAnsiTheme="minorHAnsi" w:cstheme="minorHAnsi"/>
          <w:i/>
          <w:iCs/>
          <w:sz w:val="22"/>
          <w:szCs w:val="22"/>
        </w:rPr>
        <w:t>Political Research Quarterly</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72</w:t>
      </w:r>
      <w:r w:rsidRPr="00C95105">
        <w:rPr>
          <w:rFonts w:asciiTheme="minorHAnsi" w:hAnsiTheme="minorHAnsi" w:cstheme="minorHAnsi"/>
          <w:sz w:val="22"/>
          <w:szCs w:val="22"/>
        </w:rPr>
        <w:t>(4), 849-862. https://doi.org/10.1177/1065912918809493</w:t>
      </w:r>
      <w:r w:rsidRPr="00C95105">
        <w:rPr>
          <w:rStyle w:val="apple-converted-space"/>
          <w:rFonts w:asciiTheme="minorHAnsi" w:hAnsiTheme="minorHAnsi" w:cstheme="minorHAnsi"/>
          <w:color w:val="38A6CB"/>
          <w:sz w:val="22"/>
          <w:szCs w:val="22"/>
        </w:rPr>
        <w:t> </w:t>
      </w:r>
    </w:p>
    <w:p w14:paraId="3F8EC540"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Cerasa, I. (2016). </w:t>
      </w:r>
      <w:r w:rsidRPr="00C95105">
        <w:rPr>
          <w:rFonts w:asciiTheme="minorHAnsi" w:hAnsiTheme="minorHAnsi" w:cstheme="minorHAnsi"/>
          <w:i/>
          <w:iCs/>
          <w:sz w:val="22"/>
          <w:szCs w:val="22"/>
        </w:rPr>
        <w:t>Gender Quotas, Women in Politics and Local Expenditures. A Discontinuity Design using Population Thresholds</w:t>
      </w:r>
      <w:r w:rsidRPr="00C95105">
        <w:rPr>
          <w:rFonts w:asciiTheme="minorHAnsi" w:hAnsiTheme="minorHAnsi" w:cstheme="minorHAnsi"/>
          <w:sz w:val="22"/>
          <w:szCs w:val="22"/>
        </w:rPr>
        <w:t>. Working paper. https://www.researchgate.net/profile/Igor-Cerasa/publication/310774133_Gender_Quotas_Women_in_Politics_and_Local_Expenditures_A_Discontinuity_Design_using_Population_Thresholds/links/5836c38808aec3fe331e0c52/Gender-Quotas-Women-in-Politics-and-Local-Expenditures-A-Discontinuity-Design-using-Population-Thresholds.pdf</w:t>
      </w:r>
    </w:p>
    <w:p w14:paraId="6331EB89"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Chen, L.-J. (2010). Do gender quotas influence women's representation and policies? </w:t>
      </w:r>
      <w:r w:rsidRPr="00C95105">
        <w:rPr>
          <w:rFonts w:asciiTheme="minorHAnsi" w:hAnsiTheme="minorHAnsi" w:cstheme="minorHAnsi"/>
          <w:i/>
          <w:iCs/>
          <w:sz w:val="22"/>
          <w:szCs w:val="22"/>
        </w:rPr>
        <w:t>European Journal of Comparative Economics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7</w:t>
      </w:r>
      <w:r w:rsidRPr="00C95105">
        <w:rPr>
          <w:rFonts w:asciiTheme="minorHAnsi" w:hAnsiTheme="minorHAnsi" w:cstheme="minorHAnsi"/>
          <w:sz w:val="22"/>
          <w:szCs w:val="22"/>
        </w:rPr>
        <w:t xml:space="preserve">(1), 13-60. https://doi.org/http://eaces.liuc.it/default.asp </w:t>
      </w:r>
    </w:p>
    <w:p w14:paraId="0D25C4F5"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Clayton, A. (2014). Electoral gender quotas and attitudes towards traditional leaders: A policy experiment in Lesotho. </w:t>
      </w:r>
      <w:r w:rsidRPr="00C95105">
        <w:rPr>
          <w:rFonts w:asciiTheme="minorHAnsi" w:hAnsiTheme="minorHAnsi" w:cstheme="minorHAnsi"/>
          <w:i/>
          <w:iCs/>
          <w:sz w:val="22"/>
          <w:szCs w:val="22"/>
        </w:rPr>
        <w:t>Journal of Policy Analysis &amp; Management</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33</w:t>
      </w:r>
      <w:r w:rsidRPr="00C95105">
        <w:rPr>
          <w:rFonts w:asciiTheme="minorHAnsi" w:hAnsiTheme="minorHAnsi" w:cstheme="minorHAnsi"/>
          <w:sz w:val="22"/>
          <w:szCs w:val="22"/>
        </w:rPr>
        <w:t xml:space="preserve">(4), 1007-1026. https://doi.org/10.1002/pam.21789 </w:t>
      </w:r>
    </w:p>
    <w:p w14:paraId="7D01AAD7"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Clayton, A. (2018). Do gender quotas really reduce bias? Evidence from a policy experiment in Southern Africa. </w:t>
      </w:r>
      <w:r w:rsidRPr="00C95105">
        <w:rPr>
          <w:rFonts w:asciiTheme="minorHAnsi" w:hAnsiTheme="minorHAnsi" w:cstheme="minorHAnsi"/>
          <w:i/>
          <w:iCs/>
          <w:sz w:val="22"/>
          <w:szCs w:val="22"/>
        </w:rPr>
        <w:t>Journal of Experimental Political Science</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5</w:t>
      </w:r>
      <w:r w:rsidRPr="00C95105">
        <w:rPr>
          <w:rFonts w:asciiTheme="minorHAnsi" w:hAnsiTheme="minorHAnsi" w:cstheme="minorHAnsi"/>
          <w:sz w:val="22"/>
          <w:szCs w:val="22"/>
        </w:rPr>
        <w:t>(3), 182-194. https://doi.org/10.1017/xps.2018.8</w:t>
      </w:r>
    </w:p>
    <w:p w14:paraId="4403F104"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Clayton, A., Josefsson, C., &amp; Wang, V. (2017). Quotas and women's substantive representation: Evidence from a content analysis of Ugandan plenary debates. </w:t>
      </w:r>
      <w:r w:rsidRPr="00C95105">
        <w:rPr>
          <w:rFonts w:asciiTheme="minorHAnsi" w:hAnsiTheme="minorHAnsi" w:cstheme="minorHAnsi"/>
          <w:i/>
          <w:iCs/>
          <w:sz w:val="22"/>
          <w:szCs w:val="22"/>
        </w:rPr>
        <w:t>Politics &amp; Gender</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13</w:t>
      </w:r>
      <w:r w:rsidRPr="00C95105">
        <w:rPr>
          <w:rFonts w:asciiTheme="minorHAnsi" w:hAnsiTheme="minorHAnsi" w:cstheme="minorHAnsi"/>
          <w:sz w:val="22"/>
          <w:szCs w:val="22"/>
        </w:rPr>
        <w:t xml:space="preserve">(2), 276-304. https://doi.org/10.1017/S1743923X16000453 </w:t>
      </w:r>
    </w:p>
    <w:p w14:paraId="66420A7B"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Clayton, A., &amp; Zetterberg, P. (2018). Quota shocks: Electoral gender quotas and government spending priorities worldwide. </w:t>
      </w:r>
      <w:r w:rsidRPr="00C95105">
        <w:rPr>
          <w:rFonts w:asciiTheme="minorHAnsi" w:hAnsiTheme="minorHAnsi" w:cstheme="minorHAnsi"/>
          <w:i/>
          <w:iCs/>
          <w:sz w:val="22"/>
          <w:szCs w:val="22"/>
        </w:rPr>
        <w:t>Journal of Politics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80</w:t>
      </w:r>
      <w:r w:rsidRPr="00C95105">
        <w:rPr>
          <w:rFonts w:asciiTheme="minorHAnsi" w:hAnsiTheme="minorHAnsi" w:cstheme="minorHAnsi"/>
          <w:sz w:val="22"/>
          <w:szCs w:val="22"/>
        </w:rPr>
        <w:t xml:space="preserve">(3), 916-932. https://doi.org/10.1086/697251 </w:t>
      </w:r>
    </w:p>
    <w:p w14:paraId="0E98FD55"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Dauti, M. (2021). 'The newcomer effect': Gender quotas, state reforms and service responsiveness in local councils. </w:t>
      </w:r>
      <w:r w:rsidRPr="00C95105">
        <w:rPr>
          <w:rFonts w:asciiTheme="minorHAnsi" w:hAnsiTheme="minorHAnsi" w:cstheme="minorHAnsi"/>
          <w:i/>
          <w:iCs/>
          <w:sz w:val="22"/>
          <w:szCs w:val="22"/>
        </w:rPr>
        <w:t>International Journal of Social Welfare</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30</w:t>
      </w:r>
      <w:r w:rsidRPr="00C95105">
        <w:rPr>
          <w:rFonts w:asciiTheme="minorHAnsi" w:hAnsiTheme="minorHAnsi" w:cstheme="minorHAnsi"/>
          <w:sz w:val="22"/>
          <w:szCs w:val="22"/>
        </w:rPr>
        <w:t xml:space="preserve">(3), 330-341. https://doi.org/10.1111/ijsw.12471 </w:t>
      </w:r>
    </w:p>
    <w:p w14:paraId="1E3B67E5"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De Paola, M., Scoppa, V., &amp; Lombardo, R. (2010). Can gender quotas break down negative stereotypes? Evidence from changes in electoral rules. </w:t>
      </w:r>
      <w:r w:rsidRPr="00C95105">
        <w:rPr>
          <w:rFonts w:asciiTheme="minorHAnsi" w:hAnsiTheme="minorHAnsi" w:cstheme="minorHAnsi"/>
          <w:i/>
          <w:iCs/>
          <w:sz w:val="22"/>
          <w:szCs w:val="22"/>
        </w:rPr>
        <w:t>Journal of Public Economics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94</w:t>
      </w:r>
      <w:r w:rsidRPr="00C95105">
        <w:rPr>
          <w:rFonts w:asciiTheme="minorHAnsi" w:hAnsiTheme="minorHAnsi" w:cstheme="minorHAnsi"/>
          <w:sz w:val="22"/>
          <w:szCs w:val="22"/>
        </w:rPr>
        <w:t>(5-6), 344-353. https://doi.org/10.1016/j.jpubeco.2010.02.004</w:t>
      </w:r>
    </w:p>
    <w:p w14:paraId="680D70A4"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Dent, L. (2017). </w:t>
      </w:r>
      <w:r w:rsidRPr="00C95105">
        <w:rPr>
          <w:rFonts w:asciiTheme="minorHAnsi" w:hAnsiTheme="minorHAnsi" w:cstheme="minorHAnsi"/>
          <w:i/>
          <w:iCs/>
          <w:sz w:val="22"/>
          <w:szCs w:val="22"/>
        </w:rPr>
        <w:t>Women and Government Expenditure: Do Gender Quotas Increase a Country's Social Spending?</w:t>
      </w:r>
      <w:r w:rsidRPr="00C95105">
        <w:rPr>
          <w:rFonts w:asciiTheme="minorHAnsi" w:hAnsiTheme="minorHAnsi" w:cstheme="minorHAnsi"/>
          <w:sz w:val="22"/>
          <w:szCs w:val="22"/>
        </w:rPr>
        <w:t xml:space="preserve"> [Master’s thesis, New York University]. http://as.nyu.edu/content/dam/nyu-as/ir/documents/Dent-Loren-20170424-ThesisFinal.pdf</w:t>
      </w:r>
    </w:p>
    <w:p w14:paraId="66A7231C"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Dimitrova-Grajzl, V., &amp; Obasanjo, I. (2019). Do parliamentary gender quotas decrease gender inequality? The case of African countries. </w:t>
      </w:r>
      <w:r w:rsidRPr="00C95105">
        <w:rPr>
          <w:rFonts w:asciiTheme="minorHAnsi" w:hAnsiTheme="minorHAnsi" w:cstheme="minorHAnsi"/>
          <w:i/>
          <w:iCs/>
          <w:sz w:val="22"/>
          <w:szCs w:val="22"/>
        </w:rPr>
        <w:t>Constitutional Political Economy</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30</w:t>
      </w:r>
      <w:r w:rsidRPr="00C95105">
        <w:rPr>
          <w:rFonts w:asciiTheme="minorHAnsi" w:hAnsiTheme="minorHAnsi" w:cstheme="minorHAnsi"/>
          <w:sz w:val="22"/>
          <w:szCs w:val="22"/>
        </w:rPr>
        <w:t>(2), 149-176. https://doi.org/10.2139/ssrn.3036451</w:t>
      </w:r>
    </w:p>
    <w:p w14:paraId="34FAD9B7"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Fernandes, J. M., Lopes da Fonseca, M., &amp; Won, M. (2021). Closing the gender gap in legislative debates: The Role of Gender Quotas. </w:t>
      </w:r>
      <w:r w:rsidRPr="00C95105">
        <w:rPr>
          <w:rFonts w:asciiTheme="minorHAnsi" w:hAnsiTheme="minorHAnsi" w:cstheme="minorHAnsi"/>
          <w:i/>
          <w:iCs/>
          <w:sz w:val="22"/>
          <w:szCs w:val="22"/>
        </w:rPr>
        <w:t>Political Behavior</w:t>
      </w:r>
      <w:r w:rsidRPr="00C95105">
        <w:rPr>
          <w:rFonts w:asciiTheme="minorHAnsi" w:hAnsiTheme="minorHAnsi" w:cstheme="minorHAnsi"/>
          <w:sz w:val="22"/>
          <w:szCs w:val="22"/>
        </w:rPr>
        <w:t xml:space="preserve">, 1-25. https://doi.org/10.1007/s11109-021-09737-3 </w:t>
      </w:r>
    </w:p>
    <w:p w14:paraId="167F1494"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Flaa, I. (2016). </w:t>
      </w:r>
      <w:r w:rsidRPr="00C95105">
        <w:rPr>
          <w:rFonts w:asciiTheme="minorHAnsi" w:hAnsiTheme="minorHAnsi" w:cstheme="minorHAnsi"/>
          <w:i/>
          <w:iCs/>
          <w:sz w:val="22"/>
          <w:szCs w:val="22"/>
        </w:rPr>
        <w:t>The boardroom quota: Spillover effects on the corporate executive committee</w:t>
      </w:r>
      <w:r w:rsidRPr="00C95105">
        <w:rPr>
          <w:rFonts w:asciiTheme="minorHAnsi" w:hAnsiTheme="minorHAnsi" w:cstheme="minorHAnsi"/>
          <w:sz w:val="22"/>
          <w:szCs w:val="22"/>
        </w:rPr>
        <w:t xml:space="preserve"> [Master’s thesis, Norwegian School of Economics]. openaccess.nhh.no. </w:t>
      </w:r>
    </w:p>
    <w:p w14:paraId="2445361A"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Franceschet, S., &amp; Piscopo, J. M. (2008). Gender quotas and women's substantive representation: Lessons from Argentina. </w:t>
      </w:r>
      <w:r w:rsidRPr="00C95105">
        <w:rPr>
          <w:rFonts w:asciiTheme="minorHAnsi" w:hAnsiTheme="minorHAnsi" w:cstheme="minorHAnsi"/>
          <w:i/>
          <w:iCs/>
          <w:sz w:val="22"/>
          <w:szCs w:val="22"/>
        </w:rPr>
        <w:t>Politics &amp; Gender</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4</w:t>
      </w:r>
      <w:r w:rsidRPr="00C95105">
        <w:rPr>
          <w:rFonts w:asciiTheme="minorHAnsi" w:hAnsiTheme="minorHAnsi" w:cstheme="minorHAnsi"/>
          <w:sz w:val="22"/>
          <w:szCs w:val="22"/>
        </w:rPr>
        <w:t xml:space="preserve">(3), 393-425. https://doi.org/10.1017/S1743923X08000342 </w:t>
      </w:r>
    </w:p>
    <w:p w14:paraId="0E39501A"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Geys, B., &amp; Sørensen, R. J. (2019). The impact of women above the political glass ceiling: Evidence from a Norwegian executive gender quota reform. </w:t>
      </w:r>
      <w:r w:rsidRPr="00C95105">
        <w:rPr>
          <w:rFonts w:asciiTheme="minorHAnsi" w:hAnsiTheme="minorHAnsi" w:cstheme="minorHAnsi"/>
          <w:i/>
          <w:iCs/>
          <w:sz w:val="22"/>
          <w:szCs w:val="22"/>
        </w:rPr>
        <w:t>Electoral Studies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60</w:t>
      </w:r>
      <w:r w:rsidRPr="00C95105">
        <w:rPr>
          <w:rFonts w:asciiTheme="minorHAnsi" w:hAnsiTheme="minorHAnsi" w:cstheme="minorHAnsi"/>
          <w:sz w:val="22"/>
          <w:szCs w:val="22"/>
        </w:rPr>
        <w:t xml:space="preserve">, 102050-102050. https://doi.org/10.1016/j.electstud.2019.102050 </w:t>
      </w:r>
    </w:p>
    <w:p w14:paraId="47C2A1F4"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Glock-Molloy, V. A. (2013). </w:t>
      </w:r>
      <w:r w:rsidRPr="00C95105">
        <w:rPr>
          <w:rFonts w:asciiTheme="minorHAnsi" w:hAnsiTheme="minorHAnsi" w:cstheme="minorHAnsi"/>
          <w:i/>
          <w:iCs/>
          <w:sz w:val="22"/>
          <w:szCs w:val="22"/>
        </w:rPr>
        <w:t>Electoral gender quotas and measures of institutional gender inequality</w:t>
      </w:r>
      <w:r w:rsidRPr="00C95105">
        <w:rPr>
          <w:rFonts w:asciiTheme="minorHAnsi" w:hAnsiTheme="minorHAnsi" w:cstheme="minorHAnsi"/>
          <w:sz w:val="22"/>
          <w:szCs w:val="22"/>
        </w:rPr>
        <w:t xml:space="preserve"> [Master’s thesis, Georgetown University]. ProQuest Dissertations Publishing. </w:t>
      </w:r>
    </w:p>
    <w:p w14:paraId="10CBE370"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Hanks, L. (2015). </w:t>
      </w:r>
      <w:r w:rsidRPr="00C95105">
        <w:rPr>
          <w:rFonts w:asciiTheme="minorHAnsi" w:hAnsiTheme="minorHAnsi" w:cstheme="minorHAnsi"/>
          <w:i/>
          <w:iCs/>
          <w:sz w:val="22"/>
          <w:szCs w:val="22"/>
        </w:rPr>
        <w:t>Impact of legislative gender quotas on gender violence legislation in Latin America</w:t>
      </w:r>
      <w:r w:rsidRPr="00C95105">
        <w:rPr>
          <w:rFonts w:asciiTheme="minorHAnsi" w:hAnsiTheme="minorHAnsi" w:cstheme="minorHAnsi"/>
          <w:sz w:val="22"/>
          <w:szCs w:val="22"/>
        </w:rPr>
        <w:t xml:space="preserve"> [Undergraduate, University of Vermont]. </w:t>
      </w:r>
    </w:p>
    <w:p w14:paraId="78E0F256"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lastRenderedPageBreak/>
        <w:t xml:space="preserve">Hannah, C., Giroux, S., Krell, N., Lopus, S., McCann, L. E., Zimmer, A., Caylor, K. K., &amp; Evans, T. P. (2021). Has the vision of a gender quota rule been realized for community-based water management committees in Kenya? </w:t>
      </w:r>
      <w:r w:rsidRPr="00C95105">
        <w:rPr>
          <w:rFonts w:asciiTheme="minorHAnsi" w:hAnsiTheme="minorHAnsi" w:cstheme="minorHAnsi"/>
          <w:i/>
          <w:iCs/>
          <w:sz w:val="22"/>
          <w:szCs w:val="22"/>
        </w:rPr>
        <w:t>World Development</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137</w:t>
      </w:r>
      <w:r w:rsidRPr="00C95105">
        <w:rPr>
          <w:rFonts w:asciiTheme="minorHAnsi" w:hAnsiTheme="minorHAnsi" w:cstheme="minorHAnsi"/>
          <w:sz w:val="22"/>
          <w:szCs w:val="22"/>
        </w:rPr>
        <w:t xml:space="preserve">. https://doi.org/10.1016/j.worlddev.2020.105154 </w:t>
      </w:r>
    </w:p>
    <w:p w14:paraId="68BDC55A"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Hansén, J. (2017). </w:t>
      </w:r>
      <w:r w:rsidRPr="00C95105">
        <w:rPr>
          <w:rFonts w:asciiTheme="minorHAnsi" w:hAnsiTheme="minorHAnsi" w:cstheme="minorHAnsi"/>
          <w:i/>
          <w:iCs/>
          <w:sz w:val="22"/>
          <w:szCs w:val="22"/>
        </w:rPr>
        <w:t>Political gender quota in Rwanda: Has increased female inclusion in politics lead to a decrease in domestic gender-based violence?</w:t>
      </w:r>
      <w:r w:rsidRPr="00C95105">
        <w:rPr>
          <w:rFonts w:asciiTheme="minorHAnsi" w:hAnsiTheme="minorHAnsi" w:cstheme="minorHAnsi"/>
          <w:sz w:val="22"/>
          <w:szCs w:val="22"/>
        </w:rPr>
        <w:t xml:space="preserve"> (Publication Number STVK12) [Lund University]. </w:t>
      </w:r>
    </w:p>
    <w:p w14:paraId="5348EE21"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Hinojosa, M., Fridkin, K., &amp; Kittilson, M. (2017). </w:t>
      </w:r>
      <w:r w:rsidRPr="00C95105">
        <w:rPr>
          <w:rFonts w:asciiTheme="minorHAnsi" w:hAnsiTheme="minorHAnsi" w:cstheme="minorHAnsi"/>
          <w:i/>
          <w:iCs/>
          <w:sz w:val="22"/>
          <w:szCs w:val="22"/>
        </w:rPr>
        <w:t>Does women’s political presence matter: Examining the effects of descriptive representation on symbolic representation in Uruguay</w:t>
      </w:r>
      <w:r w:rsidRPr="00C95105">
        <w:rPr>
          <w:rFonts w:asciiTheme="minorHAnsi" w:hAnsiTheme="minorHAnsi" w:cstheme="minorHAnsi"/>
          <w:sz w:val="22"/>
          <w:szCs w:val="22"/>
        </w:rPr>
        <w:t xml:space="preserve"> (Research and Innovation Grants Working Papers Series). </w:t>
      </w:r>
    </w:p>
    <w:p w14:paraId="2FE43910"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Htun, M., Lacalle, M., &amp; Micozzi, J. P. (2013). Does women's presence change legislative behavior? Evidence from Argentina, 1983-2007. </w:t>
      </w:r>
      <w:r w:rsidRPr="00C95105">
        <w:rPr>
          <w:rFonts w:asciiTheme="minorHAnsi" w:hAnsiTheme="minorHAnsi" w:cstheme="minorHAnsi"/>
          <w:i/>
          <w:iCs/>
          <w:sz w:val="22"/>
          <w:szCs w:val="22"/>
        </w:rPr>
        <w:t>The Journal of Political in Latin America</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5</w:t>
      </w:r>
      <w:r w:rsidRPr="00C95105">
        <w:rPr>
          <w:rFonts w:asciiTheme="minorHAnsi" w:hAnsiTheme="minorHAnsi" w:cstheme="minorHAnsi"/>
          <w:sz w:val="22"/>
          <w:szCs w:val="22"/>
        </w:rPr>
        <w:t xml:space="preserve">(1), 95-125. https://doi.org/10.1177/1866802X1300500105 </w:t>
      </w:r>
    </w:p>
    <w:p w14:paraId="616DE2D1"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Ip, E., Leibbrandt, A., &amp; Vecci, J. (2020). How do gender quotas affect workplace relationships? Complementary evidence from a representative survey and labor market experiments. </w:t>
      </w:r>
      <w:r w:rsidRPr="00C95105">
        <w:rPr>
          <w:rFonts w:asciiTheme="minorHAnsi" w:hAnsiTheme="minorHAnsi" w:cstheme="minorHAnsi"/>
          <w:i/>
          <w:iCs/>
          <w:sz w:val="22"/>
          <w:szCs w:val="22"/>
        </w:rPr>
        <w:t>Management Science</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66</w:t>
      </w:r>
      <w:r w:rsidRPr="00C95105">
        <w:rPr>
          <w:rFonts w:asciiTheme="minorHAnsi" w:hAnsiTheme="minorHAnsi" w:cstheme="minorHAnsi"/>
          <w:sz w:val="22"/>
          <w:szCs w:val="22"/>
        </w:rPr>
        <w:t xml:space="preserve">(2), 805-822. https://doi.org/10.1287/mnsc.2018.3234 </w:t>
      </w:r>
    </w:p>
    <w:p w14:paraId="4FA35B1E"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Johnson, D., Kabuchu, H., &amp; Kayonga, S. V. (2003). Women in Ugandan local government: the impact of affirmative action. </w:t>
      </w:r>
      <w:r w:rsidRPr="00C95105">
        <w:rPr>
          <w:rFonts w:asciiTheme="minorHAnsi" w:hAnsiTheme="minorHAnsi" w:cstheme="minorHAnsi"/>
          <w:i/>
          <w:iCs/>
          <w:sz w:val="22"/>
          <w:szCs w:val="22"/>
        </w:rPr>
        <w:t>Gender &amp; Development</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11</w:t>
      </w:r>
      <w:r w:rsidRPr="00C95105">
        <w:rPr>
          <w:rFonts w:asciiTheme="minorHAnsi" w:hAnsiTheme="minorHAnsi" w:cstheme="minorHAnsi"/>
          <w:sz w:val="22"/>
          <w:szCs w:val="22"/>
        </w:rPr>
        <w:t xml:space="preserve">(3), 8-18. https://doi.org/10.1080/741954365 </w:t>
      </w:r>
    </w:p>
    <w:p w14:paraId="48EB7D04"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Joshi, D. K., &amp; Thimothy, R. (2019). Long-term impacts of parliamentary gender quotas in a single-party system: Symbolic co-option or delayed integration?. </w:t>
      </w:r>
      <w:r w:rsidRPr="00C95105">
        <w:rPr>
          <w:rFonts w:asciiTheme="minorHAnsi" w:hAnsiTheme="minorHAnsi" w:cstheme="minorHAnsi"/>
          <w:i/>
          <w:iCs/>
          <w:sz w:val="22"/>
          <w:szCs w:val="22"/>
        </w:rPr>
        <w:t>International Political Science Review</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40</w:t>
      </w:r>
      <w:r w:rsidRPr="00C95105">
        <w:rPr>
          <w:rFonts w:asciiTheme="minorHAnsi" w:hAnsiTheme="minorHAnsi" w:cstheme="minorHAnsi"/>
          <w:sz w:val="22"/>
          <w:szCs w:val="22"/>
        </w:rPr>
        <w:t xml:space="preserve">(4), 591-606. https://doi.org/10.1177/0192512118772852 </w:t>
      </w:r>
    </w:p>
    <w:p w14:paraId="0D27EA9B"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Kale, N. (n.d.). </w:t>
      </w:r>
      <w:r w:rsidRPr="00C95105">
        <w:rPr>
          <w:rFonts w:asciiTheme="minorHAnsi" w:hAnsiTheme="minorHAnsi" w:cstheme="minorHAnsi"/>
          <w:i/>
          <w:iCs/>
          <w:sz w:val="22"/>
          <w:szCs w:val="22"/>
        </w:rPr>
        <w:t>The effects of India’s gender quota in local government on rates of reporting rapes of women from schedules castes and tribes</w:t>
      </w:r>
      <w:r w:rsidRPr="00C95105">
        <w:rPr>
          <w:rFonts w:asciiTheme="minorHAnsi" w:hAnsiTheme="minorHAnsi" w:cstheme="minorHAnsi"/>
          <w:sz w:val="22"/>
          <w:szCs w:val="22"/>
        </w:rPr>
        <w:t xml:space="preserve"> [Honours thesis, New York University]. </w:t>
      </w:r>
    </w:p>
    <w:p w14:paraId="4F600237"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Karekurve-Ramachandra, V., &amp; Lee, A. (2020). </w:t>
      </w:r>
      <w:r w:rsidRPr="00C95105">
        <w:rPr>
          <w:rFonts w:asciiTheme="minorHAnsi" w:hAnsiTheme="minorHAnsi" w:cstheme="minorHAnsi"/>
          <w:i/>
          <w:iCs/>
          <w:sz w:val="22"/>
          <w:szCs w:val="22"/>
        </w:rPr>
        <w:t>Can quotas improve public service provision? Evidence from Indian local government</w:t>
      </w:r>
      <w:r w:rsidRPr="00C95105">
        <w:rPr>
          <w:rFonts w:asciiTheme="minorHAnsi" w:hAnsiTheme="minorHAnsi" w:cstheme="minorHAnsi"/>
          <w:sz w:val="22"/>
          <w:szCs w:val="22"/>
        </w:rPr>
        <w:t>. https://www.rochester.edu/college/faculty/alexander_lee/wp-content/uploads/2020/12/gender-performance7.pdf</w:t>
      </w:r>
    </w:p>
    <w:p w14:paraId="3141E3E1"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Kerevel, Y. (2019). Empowering women? Gender quotas and women's political careers. </w:t>
      </w:r>
      <w:r w:rsidRPr="00C95105">
        <w:rPr>
          <w:rFonts w:asciiTheme="minorHAnsi" w:hAnsiTheme="minorHAnsi" w:cstheme="minorHAnsi"/>
          <w:i/>
          <w:iCs/>
          <w:sz w:val="22"/>
          <w:szCs w:val="22"/>
        </w:rPr>
        <w:t>Journal of Politics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81</w:t>
      </w:r>
      <w:r w:rsidRPr="00C95105">
        <w:rPr>
          <w:rFonts w:asciiTheme="minorHAnsi" w:hAnsiTheme="minorHAnsi" w:cstheme="minorHAnsi"/>
          <w:sz w:val="22"/>
          <w:szCs w:val="22"/>
        </w:rPr>
        <w:t xml:space="preserve">(4), 1167-1180. https://doi.org/10.1086/704434 </w:t>
      </w:r>
    </w:p>
    <w:p w14:paraId="47CFF7CB"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Korn/Ferry Whitehead Mann. (2012). </w:t>
      </w:r>
      <w:r w:rsidRPr="00C95105">
        <w:rPr>
          <w:rFonts w:asciiTheme="minorHAnsi" w:hAnsiTheme="minorHAnsi" w:cstheme="minorHAnsi"/>
          <w:i/>
          <w:iCs/>
          <w:sz w:val="22"/>
          <w:szCs w:val="22"/>
        </w:rPr>
        <w:t>Boardroom diversity: Quotas are not helping women into senior management</w:t>
      </w:r>
      <w:r w:rsidRPr="00C95105">
        <w:rPr>
          <w:rFonts w:asciiTheme="minorHAnsi" w:hAnsiTheme="minorHAnsi" w:cstheme="minorHAnsi"/>
          <w:sz w:val="22"/>
          <w:szCs w:val="22"/>
        </w:rPr>
        <w:t>. https://highpaycentre.org</w:t>
      </w:r>
    </w:p>
    <w:p w14:paraId="10620469"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Kotsadam, A., &amp; Nerman, M. (2012). </w:t>
      </w:r>
      <w:r w:rsidRPr="00C95105">
        <w:rPr>
          <w:rFonts w:asciiTheme="minorHAnsi" w:hAnsiTheme="minorHAnsi" w:cstheme="minorHAnsi"/>
          <w:i/>
          <w:iCs/>
          <w:sz w:val="22"/>
          <w:szCs w:val="22"/>
        </w:rPr>
        <w:t>The Effects of Gender Quotas in Latin American National Elections</w:t>
      </w:r>
      <w:r w:rsidRPr="00C95105">
        <w:rPr>
          <w:rFonts w:asciiTheme="minorHAnsi" w:hAnsiTheme="minorHAnsi" w:cstheme="minorHAnsi"/>
          <w:sz w:val="22"/>
          <w:szCs w:val="22"/>
        </w:rPr>
        <w:t xml:space="preserve"> (Working Papers in Economics).</w:t>
      </w:r>
    </w:p>
    <w:p w14:paraId="1B4FE592"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Lassébie, J. (2020). Gender quotas and the selection of local politicians: Evidence from French municipal elections. </w:t>
      </w:r>
      <w:r w:rsidRPr="00C95105">
        <w:rPr>
          <w:rFonts w:asciiTheme="minorHAnsi" w:hAnsiTheme="minorHAnsi" w:cstheme="minorHAnsi"/>
          <w:i/>
          <w:iCs/>
          <w:sz w:val="22"/>
          <w:szCs w:val="22"/>
        </w:rPr>
        <w:t>European Journal of Political Economy</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62</w:t>
      </w:r>
      <w:r w:rsidRPr="00C95105">
        <w:rPr>
          <w:rFonts w:asciiTheme="minorHAnsi" w:hAnsiTheme="minorHAnsi" w:cstheme="minorHAnsi"/>
          <w:sz w:val="22"/>
          <w:szCs w:val="22"/>
        </w:rPr>
        <w:t xml:space="preserve">. https://doi.org/10.1016/j.ejpoleco.2019.101842 </w:t>
      </w:r>
    </w:p>
    <w:p w14:paraId="6326D912"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Latura, A., &amp; Weeks, A. (2021). </w:t>
      </w:r>
      <w:r w:rsidRPr="00C95105">
        <w:rPr>
          <w:rFonts w:asciiTheme="minorHAnsi" w:hAnsiTheme="minorHAnsi" w:cstheme="minorHAnsi"/>
          <w:i/>
          <w:iCs/>
          <w:sz w:val="22"/>
          <w:szCs w:val="22"/>
        </w:rPr>
        <w:t>Corporate board quotas and gender quality policies in the workplace</w:t>
      </w:r>
      <w:r w:rsidRPr="00C95105">
        <w:rPr>
          <w:rFonts w:asciiTheme="minorHAnsi" w:hAnsiTheme="minorHAnsi" w:cstheme="minorHAnsi"/>
          <w:sz w:val="22"/>
          <w:szCs w:val="22"/>
        </w:rPr>
        <w:t xml:space="preserve">. Harvard University. </w:t>
      </w:r>
    </w:p>
    <w:p w14:paraId="646268DE"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Lippmann, Q. (2020). </w:t>
      </w:r>
      <w:r w:rsidRPr="00C95105">
        <w:rPr>
          <w:rFonts w:asciiTheme="minorHAnsi" w:hAnsiTheme="minorHAnsi" w:cstheme="minorHAnsi"/>
          <w:i/>
          <w:iCs/>
          <w:sz w:val="22"/>
          <w:szCs w:val="22"/>
        </w:rPr>
        <w:t>Gender and Lawmaking in Times of Quotas</w:t>
      </w:r>
      <w:r w:rsidRPr="00C95105">
        <w:rPr>
          <w:rFonts w:asciiTheme="minorHAnsi" w:hAnsiTheme="minorHAnsi" w:cstheme="minorHAnsi"/>
          <w:sz w:val="22"/>
          <w:szCs w:val="22"/>
        </w:rPr>
        <w:t>. Retrieved from https://papers.ssrn.com/sol3/papers.cfm?abstract_id=3330617</w:t>
      </w:r>
    </w:p>
    <w:p w14:paraId="2E5E0AFB"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Lopez Guevara, C. M. (2014). </w:t>
      </w:r>
      <w:r w:rsidRPr="00C95105">
        <w:rPr>
          <w:rFonts w:asciiTheme="minorHAnsi" w:hAnsiTheme="minorHAnsi" w:cstheme="minorHAnsi"/>
          <w:i/>
          <w:iCs/>
          <w:sz w:val="22"/>
          <w:szCs w:val="22"/>
        </w:rPr>
        <w:t>A closer look at the impact of gender quotas on the substantive representation of women</w:t>
      </w:r>
      <w:r w:rsidRPr="00C95105">
        <w:rPr>
          <w:rFonts w:asciiTheme="minorHAnsi" w:hAnsiTheme="minorHAnsi" w:cstheme="minorHAnsi"/>
          <w:sz w:val="22"/>
          <w:szCs w:val="22"/>
        </w:rPr>
        <w:t xml:space="preserve"> [Master’s thesis, Georgetown University]. ProQuest Dissertations Publishing.</w:t>
      </w:r>
    </w:p>
    <w:p w14:paraId="68D7FC19"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Lorenzo, R., Voigt, N., Wallenstein, J., &amp; Welpe, I. M. (2019). </w:t>
      </w:r>
      <w:r w:rsidRPr="00C95105">
        <w:rPr>
          <w:rFonts w:asciiTheme="minorHAnsi" w:hAnsiTheme="minorHAnsi" w:cstheme="minorHAnsi"/>
          <w:i/>
          <w:iCs/>
          <w:sz w:val="22"/>
          <w:szCs w:val="22"/>
        </w:rPr>
        <w:t>(Em)Power Women: Measuring diversity in boardrooms</w:t>
      </w:r>
      <w:r w:rsidRPr="00C95105">
        <w:rPr>
          <w:rFonts w:asciiTheme="minorHAnsi" w:hAnsiTheme="minorHAnsi" w:cstheme="minorHAnsi"/>
          <w:sz w:val="22"/>
          <w:szCs w:val="22"/>
        </w:rPr>
        <w:t xml:space="preserve"> (BCG Gender Diversity Index Germany 2018). </w:t>
      </w:r>
    </w:p>
    <w:p w14:paraId="40EF3EC6"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Maganelli, B. S., Raoli, E., &amp; Tiscini, R. (2017). Female directors in Italy: The state of art after the mandatory gender quota. </w:t>
      </w:r>
      <w:r w:rsidRPr="00C95105">
        <w:rPr>
          <w:rFonts w:asciiTheme="minorHAnsi" w:hAnsiTheme="minorHAnsi" w:cstheme="minorHAnsi"/>
          <w:i/>
          <w:iCs/>
          <w:sz w:val="22"/>
          <w:szCs w:val="22"/>
        </w:rPr>
        <w:t>Corporate Ownership and Control</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14</w:t>
      </w:r>
      <w:r w:rsidRPr="00C95105">
        <w:rPr>
          <w:rFonts w:asciiTheme="minorHAnsi" w:hAnsiTheme="minorHAnsi" w:cstheme="minorHAnsi"/>
          <w:sz w:val="22"/>
          <w:szCs w:val="22"/>
        </w:rPr>
        <w:t xml:space="preserve">(3-1), 157-169. https://doi.org/10.22495/cocv14i3c1art1 </w:t>
      </w:r>
    </w:p>
    <w:p w14:paraId="3547F6CA"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lastRenderedPageBreak/>
        <w:t xml:space="preserve">Maggian, V., Montinari, N., &amp; Nicolo, A. (2020). Do quotas help women to climb the career ladder? A laboratory experiment. </w:t>
      </w:r>
      <w:r w:rsidRPr="00C95105">
        <w:rPr>
          <w:rFonts w:asciiTheme="minorHAnsi" w:hAnsiTheme="minorHAnsi" w:cstheme="minorHAnsi"/>
          <w:i/>
          <w:iCs/>
          <w:sz w:val="22"/>
          <w:szCs w:val="22"/>
        </w:rPr>
        <w:t>European Economic Review</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123</w:t>
      </w:r>
      <w:r w:rsidRPr="00C95105">
        <w:rPr>
          <w:rFonts w:asciiTheme="minorHAnsi" w:hAnsiTheme="minorHAnsi" w:cstheme="minorHAnsi"/>
          <w:sz w:val="22"/>
          <w:szCs w:val="22"/>
        </w:rPr>
        <w:t xml:space="preserve">(103390). https://doi.org/10.2139/ssrn.3039455 </w:t>
      </w:r>
    </w:p>
    <w:p w14:paraId="24D37A74"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Maida, A., &amp; Weber, A. (2020). Female leadership and gender gap within firms: Evidence from an Italian board reform. </w:t>
      </w:r>
      <w:r w:rsidRPr="00C95105">
        <w:rPr>
          <w:rFonts w:asciiTheme="minorHAnsi" w:hAnsiTheme="minorHAnsi" w:cstheme="minorHAnsi"/>
          <w:i/>
          <w:iCs/>
          <w:sz w:val="22"/>
          <w:szCs w:val="22"/>
        </w:rPr>
        <w:t>ILR Review</w:t>
      </w:r>
      <w:r w:rsidRPr="00C95105">
        <w:rPr>
          <w:rFonts w:asciiTheme="minorHAnsi" w:hAnsiTheme="minorHAnsi" w:cstheme="minorHAnsi"/>
          <w:sz w:val="22"/>
          <w:szCs w:val="22"/>
        </w:rPr>
        <w:t xml:space="preserve">. https://doi.org/10.1177/0019793920961995 </w:t>
      </w:r>
    </w:p>
    <w:p w14:paraId="600D6A2A"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Maume, D. J., Heymann, O., &amp; Ruppanner, L. (2019). National board quotas and the gender pay gap among European managers. </w:t>
      </w:r>
      <w:r w:rsidRPr="00C95105">
        <w:rPr>
          <w:rFonts w:asciiTheme="minorHAnsi" w:hAnsiTheme="minorHAnsi" w:cstheme="minorHAnsi"/>
          <w:i/>
          <w:iCs/>
          <w:sz w:val="22"/>
          <w:szCs w:val="22"/>
        </w:rPr>
        <w:t>Work, Employment &amp; Society</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33</w:t>
      </w:r>
      <w:r w:rsidRPr="00C95105">
        <w:rPr>
          <w:rFonts w:asciiTheme="minorHAnsi" w:hAnsiTheme="minorHAnsi" w:cstheme="minorHAnsi"/>
          <w:sz w:val="22"/>
          <w:szCs w:val="22"/>
        </w:rPr>
        <w:t xml:space="preserve">(6), 1002-1019. https://doi.org/10.1177/0950017019864509 </w:t>
      </w:r>
    </w:p>
    <w:p w14:paraId="7DAEA5AB"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Mechkova, V., &amp; Carlitz, R. (2021). Gendered accountability: when and why do women’s policy priorities get implemented? </w:t>
      </w:r>
      <w:r w:rsidRPr="00C95105">
        <w:rPr>
          <w:rFonts w:asciiTheme="minorHAnsi" w:hAnsiTheme="minorHAnsi" w:cstheme="minorHAnsi"/>
          <w:i/>
          <w:iCs/>
          <w:sz w:val="22"/>
          <w:szCs w:val="22"/>
        </w:rPr>
        <w:t>European Political Science Review: EPSR</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13</w:t>
      </w:r>
      <w:r w:rsidRPr="00C95105">
        <w:rPr>
          <w:rFonts w:asciiTheme="minorHAnsi" w:hAnsiTheme="minorHAnsi" w:cstheme="minorHAnsi"/>
          <w:sz w:val="22"/>
          <w:szCs w:val="22"/>
        </w:rPr>
        <w:t>(1), 3-21. https://doi.org/10.2139/ssrn.3384559</w:t>
      </w:r>
    </w:p>
    <w:p w14:paraId="30169E36"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Naaraayanan, S., &amp; Nielsen, K. M. (2020). Do gender quotas change attitudes towards female directors? </w:t>
      </w:r>
      <w:r w:rsidRPr="00C95105">
        <w:rPr>
          <w:rFonts w:asciiTheme="minorHAnsi" w:hAnsiTheme="minorHAnsi" w:cstheme="minorHAnsi"/>
          <w:i/>
          <w:iCs/>
          <w:sz w:val="22"/>
          <w:szCs w:val="22"/>
        </w:rPr>
        <w:t>Available at SSRN</w:t>
      </w:r>
      <w:r w:rsidRPr="00C95105">
        <w:rPr>
          <w:rFonts w:asciiTheme="minorHAnsi" w:hAnsiTheme="minorHAnsi" w:cstheme="minorHAnsi"/>
          <w:sz w:val="22"/>
          <w:szCs w:val="22"/>
        </w:rPr>
        <w:t>. https://doi.org/10.2139/ssrn.3751111</w:t>
      </w:r>
    </w:p>
    <w:p w14:paraId="6EC058A7"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O'Neill, K. (2021). </w:t>
      </w:r>
      <w:r w:rsidRPr="00C95105">
        <w:rPr>
          <w:rFonts w:asciiTheme="minorHAnsi" w:hAnsiTheme="minorHAnsi" w:cstheme="minorHAnsi"/>
          <w:i/>
          <w:iCs/>
          <w:sz w:val="22"/>
          <w:szCs w:val="22"/>
        </w:rPr>
        <w:t>Making the Connections: Gender Quotas, Representation, and Critical Mass in Latin America</w:t>
      </w:r>
      <w:r w:rsidRPr="00C95105">
        <w:rPr>
          <w:rFonts w:asciiTheme="minorHAnsi" w:hAnsiTheme="minorHAnsi" w:cstheme="minorHAnsi"/>
          <w:sz w:val="22"/>
          <w:szCs w:val="22"/>
        </w:rPr>
        <w:t xml:space="preserve"> (Publication Number 2686) [CMC Senior Theses, Claremont McKenna College]. https://scholarship.claremont.edu/cmc_theses/2686/</w:t>
      </w:r>
    </w:p>
    <w:p w14:paraId="6415F31B"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O’Brien, D. Z., &amp; Rickne, J. (2016). Gender quotas and women's political leadership. </w:t>
      </w:r>
      <w:r w:rsidRPr="00C95105">
        <w:rPr>
          <w:rFonts w:asciiTheme="minorHAnsi" w:hAnsiTheme="minorHAnsi" w:cstheme="minorHAnsi"/>
          <w:i/>
          <w:iCs/>
          <w:sz w:val="22"/>
          <w:szCs w:val="22"/>
        </w:rPr>
        <w:t>American Political Science Review</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110</w:t>
      </w:r>
      <w:r w:rsidRPr="00C95105">
        <w:rPr>
          <w:rFonts w:asciiTheme="minorHAnsi" w:hAnsiTheme="minorHAnsi" w:cstheme="minorHAnsi"/>
          <w:sz w:val="22"/>
          <w:szCs w:val="22"/>
        </w:rPr>
        <w:t xml:space="preserve">(1), 112-126. https://doi.org/10.1017/S0003055415000611 </w:t>
      </w:r>
    </w:p>
    <w:p w14:paraId="391C3723"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Park, G. (2021). </w:t>
      </w:r>
      <w:r w:rsidRPr="00C95105">
        <w:rPr>
          <w:rFonts w:asciiTheme="minorHAnsi" w:hAnsiTheme="minorHAnsi" w:cstheme="minorHAnsi"/>
          <w:i/>
          <w:iCs/>
          <w:sz w:val="22"/>
          <w:szCs w:val="22"/>
        </w:rPr>
        <w:t xml:space="preserve">Do women legislators represent women?: The effect of women legislators and gender quotas on the substantive representation of women in the 20th National Assembly of the Republic of Korea </w:t>
      </w:r>
      <w:r w:rsidRPr="00C95105">
        <w:rPr>
          <w:rFonts w:asciiTheme="minorHAnsi" w:hAnsiTheme="minorHAnsi" w:cstheme="minorHAnsi"/>
          <w:sz w:val="22"/>
          <w:szCs w:val="22"/>
        </w:rPr>
        <w:t>[Master’s thesis, Uppsala Universitet]. https://www.diva-portal.org/smash/record.jsf?pid=diva2:1580290</w:t>
      </w:r>
    </w:p>
    <w:p w14:paraId="0A7C1BE0"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Reid, C. (2016). </w:t>
      </w:r>
      <w:r w:rsidRPr="00C95105">
        <w:rPr>
          <w:rFonts w:asciiTheme="minorHAnsi" w:hAnsiTheme="minorHAnsi" w:cstheme="minorHAnsi"/>
          <w:i/>
          <w:iCs/>
          <w:sz w:val="22"/>
          <w:szCs w:val="22"/>
        </w:rPr>
        <w:t>Closing the gender gap: The effect of political gender quotas and female employment indicators in South America</w:t>
      </w:r>
      <w:r w:rsidRPr="00C95105">
        <w:rPr>
          <w:rFonts w:asciiTheme="minorHAnsi" w:hAnsiTheme="minorHAnsi" w:cstheme="minorHAnsi"/>
          <w:sz w:val="22"/>
          <w:szCs w:val="22"/>
        </w:rPr>
        <w:t xml:space="preserve"> [Thesis, Georgia State University]. </w:t>
      </w:r>
    </w:p>
    <w:p w14:paraId="564611E7"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Sagarzazu, I., &amp; Silva, T. (2015, April 16-19). </w:t>
      </w:r>
      <w:r w:rsidRPr="00C95105">
        <w:rPr>
          <w:rFonts w:asciiTheme="minorHAnsi" w:hAnsiTheme="minorHAnsi" w:cstheme="minorHAnsi"/>
          <w:i/>
          <w:iCs/>
          <w:sz w:val="22"/>
          <w:szCs w:val="22"/>
        </w:rPr>
        <w:t>Changing female representation: Reanalyzing the impact of gender quotas through the evolution of legislative initiatives</w:t>
      </w:r>
      <w:r w:rsidRPr="00C95105">
        <w:rPr>
          <w:rFonts w:asciiTheme="minorHAnsi" w:hAnsiTheme="minorHAnsi" w:cstheme="minorHAnsi"/>
          <w:sz w:val="22"/>
          <w:szCs w:val="22"/>
        </w:rPr>
        <w:t xml:space="preserve"> 73rd Annual Conference of the Midwest Political Science Association, Chicago, IL. Retrieved from https://citeseerx.ist.psu.edu/viewdoc/download?doi=10.1.1.706.9730&amp;rep=rep1&amp;type=pdf</w:t>
      </w:r>
    </w:p>
    <w:p w14:paraId="5929A73A"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Schoonveld, R. (2020). </w:t>
      </w:r>
      <w:r w:rsidRPr="00C95105">
        <w:rPr>
          <w:rFonts w:asciiTheme="minorHAnsi" w:hAnsiTheme="minorHAnsi" w:cstheme="minorHAnsi"/>
          <w:i/>
          <w:iCs/>
          <w:sz w:val="22"/>
          <w:szCs w:val="22"/>
        </w:rPr>
        <w:t>Does a mandatory gender boardroom quota lead to more gender equality in the corporate sector? A dual country perspective</w:t>
      </w:r>
      <w:r w:rsidRPr="00C95105">
        <w:rPr>
          <w:rFonts w:asciiTheme="minorHAnsi" w:hAnsiTheme="minorHAnsi" w:cstheme="minorHAnsi"/>
          <w:sz w:val="22"/>
          <w:szCs w:val="22"/>
        </w:rPr>
        <w:t xml:space="preserve"> [Master’s thesis, Erasmus University Rotterdam]. </w:t>
      </w:r>
    </w:p>
    <w:p w14:paraId="2E0153E2"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Seierstad, C., Healy, G., Sønju Le Bruyn Goldeng, E., &amp; Fjellvær, H. (2021). A "quota silo" or positive equality reach? The equality impact of gender quotas on corporate boards in Norway. </w:t>
      </w:r>
      <w:r w:rsidRPr="00C95105">
        <w:rPr>
          <w:rFonts w:asciiTheme="minorHAnsi" w:hAnsiTheme="minorHAnsi" w:cstheme="minorHAnsi"/>
          <w:i/>
          <w:iCs/>
          <w:sz w:val="22"/>
          <w:szCs w:val="22"/>
        </w:rPr>
        <w:t>Human Resource Management Journal</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31</w:t>
      </w:r>
      <w:r w:rsidRPr="00C95105">
        <w:rPr>
          <w:rFonts w:asciiTheme="minorHAnsi" w:hAnsiTheme="minorHAnsi" w:cstheme="minorHAnsi"/>
          <w:sz w:val="22"/>
          <w:szCs w:val="22"/>
        </w:rPr>
        <w:t xml:space="preserve">(1), 165-186. https://doi.org/10.1111/1748-8583.12288 </w:t>
      </w:r>
    </w:p>
    <w:p w14:paraId="03FBC997"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Seierstad, C., &amp; Opsahl, T. (2011). For the few not the many? The effects of affirmative action on presence, prominence, and social capital of women directors in Norway. </w:t>
      </w:r>
      <w:r w:rsidRPr="00C95105">
        <w:rPr>
          <w:rFonts w:asciiTheme="minorHAnsi" w:hAnsiTheme="minorHAnsi" w:cstheme="minorHAnsi"/>
          <w:i/>
          <w:iCs/>
          <w:sz w:val="22"/>
          <w:szCs w:val="22"/>
        </w:rPr>
        <w:t>Scandinavian Journal of Management</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27</w:t>
      </w:r>
      <w:r w:rsidRPr="00C95105">
        <w:rPr>
          <w:rFonts w:asciiTheme="minorHAnsi" w:hAnsiTheme="minorHAnsi" w:cstheme="minorHAnsi"/>
          <w:sz w:val="22"/>
          <w:szCs w:val="22"/>
        </w:rPr>
        <w:t xml:space="preserve">(1), 44-54. https://doi.org/10.1016/j.scaman.2010.10.002 </w:t>
      </w:r>
    </w:p>
    <w:p w14:paraId="6D715A14"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Skandalis, C. (2018). </w:t>
      </w:r>
      <w:r w:rsidRPr="00C95105">
        <w:rPr>
          <w:rFonts w:asciiTheme="minorHAnsi" w:hAnsiTheme="minorHAnsi" w:cstheme="minorHAnsi"/>
          <w:i/>
          <w:iCs/>
          <w:sz w:val="22"/>
          <w:szCs w:val="22"/>
        </w:rPr>
        <w:t>The impact of gender quotas on female labour market indicators</w:t>
      </w:r>
      <w:r w:rsidRPr="00C95105">
        <w:rPr>
          <w:rFonts w:asciiTheme="minorHAnsi" w:hAnsiTheme="minorHAnsi" w:cstheme="minorHAnsi"/>
          <w:sz w:val="22"/>
          <w:szCs w:val="22"/>
        </w:rPr>
        <w:t xml:space="preserve"> (Publication Number ECN 194H) [Thesis, University of California, Davis]. </w:t>
      </w:r>
    </w:p>
    <w:p w14:paraId="3099A242"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Sosa, K. (2020). </w:t>
      </w:r>
      <w:r w:rsidRPr="00C95105">
        <w:rPr>
          <w:rFonts w:asciiTheme="minorHAnsi" w:hAnsiTheme="minorHAnsi" w:cstheme="minorHAnsi"/>
          <w:i/>
          <w:iCs/>
          <w:sz w:val="22"/>
          <w:szCs w:val="22"/>
        </w:rPr>
        <w:t>Voluntary political party quotas and gender equality: Does increased female political representation yield more positive views on gender equality?</w:t>
      </w:r>
      <w:r w:rsidRPr="00C95105">
        <w:rPr>
          <w:rFonts w:asciiTheme="minorHAnsi" w:hAnsiTheme="minorHAnsi" w:cstheme="minorHAnsi"/>
          <w:sz w:val="22"/>
          <w:szCs w:val="22"/>
        </w:rPr>
        <w:t xml:space="preserve"> [Master’s thesis, Georgetown University]. ProQuest Dissertations Publishing.</w:t>
      </w:r>
    </w:p>
    <w:p w14:paraId="10F29486"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Storvik, A. E. L., &amp; Gulbrandsen, T. J. (2016). Included, but still not equal? Gender segregation at quota regulated boards. </w:t>
      </w:r>
      <w:r w:rsidRPr="00C95105">
        <w:rPr>
          <w:rFonts w:asciiTheme="minorHAnsi" w:hAnsiTheme="minorHAnsi" w:cstheme="minorHAnsi"/>
          <w:i/>
          <w:iCs/>
          <w:sz w:val="22"/>
          <w:szCs w:val="22"/>
        </w:rPr>
        <w:t>Corporate Board: Role, Duties &amp; Composition</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12</w:t>
      </w:r>
      <w:r w:rsidRPr="00C95105">
        <w:rPr>
          <w:rFonts w:asciiTheme="minorHAnsi" w:hAnsiTheme="minorHAnsi" w:cstheme="minorHAnsi"/>
          <w:sz w:val="22"/>
          <w:szCs w:val="22"/>
        </w:rPr>
        <w:t xml:space="preserve">(4). https://doi.org/dx.doi.org/10.22495/cbv12i2art5 </w:t>
      </w:r>
    </w:p>
    <w:p w14:paraId="4538844A"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lastRenderedPageBreak/>
        <w:t xml:space="preserve">Valiente, C. (2020). The impact of gender quotas in sport management: the case of Spain. </w:t>
      </w:r>
      <w:r w:rsidRPr="00C95105">
        <w:rPr>
          <w:rFonts w:asciiTheme="minorHAnsi" w:hAnsiTheme="minorHAnsi" w:cstheme="minorHAnsi"/>
          <w:i/>
          <w:iCs/>
          <w:sz w:val="22"/>
          <w:szCs w:val="22"/>
        </w:rPr>
        <w:t>Sport in Society</w:t>
      </w:r>
      <w:r w:rsidRPr="00C95105">
        <w:rPr>
          <w:rFonts w:asciiTheme="minorHAnsi" w:hAnsiTheme="minorHAnsi" w:cstheme="minorHAnsi"/>
          <w:sz w:val="22"/>
          <w:szCs w:val="22"/>
        </w:rPr>
        <w:t xml:space="preserve">. https://doi.org/10.1080/17430437.2020.1819244 </w:t>
      </w:r>
    </w:p>
    <w:p w14:paraId="2437D9C9"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van Dijk, T. (2007). Reservation in India and substantive gender equality: A Mumbai case study. </w:t>
      </w:r>
      <w:r w:rsidRPr="00C95105">
        <w:rPr>
          <w:rFonts w:asciiTheme="minorHAnsi" w:hAnsiTheme="minorHAnsi" w:cstheme="minorHAnsi"/>
          <w:i/>
          <w:iCs/>
          <w:sz w:val="22"/>
          <w:szCs w:val="22"/>
        </w:rPr>
        <w:t>International Journal of Diversity in Organisations, Communities &amp; Nations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7</w:t>
      </w:r>
      <w:r w:rsidRPr="00C95105">
        <w:rPr>
          <w:rFonts w:asciiTheme="minorHAnsi" w:hAnsiTheme="minorHAnsi" w:cstheme="minorHAnsi"/>
          <w:sz w:val="22"/>
          <w:szCs w:val="22"/>
        </w:rPr>
        <w:t xml:space="preserve">(5), 27-42. https://doi.org/10.18848/1447-9532/CGP/v07i05/39454 </w:t>
      </w:r>
    </w:p>
    <w:p w14:paraId="0DAAB1C4"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Wang, M., &amp; Kelan, E. (2013). The gender quota and female leadership: Effects of the Norwegian gender quota on board chairs and CEOs. </w:t>
      </w:r>
      <w:r w:rsidRPr="00C95105">
        <w:rPr>
          <w:rFonts w:asciiTheme="minorHAnsi" w:hAnsiTheme="minorHAnsi" w:cstheme="minorHAnsi"/>
          <w:i/>
          <w:iCs/>
          <w:sz w:val="22"/>
          <w:szCs w:val="22"/>
        </w:rPr>
        <w:t>Journal of Business Ethics</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117</w:t>
      </w:r>
      <w:r w:rsidRPr="00C95105">
        <w:rPr>
          <w:rFonts w:asciiTheme="minorHAnsi" w:hAnsiTheme="minorHAnsi" w:cstheme="minorHAnsi"/>
          <w:sz w:val="22"/>
          <w:szCs w:val="22"/>
        </w:rPr>
        <w:t xml:space="preserve">(3), 449-466. https://doi.org/10.1007/s10551-012-1546-5 </w:t>
      </w:r>
    </w:p>
    <w:p w14:paraId="68725317"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Waqar, M. (2020). </w:t>
      </w:r>
      <w:r w:rsidRPr="00C95105">
        <w:rPr>
          <w:rFonts w:asciiTheme="minorHAnsi" w:hAnsiTheme="minorHAnsi" w:cstheme="minorHAnsi"/>
          <w:i/>
          <w:iCs/>
          <w:sz w:val="22"/>
          <w:szCs w:val="22"/>
        </w:rPr>
        <w:t>Gender quotas and political dynasties: Explaining women's substantive representation in Pakistan's National Assembly</w:t>
      </w:r>
      <w:r w:rsidRPr="00C95105">
        <w:rPr>
          <w:rFonts w:asciiTheme="minorHAnsi" w:hAnsiTheme="minorHAnsi" w:cstheme="minorHAnsi"/>
          <w:sz w:val="22"/>
          <w:szCs w:val="22"/>
        </w:rPr>
        <w:t xml:space="preserve"> [Doctoral dissertation, Indiana University]. ProQuest Dissertations Publishing.</w:t>
      </w:r>
    </w:p>
    <w:p w14:paraId="04EA7D9D"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Waweru, K. W. (2018). </w:t>
      </w:r>
      <w:r w:rsidRPr="00C95105">
        <w:rPr>
          <w:rFonts w:asciiTheme="minorHAnsi" w:hAnsiTheme="minorHAnsi" w:cstheme="minorHAnsi"/>
          <w:i/>
          <w:iCs/>
          <w:sz w:val="22"/>
          <w:szCs w:val="22"/>
        </w:rPr>
        <w:t>Gender quotas in national parliaments: An analysis of the contribution made by nominated female legislators in Kenya and Tanzania</w:t>
      </w:r>
      <w:r w:rsidRPr="00C95105">
        <w:rPr>
          <w:rFonts w:asciiTheme="minorHAnsi" w:hAnsiTheme="minorHAnsi" w:cstheme="minorHAnsi"/>
          <w:sz w:val="22"/>
          <w:szCs w:val="22"/>
        </w:rPr>
        <w:t xml:space="preserve"> [Master’s thesis, United States International University - Africa]. http://erepo.usiu.ac.ke/handle/11732/4536</w:t>
      </w:r>
    </w:p>
    <w:p w14:paraId="32E1A4DC"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Weeks, A. C. (2015). </w:t>
      </w:r>
      <w:r w:rsidRPr="00C95105">
        <w:rPr>
          <w:rFonts w:asciiTheme="minorHAnsi" w:hAnsiTheme="minorHAnsi" w:cstheme="minorHAnsi"/>
          <w:i/>
          <w:iCs/>
          <w:sz w:val="22"/>
          <w:szCs w:val="22"/>
        </w:rPr>
        <w:t>Beyond 'window dressing': The impact of gender quota laws on political party positions</w:t>
      </w:r>
      <w:r w:rsidRPr="00C95105">
        <w:rPr>
          <w:rFonts w:asciiTheme="minorHAnsi" w:hAnsiTheme="minorHAnsi" w:cstheme="minorHAnsi"/>
          <w:sz w:val="22"/>
          <w:szCs w:val="22"/>
        </w:rPr>
        <w:t xml:space="preserve">. Retrieved from lists.fas.harvard.edu. </w:t>
      </w:r>
    </w:p>
    <w:p w14:paraId="157E67F0"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Westfall, A., &amp; Chantiles, C. (2016). The political cure: Gender quotas and women's health. </w:t>
      </w:r>
      <w:r w:rsidRPr="00C95105">
        <w:rPr>
          <w:rFonts w:asciiTheme="minorHAnsi" w:hAnsiTheme="minorHAnsi" w:cstheme="minorHAnsi"/>
          <w:i/>
          <w:iCs/>
          <w:sz w:val="22"/>
          <w:szCs w:val="22"/>
        </w:rPr>
        <w:t>Politics &amp; Gender</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12</w:t>
      </w:r>
      <w:r w:rsidRPr="00C95105">
        <w:rPr>
          <w:rFonts w:asciiTheme="minorHAnsi" w:hAnsiTheme="minorHAnsi" w:cstheme="minorHAnsi"/>
          <w:sz w:val="22"/>
          <w:szCs w:val="22"/>
        </w:rPr>
        <w:t xml:space="preserve">(3), 469-490. https://doi.org/10.1017/S1743923X16000167 </w:t>
      </w:r>
    </w:p>
    <w:p w14:paraId="2D6617C3" w14:textId="77777777" w:rsidR="00EC58B5" w:rsidRPr="00C95105" w:rsidRDefault="00EC58B5" w:rsidP="00E120C1">
      <w:pPr>
        <w:autoSpaceDE w:val="0"/>
        <w:autoSpaceDN w:val="0"/>
        <w:adjustRightInd w:val="0"/>
        <w:spacing w:after="120"/>
        <w:ind w:left="567" w:right="-720" w:hanging="567"/>
        <w:rPr>
          <w:rFonts w:asciiTheme="minorHAnsi" w:hAnsiTheme="minorHAnsi" w:cstheme="minorHAnsi"/>
          <w:sz w:val="22"/>
          <w:szCs w:val="22"/>
        </w:rPr>
      </w:pPr>
      <w:r w:rsidRPr="00C95105">
        <w:rPr>
          <w:rFonts w:asciiTheme="minorHAnsi" w:hAnsiTheme="minorHAnsi" w:cstheme="minorHAnsi"/>
          <w:sz w:val="22"/>
          <w:szCs w:val="22"/>
        </w:rPr>
        <w:t xml:space="preserve">Xydias, C. V. (2007). Inviting more women to the party: Gender quotas and women's substantive representation in Germany. </w:t>
      </w:r>
      <w:r w:rsidRPr="00C95105">
        <w:rPr>
          <w:rFonts w:asciiTheme="minorHAnsi" w:hAnsiTheme="minorHAnsi" w:cstheme="minorHAnsi"/>
          <w:i/>
          <w:iCs/>
          <w:sz w:val="22"/>
          <w:szCs w:val="22"/>
        </w:rPr>
        <w:t>International Journal of Sociology</w:t>
      </w:r>
      <w:r w:rsidRPr="00C95105">
        <w:rPr>
          <w:rFonts w:asciiTheme="minorHAnsi" w:hAnsiTheme="minorHAnsi" w:cstheme="minorHAnsi"/>
          <w:sz w:val="22"/>
          <w:szCs w:val="22"/>
        </w:rPr>
        <w:t>,</w:t>
      </w:r>
      <w:r w:rsidRPr="00C95105">
        <w:rPr>
          <w:rFonts w:asciiTheme="minorHAnsi" w:hAnsiTheme="minorHAnsi" w:cstheme="minorHAnsi"/>
          <w:i/>
          <w:iCs/>
          <w:sz w:val="22"/>
          <w:szCs w:val="22"/>
        </w:rPr>
        <w:t xml:space="preserve"> 37</w:t>
      </w:r>
      <w:r w:rsidRPr="00C95105">
        <w:rPr>
          <w:rFonts w:asciiTheme="minorHAnsi" w:hAnsiTheme="minorHAnsi" w:cstheme="minorHAnsi"/>
          <w:sz w:val="22"/>
          <w:szCs w:val="22"/>
        </w:rPr>
        <w:t xml:space="preserve">(4), 52-66. https://doi.org/10.2753/IJS0020-7659370403 </w:t>
      </w:r>
    </w:p>
    <w:p w14:paraId="3F028408" w14:textId="77777777" w:rsidR="00360838" w:rsidRPr="00C95105" w:rsidRDefault="00360838" w:rsidP="00EC58B5">
      <w:pPr>
        <w:autoSpaceDE w:val="0"/>
        <w:autoSpaceDN w:val="0"/>
        <w:adjustRightInd w:val="0"/>
        <w:spacing w:after="120"/>
        <w:ind w:left="720" w:right="-720" w:hanging="720"/>
        <w:rPr>
          <w:rFonts w:asciiTheme="minorHAnsi" w:hAnsiTheme="minorHAnsi" w:cstheme="minorHAnsi"/>
          <w:sz w:val="22"/>
          <w:szCs w:val="22"/>
        </w:rPr>
        <w:sectPr w:rsidR="00360838" w:rsidRPr="00C95105">
          <w:headerReference w:type="even" r:id="rId129"/>
          <w:headerReference w:type="default" r:id="rId130"/>
          <w:footerReference w:type="even" r:id="rId131"/>
          <w:footerReference w:type="default" r:id="rId132"/>
          <w:headerReference w:type="first" r:id="rId133"/>
          <w:pgSz w:w="11906" w:h="16838"/>
          <w:pgMar w:top="1440" w:right="1440" w:bottom="1440" w:left="1440" w:header="708" w:footer="708" w:gutter="0"/>
          <w:cols w:space="708"/>
          <w:docGrid w:linePitch="360"/>
        </w:sectPr>
      </w:pPr>
    </w:p>
    <w:p w14:paraId="5E8FF5BB" w14:textId="05E660E1" w:rsidR="00360838" w:rsidRPr="0011287E" w:rsidRDefault="0011287E" w:rsidP="005232B4">
      <w:pPr>
        <w:pStyle w:val="Heading1"/>
        <w:spacing w:before="0" w:after="120"/>
        <w:jc w:val="center"/>
        <w:rPr>
          <w:rFonts w:ascii="Calibri" w:hAnsi="Calibri" w:cs="Calibri"/>
          <w:b/>
          <w:color w:val="FFFFFF" w:themeColor="background1"/>
        </w:rPr>
      </w:pPr>
      <w:bookmarkStart w:id="624" w:name="_Toc96957750"/>
      <w:r w:rsidRPr="0011287E">
        <w:rPr>
          <w:rFonts w:ascii="Calibri" w:hAnsi="Calibri" w:cs="Calibri"/>
          <w:b/>
          <w:color w:val="FFFFFF" w:themeColor="background1"/>
        </w:rPr>
        <w:lastRenderedPageBreak/>
        <w:t>About the Authors</w:t>
      </w:r>
      <w:bookmarkEnd w:id="624"/>
    </w:p>
    <w:p w14:paraId="5C8457E9" w14:textId="25E0BA52" w:rsidR="00360838" w:rsidRPr="009C47AB" w:rsidRDefault="00360838" w:rsidP="00360838">
      <w:pPr>
        <w:spacing w:line="360" w:lineRule="auto"/>
        <w:rPr>
          <w:rFonts w:ascii="Calibri" w:hAnsi="Calibri" w:cs="Calibri"/>
          <w:sz w:val="22"/>
          <w:szCs w:val="22"/>
        </w:rPr>
      </w:pPr>
    </w:p>
    <w:p w14:paraId="403F8FFF" w14:textId="77777777" w:rsidR="0011287E" w:rsidRDefault="0011287E" w:rsidP="00360838">
      <w:pPr>
        <w:spacing w:line="360" w:lineRule="auto"/>
        <w:rPr>
          <w:rFonts w:ascii="Calibri" w:hAnsi="Calibri" w:cs="Calibri"/>
        </w:rPr>
      </w:pPr>
    </w:p>
    <w:p w14:paraId="5C2D6986" w14:textId="36D2637D" w:rsidR="00360838" w:rsidRPr="0011287E" w:rsidRDefault="004E2360" w:rsidP="00360838">
      <w:pPr>
        <w:spacing w:line="360" w:lineRule="auto"/>
        <w:rPr>
          <w:rFonts w:ascii="Calibri" w:hAnsi="Calibri" w:cs="Calibri"/>
          <w:b/>
          <w:bCs/>
          <w:color w:val="1C407F"/>
          <w:sz w:val="22"/>
          <w:szCs w:val="22"/>
        </w:rPr>
      </w:pPr>
      <w:hyperlink r:id="rId134" w:history="1">
        <w:r w:rsidR="00360838" w:rsidRPr="0011287E">
          <w:rPr>
            <w:rStyle w:val="Hyperlink"/>
            <w:rFonts w:ascii="Calibri" w:eastAsiaTheme="majorEastAsia" w:hAnsi="Calibri" w:cs="Calibri"/>
            <w:b/>
            <w:bCs/>
            <w:color w:val="2F5496" w:themeColor="accent1" w:themeShade="BF"/>
            <w:sz w:val="22"/>
            <w:szCs w:val="22"/>
          </w:rPr>
          <w:t>Dr Victor Sojo</w:t>
        </w:r>
      </w:hyperlink>
      <w:r w:rsidR="0011287E" w:rsidRPr="0011287E">
        <w:rPr>
          <w:rFonts w:asciiTheme="minorHAnsi" w:hAnsiTheme="minorHAnsi" w:cstheme="minorHAnsi"/>
          <w:b/>
          <w:bCs/>
          <w:noProof/>
          <w:color w:val="1C407F"/>
          <w:sz w:val="28"/>
          <w:szCs w:val="28"/>
        </w:rPr>
        <mc:AlternateContent>
          <mc:Choice Requires="wps">
            <w:drawing>
              <wp:anchor distT="0" distB="0" distL="114300" distR="114300" simplePos="0" relativeHeight="251658269" behindDoc="1" locked="1" layoutInCell="1" allowOverlap="1" wp14:anchorId="373B9E47" wp14:editId="28F6BBA8">
                <wp:simplePos x="0" y="0"/>
                <wp:positionH relativeFrom="page">
                  <wp:posOffset>-206375</wp:posOffset>
                </wp:positionH>
                <wp:positionV relativeFrom="page">
                  <wp:posOffset>-76200</wp:posOffset>
                </wp:positionV>
                <wp:extent cx="8063865" cy="1580515"/>
                <wp:effectExtent l="0" t="0" r="635" b="0"/>
                <wp:wrapNone/>
                <wp:docPr id="149"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63865" cy="1580515"/>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8305" id="Divider A BG" o:spid="_x0000_s1026" alt="&quot;&quot;" style="position:absolute;margin-left:-16.25pt;margin-top:-6pt;width:634.95pt;height:124.4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" fillcolor="#1c407f" stroked="f" strokeweight="1pt">
                <o:lock v:ext="edit" aspectratio="t"/>
                <w10:wrap anchorx="page" anchory="page"/>
                <w10:anchorlock/>
              </v:rect>
            </w:pict>
          </mc:Fallback>
        </mc:AlternateContent>
      </w:r>
    </w:p>
    <w:p w14:paraId="55361863" w14:textId="498BCCF0" w:rsidR="00360838" w:rsidRPr="009C47AB" w:rsidRDefault="00360838" w:rsidP="00360838">
      <w:pPr>
        <w:spacing w:line="360" w:lineRule="auto"/>
        <w:rPr>
          <w:rFonts w:ascii="Calibri" w:hAnsi="Calibri" w:cs="Calibri"/>
          <w:sz w:val="22"/>
          <w:szCs w:val="22"/>
        </w:rPr>
      </w:pPr>
      <w:r w:rsidRPr="009C47AB">
        <w:rPr>
          <w:rFonts w:ascii="Calibri" w:hAnsi="Calibri" w:cs="Calibri"/>
          <w:sz w:val="22"/>
          <w:szCs w:val="22"/>
        </w:rPr>
        <w:t xml:space="preserve">Victor Sojo is a </w:t>
      </w:r>
      <w:r w:rsidR="00F45728" w:rsidRPr="009C47AB">
        <w:rPr>
          <w:rFonts w:ascii="Calibri" w:hAnsi="Calibri" w:cs="Calibri"/>
          <w:sz w:val="22"/>
          <w:szCs w:val="22"/>
        </w:rPr>
        <w:t xml:space="preserve">Senior </w:t>
      </w:r>
      <w:r w:rsidRPr="009C47AB">
        <w:rPr>
          <w:rFonts w:ascii="Calibri" w:hAnsi="Calibri" w:cs="Calibri"/>
          <w:sz w:val="22"/>
          <w:szCs w:val="22"/>
        </w:rPr>
        <w:t xml:space="preserve">Lecturer in Leadership at the University of Melbourne. He researches </w:t>
      </w:r>
      <w:r w:rsidR="008D312F" w:rsidRPr="009C47AB">
        <w:rPr>
          <w:rFonts w:ascii="Calibri" w:hAnsi="Calibri" w:cs="Calibri"/>
          <w:sz w:val="22"/>
          <w:szCs w:val="22"/>
        </w:rPr>
        <w:t>strategies for the economic empowerment of women and minority groups</w:t>
      </w:r>
      <w:r w:rsidRPr="009C47AB">
        <w:rPr>
          <w:rFonts w:ascii="Calibri" w:hAnsi="Calibri" w:cs="Calibri"/>
          <w:sz w:val="22"/>
          <w:szCs w:val="22"/>
        </w:rPr>
        <w:t xml:space="preserve">, </w:t>
      </w:r>
      <w:r w:rsidR="008D312F" w:rsidRPr="009C47AB">
        <w:rPr>
          <w:rFonts w:ascii="Calibri" w:hAnsi="Calibri" w:cs="Calibri"/>
          <w:sz w:val="22"/>
          <w:szCs w:val="22"/>
        </w:rPr>
        <w:t xml:space="preserve">workplace abuse, and </w:t>
      </w:r>
      <w:r w:rsidR="00F45728" w:rsidRPr="009C47AB">
        <w:rPr>
          <w:rFonts w:ascii="Calibri" w:hAnsi="Calibri" w:cs="Calibri"/>
          <w:sz w:val="22"/>
          <w:szCs w:val="22"/>
        </w:rPr>
        <w:t xml:space="preserve">leadership development in the </w:t>
      </w:r>
      <w:r w:rsidR="008D312F" w:rsidRPr="009C47AB">
        <w:rPr>
          <w:rFonts w:ascii="Calibri" w:hAnsi="Calibri" w:cs="Calibri"/>
          <w:sz w:val="22"/>
          <w:szCs w:val="22"/>
        </w:rPr>
        <w:t>public sector</w:t>
      </w:r>
      <w:r w:rsidRPr="009C47AB">
        <w:rPr>
          <w:rFonts w:ascii="Calibri" w:hAnsi="Calibri" w:cs="Calibri"/>
          <w:sz w:val="22"/>
          <w:szCs w:val="22"/>
        </w:rPr>
        <w:t>.</w:t>
      </w:r>
    </w:p>
    <w:p w14:paraId="17527E96" w14:textId="77777777" w:rsidR="00360838" w:rsidRPr="009C47AB" w:rsidRDefault="00360838" w:rsidP="00360838">
      <w:pPr>
        <w:spacing w:line="360" w:lineRule="auto"/>
        <w:rPr>
          <w:rFonts w:ascii="Calibri" w:hAnsi="Calibri" w:cs="Calibri"/>
          <w:sz w:val="22"/>
          <w:szCs w:val="22"/>
        </w:rPr>
      </w:pPr>
    </w:p>
    <w:p w14:paraId="607BA7FA" w14:textId="13A99270" w:rsidR="00702B6B" w:rsidRPr="0011287E" w:rsidRDefault="004E2360" w:rsidP="00702B6B">
      <w:pPr>
        <w:spacing w:line="360" w:lineRule="auto"/>
        <w:rPr>
          <w:rFonts w:ascii="Calibri" w:hAnsi="Calibri" w:cs="Calibri"/>
          <w:b/>
          <w:bCs/>
          <w:color w:val="2F5496" w:themeColor="accent1" w:themeShade="BF"/>
          <w:sz w:val="22"/>
          <w:szCs w:val="22"/>
        </w:rPr>
      </w:pPr>
      <w:hyperlink r:id="rId135">
        <w:r w:rsidR="5E525819" w:rsidRPr="0011287E">
          <w:rPr>
            <w:rStyle w:val="Hyperlink"/>
            <w:rFonts w:ascii="Calibri" w:hAnsi="Calibri" w:cs="Calibri"/>
            <w:b/>
            <w:bCs/>
            <w:color w:val="2F5496" w:themeColor="accent1" w:themeShade="BF"/>
            <w:sz w:val="22"/>
            <w:szCs w:val="22"/>
          </w:rPr>
          <w:t>Prof Michelle Ryan</w:t>
        </w:r>
      </w:hyperlink>
    </w:p>
    <w:p w14:paraId="10995AD3" w14:textId="47614356" w:rsidR="00360838" w:rsidRPr="009C47AB" w:rsidRDefault="00360838" w:rsidP="3E98CE44">
      <w:pPr>
        <w:spacing w:line="360" w:lineRule="auto"/>
        <w:rPr>
          <w:rFonts w:ascii="Calibri" w:hAnsi="Calibri" w:cs="Calibri"/>
          <w:sz w:val="22"/>
          <w:szCs w:val="22"/>
        </w:rPr>
      </w:pPr>
      <w:r w:rsidRPr="009C47AB">
        <w:rPr>
          <w:rFonts w:ascii="Calibri" w:hAnsi="Calibri" w:cs="Calibri"/>
          <w:sz w:val="22"/>
          <w:szCs w:val="22"/>
        </w:rPr>
        <w:t xml:space="preserve">Michelle Ryan is a </w:t>
      </w:r>
      <w:r w:rsidR="00F45728" w:rsidRPr="009C47AB">
        <w:rPr>
          <w:rFonts w:ascii="Calibri" w:hAnsi="Calibri" w:cs="Calibri"/>
          <w:sz w:val="22"/>
          <w:szCs w:val="22"/>
        </w:rPr>
        <w:t xml:space="preserve">Professor of Social and Organisational Psychology and the Director of the Global </w:t>
      </w:r>
      <w:r w:rsidR="00B25EDC" w:rsidRPr="009C47AB">
        <w:rPr>
          <w:rFonts w:ascii="Calibri" w:hAnsi="Calibri" w:cs="Calibri"/>
          <w:sz w:val="22"/>
          <w:szCs w:val="22"/>
        </w:rPr>
        <w:t>Institute</w:t>
      </w:r>
      <w:r w:rsidR="00F45728" w:rsidRPr="009C47AB">
        <w:rPr>
          <w:rFonts w:ascii="Calibri" w:hAnsi="Calibri" w:cs="Calibri"/>
          <w:sz w:val="22"/>
          <w:szCs w:val="22"/>
        </w:rPr>
        <w:t xml:space="preserve"> for Women’s Leadership at The Australian National</w:t>
      </w:r>
      <w:r w:rsidRPr="009C47AB">
        <w:rPr>
          <w:rFonts w:ascii="Calibri" w:hAnsi="Calibri" w:cs="Calibri"/>
          <w:sz w:val="22"/>
          <w:szCs w:val="22"/>
        </w:rPr>
        <w:t xml:space="preserve"> University. Her research focuses on understanding how social and psychological processes create and perpetuate gender inequality at work.</w:t>
      </w:r>
    </w:p>
    <w:p w14:paraId="3A8363E2" w14:textId="246C6843" w:rsidR="3E98CE44" w:rsidRPr="009C47AB" w:rsidRDefault="3E98CE44" w:rsidP="3E98CE44">
      <w:pPr>
        <w:spacing w:line="360" w:lineRule="auto"/>
        <w:rPr>
          <w:rFonts w:ascii="Calibri" w:hAnsi="Calibri" w:cs="Calibri"/>
          <w:sz w:val="22"/>
          <w:szCs w:val="22"/>
        </w:rPr>
      </w:pPr>
    </w:p>
    <w:p w14:paraId="02E80627" w14:textId="33B76A73" w:rsidR="00702B6B" w:rsidRPr="0011287E" w:rsidRDefault="004E2360" w:rsidP="00702B6B">
      <w:pPr>
        <w:spacing w:line="360" w:lineRule="auto"/>
        <w:rPr>
          <w:rFonts w:ascii="Calibri" w:hAnsi="Calibri" w:cs="Calibri"/>
          <w:b/>
          <w:bCs/>
          <w:color w:val="2F5496" w:themeColor="accent1" w:themeShade="BF"/>
          <w:sz w:val="22"/>
          <w:szCs w:val="22"/>
        </w:rPr>
      </w:pPr>
      <w:hyperlink r:id="rId136" w:history="1">
        <w:r w:rsidR="00702B6B" w:rsidRPr="0011287E">
          <w:rPr>
            <w:rStyle w:val="Hyperlink"/>
            <w:rFonts w:ascii="Calibri" w:hAnsi="Calibri" w:cs="Calibri"/>
            <w:b/>
            <w:bCs/>
            <w:color w:val="2F5496" w:themeColor="accent1" w:themeShade="BF"/>
            <w:sz w:val="22"/>
            <w:szCs w:val="22"/>
          </w:rPr>
          <w:t>Prof Cordelia Fine</w:t>
        </w:r>
      </w:hyperlink>
    </w:p>
    <w:p w14:paraId="33E6DD06" w14:textId="1E8A125B" w:rsidR="00796774" w:rsidRPr="009C47AB" w:rsidRDefault="00796774" w:rsidP="00702B6B">
      <w:pPr>
        <w:spacing w:line="360" w:lineRule="auto"/>
        <w:rPr>
          <w:rFonts w:ascii="Calibri" w:hAnsi="Calibri" w:cs="Calibri"/>
          <w:sz w:val="22"/>
          <w:szCs w:val="22"/>
        </w:rPr>
      </w:pPr>
      <w:r w:rsidRPr="009C47AB">
        <w:rPr>
          <w:rFonts w:ascii="Calibri" w:hAnsi="Calibri" w:cs="Calibri"/>
          <w:sz w:val="22"/>
          <w:szCs w:val="22"/>
        </w:rPr>
        <w:t>Cordelia Fine is a professor in the History &amp; Philosophy of Science program in the School of Historical &amp; Philosophical Studies at the University of Melbourne. Her research includes the study of scientific and popular biological explanations of workplace gender inequalities, and the effects of gender-related attitudes on organizational judgments.</w:t>
      </w:r>
    </w:p>
    <w:p w14:paraId="6F0BEF46" w14:textId="77777777" w:rsidR="00A95054" w:rsidRPr="009C47AB" w:rsidRDefault="00A95054" w:rsidP="00702B6B">
      <w:pPr>
        <w:spacing w:line="360" w:lineRule="auto"/>
        <w:rPr>
          <w:rFonts w:ascii="Calibri" w:hAnsi="Calibri" w:cs="Calibri"/>
          <w:sz w:val="22"/>
          <w:szCs w:val="22"/>
        </w:rPr>
      </w:pPr>
    </w:p>
    <w:p w14:paraId="1A40C1F7" w14:textId="367CDBE0" w:rsidR="00702B6B" w:rsidRPr="0011287E" w:rsidRDefault="004E2360" w:rsidP="00702B6B">
      <w:pPr>
        <w:spacing w:line="360" w:lineRule="auto"/>
        <w:rPr>
          <w:rFonts w:ascii="Calibri" w:hAnsi="Calibri" w:cs="Calibri"/>
          <w:b/>
          <w:bCs/>
          <w:color w:val="2F5496" w:themeColor="accent1" w:themeShade="BF"/>
          <w:sz w:val="22"/>
          <w:szCs w:val="22"/>
        </w:rPr>
      </w:pPr>
      <w:hyperlink r:id="rId137" w:history="1">
        <w:r w:rsidR="00702B6B" w:rsidRPr="0011287E">
          <w:rPr>
            <w:rStyle w:val="Hyperlink"/>
            <w:rFonts w:ascii="Calibri" w:hAnsi="Calibri" w:cs="Calibri"/>
            <w:b/>
            <w:bCs/>
            <w:color w:val="2F5496" w:themeColor="accent1" w:themeShade="BF"/>
            <w:sz w:val="22"/>
            <w:szCs w:val="22"/>
          </w:rPr>
          <w:t>Dr Melissa Wheeler</w:t>
        </w:r>
      </w:hyperlink>
    </w:p>
    <w:p w14:paraId="380FC45F" w14:textId="12F8C332" w:rsidR="000C040E" w:rsidRPr="009C47AB" w:rsidRDefault="000C040E" w:rsidP="00702B6B">
      <w:pPr>
        <w:spacing w:line="360" w:lineRule="auto"/>
        <w:rPr>
          <w:rFonts w:ascii="Calibri" w:hAnsi="Calibri" w:cs="Calibri"/>
          <w:sz w:val="22"/>
          <w:szCs w:val="22"/>
        </w:rPr>
      </w:pPr>
      <w:r w:rsidRPr="009C47AB">
        <w:rPr>
          <w:rFonts w:ascii="Calibri" w:hAnsi="Calibri" w:cs="Calibri"/>
          <w:sz w:val="22"/>
          <w:szCs w:val="22"/>
        </w:rPr>
        <w:t>Dr Melissa A. Wheeler has a PhD in social psychology from the University of Melbourne. Her research interests include moral psychology, applied ethics, workplace diversity, and ethical leadership. Melissa’s research has been published in top tier journals, including Leadership Quarterly, Journal of Business Ethics, Personality and Social Psychology Bulletin, and Cities.</w:t>
      </w:r>
    </w:p>
    <w:p w14:paraId="14F4B1BE" w14:textId="77777777" w:rsidR="000C040E" w:rsidRPr="009C47AB" w:rsidRDefault="000C040E" w:rsidP="00702B6B">
      <w:pPr>
        <w:spacing w:line="360" w:lineRule="auto"/>
        <w:rPr>
          <w:rFonts w:ascii="Calibri" w:hAnsi="Calibri" w:cs="Calibri"/>
          <w:sz w:val="22"/>
          <w:szCs w:val="22"/>
        </w:rPr>
      </w:pPr>
    </w:p>
    <w:p w14:paraId="415DD243" w14:textId="20CF7001" w:rsidR="00702B6B" w:rsidRPr="0011287E" w:rsidRDefault="004E2360" w:rsidP="00702B6B">
      <w:pPr>
        <w:spacing w:line="360" w:lineRule="auto"/>
        <w:rPr>
          <w:rFonts w:ascii="Calibri" w:hAnsi="Calibri" w:cs="Calibri"/>
          <w:b/>
          <w:bCs/>
          <w:color w:val="2F5496" w:themeColor="accent1" w:themeShade="BF"/>
          <w:sz w:val="22"/>
          <w:szCs w:val="22"/>
        </w:rPr>
      </w:pPr>
      <w:hyperlink r:id="rId138" w:history="1">
        <w:r w:rsidR="00702B6B" w:rsidRPr="0011287E">
          <w:rPr>
            <w:rStyle w:val="Hyperlink"/>
            <w:rFonts w:ascii="Calibri" w:hAnsi="Calibri" w:cs="Calibri"/>
            <w:b/>
            <w:bCs/>
            <w:color w:val="2F5496" w:themeColor="accent1" w:themeShade="BF"/>
            <w:sz w:val="22"/>
            <w:szCs w:val="22"/>
          </w:rPr>
          <w:t>Dr Melanie McGrath</w:t>
        </w:r>
      </w:hyperlink>
    </w:p>
    <w:p w14:paraId="10F28C60" w14:textId="6548D6CB" w:rsidR="00E62066" w:rsidRPr="009C47AB" w:rsidRDefault="0083334B" w:rsidP="00702B6B">
      <w:pPr>
        <w:spacing w:line="360" w:lineRule="auto"/>
        <w:rPr>
          <w:rFonts w:ascii="Calibri" w:hAnsi="Calibri" w:cs="Calibri"/>
          <w:sz w:val="22"/>
          <w:szCs w:val="22"/>
        </w:rPr>
      </w:pPr>
      <w:r w:rsidRPr="009C47AB">
        <w:rPr>
          <w:rFonts w:ascii="Calibri" w:hAnsi="Calibri" w:cs="Calibri"/>
          <w:sz w:val="22"/>
          <w:szCs w:val="22"/>
        </w:rPr>
        <w:t>Melanie McGrath holds a PhD in social psychology from the University of Melbourne and is an Emerging Scholar of the Center for the Science of Moral Understanding at the University of North Carolina. Her fields of interest include perceptions of harm, dimensions of threat, the nature of moral evaluation, and human interaction with artificial intelligence.</w:t>
      </w:r>
    </w:p>
    <w:p w14:paraId="4B6DB1C2" w14:textId="3AB19873" w:rsidR="0083334B" w:rsidRPr="009C47AB" w:rsidRDefault="0083334B" w:rsidP="00702B6B">
      <w:pPr>
        <w:spacing w:line="360" w:lineRule="auto"/>
        <w:rPr>
          <w:rFonts w:ascii="Calibri" w:hAnsi="Calibri" w:cs="Calibri"/>
          <w:sz w:val="22"/>
          <w:szCs w:val="22"/>
        </w:rPr>
      </w:pPr>
    </w:p>
    <w:p w14:paraId="4CBDDB87" w14:textId="3AB19873" w:rsidR="00A748EF" w:rsidRPr="009C47AB" w:rsidRDefault="00A748EF" w:rsidP="00702B6B">
      <w:pPr>
        <w:spacing w:line="360" w:lineRule="auto"/>
        <w:rPr>
          <w:rFonts w:ascii="Calibri" w:hAnsi="Calibri" w:cs="Calibri"/>
          <w:sz w:val="22"/>
          <w:szCs w:val="22"/>
        </w:rPr>
      </w:pPr>
    </w:p>
    <w:p w14:paraId="2F66ACB9" w14:textId="3AB19873" w:rsidR="00A748EF" w:rsidRPr="009C47AB" w:rsidRDefault="00A748EF" w:rsidP="00702B6B">
      <w:pPr>
        <w:spacing w:line="360" w:lineRule="auto"/>
        <w:rPr>
          <w:rFonts w:ascii="Calibri" w:hAnsi="Calibri" w:cs="Calibri"/>
          <w:sz w:val="22"/>
          <w:szCs w:val="22"/>
        </w:rPr>
      </w:pPr>
    </w:p>
    <w:p w14:paraId="4758214B" w14:textId="448DDA0A" w:rsidR="00702B6B" w:rsidRPr="0011287E" w:rsidRDefault="004E2360" w:rsidP="00702B6B">
      <w:pPr>
        <w:spacing w:line="360" w:lineRule="auto"/>
        <w:rPr>
          <w:rFonts w:ascii="Calibri" w:hAnsi="Calibri" w:cs="Calibri"/>
          <w:b/>
          <w:bCs/>
          <w:color w:val="2F5496" w:themeColor="accent1" w:themeShade="BF"/>
          <w:sz w:val="22"/>
          <w:szCs w:val="22"/>
        </w:rPr>
      </w:pPr>
      <w:hyperlink r:id="rId139" w:history="1">
        <w:r w:rsidR="00702B6B" w:rsidRPr="0011287E">
          <w:rPr>
            <w:rStyle w:val="Hyperlink"/>
            <w:rFonts w:ascii="Calibri" w:hAnsi="Calibri" w:cs="Calibri"/>
            <w:b/>
            <w:bCs/>
            <w:color w:val="2F5496" w:themeColor="accent1" w:themeShade="BF"/>
            <w:sz w:val="22"/>
            <w:szCs w:val="22"/>
          </w:rPr>
          <w:t>Dr Miriam Glennie</w:t>
        </w:r>
      </w:hyperlink>
    </w:p>
    <w:p w14:paraId="5C613372" w14:textId="4B55FF66" w:rsidR="000B2B87" w:rsidRPr="009C47AB" w:rsidRDefault="000B2B87" w:rsidP="00702B6B">
      <w:pPr>
        <w:spacing w:line="360" w:lineRule="auto"/>
        <w:rPr>
          <w:rFonts w:ascii="Calibri" w:hAnsi="Calibri" w:cs="Calibri"/>
          <w:sz w:val="22"/>
          <w:szCs w:val="22"/>
        </w:rPr>
      </w:pPr>
      <w:r w:rsidRPr="009C47AB">
        <w:rPr>
          <w:rFonts w:ascii="Calibri" w:hAnsi="Calibri" w:cs="Calibri"/>
          <w:sz w:val="22"/>
          <w:szCs w:val="22"/>
        </w:rPr>
        <w:t>Miriam Glennie is a Research Associate at the Global Institute for Women’s Leadership at the Australian National University. Miriam holds a PhD in management, with particular expertise in public sector management. Her research interests include gender equality reporting, the gender pay gap, performance measurement and human resource analytics.</w:t>
      </w:r>
    </w:p>
    <w:p w14:paraId="4CD05A91" w14:textId="77777777" w:rsidR="00E62066" w:rsidRPr="009C47AB" w:rsidRDefault="00E62066" w:rsidP="00702B6B">
      <w:pPr>
        <w:spacing w:line="360" w:lineRule="auto"/>
        <w:rPr>
          <w:rFonts w:ascii="Calibri" w:hAnsi="Calibri" w:cs="Calibri"/>
          <w:sz w:val="22"/>
          <w:szCs w:val="22"/>
        </w:rPr>
      </w:pPr>
    </w:p>
    <w:p w14:paraId="1B0202A1" w14:textId="6F89A4F2" w:rsidR="00702B6B" w:rsidRPr="0011287E" w:rsidRDefault="004E2360" w:rsidP="00702B6B">
      <w:pPr>
        <w:spacing w:line="360" w:lineRule="auto"/>
        <w:rPr>
          <w:rFonts w:ascii="Calibri" w:hAnsi="Calibri" w:cs="Calibri"/>
          <w:b/>
          <w:bCs/>
          <w:color w:val="2F5496" w:themeColor="accent1" w:themeShade="BF"/>
          <w:sz w:val="22"/>
          <w:szCs w:val="22"/>
        </w:rPr>
      </w:pPr>
      <w:hyperlink r:id="rId140" w:history="1">
        <w:r w:rsidR="00702B6B" w:rsidRPr="0011287E">
          <w:rPr>
            <w:rStyle w:val="Hyperlink"/>
            <w:rFonts w:ascii="Calibri" w:hAnsi="Calibri" w:cs="Calibri"/>
            <w:b/>
            <w:bCs/>
            <w:color w:val="2F5496" w:themeColor="accent1" w:themeShade="BF"/>
            <w:sz w:val="22"/>
            <w:szCs w:val="22"/>
          </w:rPr>
          <w:t>Dr Victoria Roberts</w:t>
        </w:r>
      </w:hyperlink>
    </w:p>
    <w:p w14:paraId="3ECB2022" w14:textId="02D433ED" w:rsidR="00342357" w:rsidRPr="009C47AB" w:rsidRDefault="00342357" w:rsidP="00702B6B">
      <w:pPr>
        <w:spacing w:line="360" w:lineRule="auto"/>
        <w:rPr>
          <w:rFonts w:ascii="Calibri" w:hAnsi="Calibri" w:cs="Calibri"/>
          <w:sz w:val="22"/>
          <w:szCs w:val="22"/>
        </w:rPr>
      </w:pPr>
      <w:r w:rsidRPr="009C47AB">
        <w:rPr>
          <w:rFonts w:ascii="Calibri" w:hAnsi="Calibri" w:cs="Calibri"/>
          <w:sz w:val="22"/>
          <w:szCs w:val="22"/>
        </w:rPr>
        <w:t>Victoria Roberts holds a doctorate in management and is a Lecturer in the Department of Management and Marketing at The University of Melbourne. She specialises in the field of organisational research and has a particular interest in the prevention and management harassment and abuse in work and sport organisations.</w:t>
      </w:r>
    </w:p>
    <w:p w14:paraId="6A4837C7" w14:textId="77777777" w:rsidR="002D0355" w:rsidRPr="009C47AB" w:rsidRDefault="002D0355" w:rsidP="00702B6B">
      <w:pPr>
        <w:spacing w:line="360" w:lineRule="auto"/>
        <w:rPr>
          <w:rFonts w:ascii="Calibri" w:hAnsi="Calibri" w:cs="Calibri"/>
          <w:sz w:val="22"/>
          <w:szCs w:val="22"/>
        </w:rPr>
      </w:pPr>
    </w:p>
    <w:p w14:paraId="372B9FCC" w14:textId="6923A26A" w:rsidR="00702B6B" w:rsidRPr="0011287E" w:rsidRDefault="004E2360" w:rsidP="00702B6B">
      <w:pPr>
        <w:spacing w:line="360" w:lineRule="auto"/>
        <w:rPr>
          <w:rFonts w:ascii="Calibri" w:hAnsi="Calibri" w:cs="Calibri"/>
          <w:b/>
          <w:bCs/>
          <w:color w:val="2F5496" w:themeColor="accent1" w:themeShade="BF"/>
          <w:sz w:val="22"/>
          <w:szCs w:val="22"/>
        </w:rPr>
      </w:pPr>
      <w:hyperlink r:id="rId141" w:history="1">
        <w:r w:rsidR="00702B6B" w:rsidRPr="0011287E">
          <w:rPr>
            <w:rStyle w:val="Hyperlink"/>
            <w:rFonts w:ascii="Calibri" w:hAnsi="Calibri" w:cs="Calibri"/>
            <w:b/>
            <w:bCs/>
            <w:color w:val="2F5496" w:themeColor="accent1" w:themeShade="BF"/>
            <w:sz w:val="22"/>
            <w:szCs w:val="22"/>
          </w:rPr>
          <w:t>PhD Candidate Lindsie Arthur</w:t>
        </w:r>
      </w:hyperlink>
    </w:p>
    <w:p w14:paraId="21E7C206" w14:textId="4D6D01D8" w:rsidR="00F7427D" w:rsidRPr="009C47AB" w:rsidRDefault="00593B1F" w:rsidP="00702B6B">
      <w:pPr>
        <w:spacing w:line="360" w:lineRule="auto"/>
        <w:rPr>
          <w:rFonts w:ascii="Calibri" w:hAnsi="Calibri" w:cs="Calibri"/>
          <w:sz w:val="22"/>
          <w:szCs w:val="22"/>
        </w:rPr>
      </w:pPr>
      <w:r w:rsidRPr="009C47AB">
        <w:rPr>
          <w:rFonts w:ascii="Calibri" w:hAnsi="Calibri" w:cs="Calibri"/>
          <w:sz w:val="22"/>
          <w:szCs w:val="22"/>
        </w:rPr>
        <w:t xml:space="preserve">Lindsie Catherine Arthur holds a Masters in Organisational Psychology from The London School of Economics. Currently a PhD Candidate at The University of Melbourne, her research centres around gender, behaviour, and social interactions. She is also passionate about education and improving day-to-day interactions between diverse populations.  </w:t>
      </w:r>
    </w:p>
    <w:p w14:paraId="6511A468" w14:textId="77777777" w:rsidR="002D0355" w:rsidRPr="009C47AB" w:rsidRDefault="002D0355" w:rsidP="00702B6B">
      <w:pPr>
        <w:spacing w:line="360" w:lineRule="auto"/>
        <w:rPr>
          <w:rFonts w:ascii="Calibri" w:hAnsi="Calibri" w:cs="Calibri"/>
          <w:sz w:val="22"/>
          <w:szCs w:val="22"/>
        </w:rPr>
      </w:pPr>
    </w:p>
    <w:p w14:paraId="1F9E2FA0" w14:textId="7020AD6B" w:rsidR="00702B6B" w:rsidRPr="0011287E" w:rsidRDefault="004E2360" w:rsidP="00702B6B">
      <w:pPr>
        <w:spacing w:line="360" w:lineRule="auto"/>
        <w:rPr>
          <w:rFonts w:ascii="Calibri" w:hAnsi="Calibri" w:cs="Calibri"/>
          <w:b/>
          <w:bCs/>
          <w:color w:val="2F5496" w:themeColor="accent1" w:themeShade="BF"/>
          <w:sz w:val="22"/>
          <w:szCs w:val="22"/>
        </w:rPr>
      </w:pPr>
      <w:hyperlink r:id="rId142" w:history="1">
        <w:r w:rsidR="00702B6B" w:rsidRPr="0011287E">
          <w:rPr>
            <w:rStyle w:val="Hyperlink"/>
            <w:rFonts w:ascii="Calibri" w:hAnsi="Calibri" w:cs="Calibri"/>
            <w:b/>
            <w:bCs/>
            <w:color w:val="2F5496" w:themeColor="accent1" w:themeShade="BF"/>
            <w:sz w:val="22"/>
            <w:szCs w:val="22"/>
          </w:rPr>
          <w:t>PhD Candidate Rachael Hadoux</w:t>
        </w:r>
      </w:hyperlink>
    </w:p>
    <w:p w14:paraId="7A963BF6" w14:textId="46B14899" w:rsidR="00C60BAD" w:rsidRPr="009C47AB" w:rsidRDefault="00C60BAD" w:rsidP="00702B6B">
      <w:pPr>
        <w:spacing w:line="360" w:lineRule="auto"/>
        <w:rPr>
          <w:rFonts w:ascii="Calibri" w:hAnsi="Calibri" w:cs="Calibri"/>
          <w:sz w:val="22"/>
          <w:szCs w:val="22"/>
        </w:rPr>
      </w:pPr>
      <w:r w:rsidRPr="009C47AB">
        <w:rPr>
          <w:rFonts w:ascii="Calibri" w:hAnsi="Calibri" w:cs="Calibri"/>
          <w:sz w:val="22"/>
          <w:szCs w:val="22"/>
        </w:rPr>
        <w:t>Rachael Hadoux is a Ph.D. Candidate in the Melbourne School of Psychological Sciences at the University of Melbourne. Rachael’s research focuses on the primary prevention of violence against women and aims to address this issue by examining what core beliefs and attitudes lay the foundations for gendered violence and violence-supportive attitudes.</w:t>
      </w:r>
    </w:p>
    <w:p w14:paraId="2ABAD80D" w14:textId="77777777" w:rsidR="00C60BAD" w:rsidRPr="009C47AB" w:rsidRDefault="00C60BAD" w:rsidP="00702B6B">
      <w:pPr>
        <w:spacing w:line="360" w:lineRule="auto"/>
        <w:rPr>
          <w:rFonts w:ascii="Calibri" w:hAnsi="Calibri" w:cs="Calibri"/>
          <w:sz w:val="22"/>
          <w:szCs w:val="22"/>
        </w:rPr>
      </w:pPr>
    </w:p>
    <w:p w14:paraId="1295D0CA" w14:textId="3623533C" w:rsidR="00702B6B" w:rsidRPr="0011287E" w:rsidRDefault="004E2360" w:rsidP="00702B6B">
      <w:pPr>
        <w:spacing w:line="360" w:lineRule="auto"/>
        <w:rPr>
          <w:rFonts w:ascii="Calibri" w:hAnsi="Calibri" w:cs="Calibri"/>
          <w:b/>
          <w:bCs/>
          <w:color w:val="2F5496" w:themeColor="accent1" w:themeShade="BF"/>
          <w:sz w:val="22"/>
          <w:szCs w:val="22"/>
        </w:rPr>
      </w:pPr>
      <w:hyperlink r:id="rId143" w:history="1">
        <w:r w:rsidR="00702B6B" w:rsidRPr="0011287E">
          <w:rPr>
            <w:rStyle w:val="Hyperlink"/>
            <w:rFonts w:ascii="Calibri" w:hAnsi="Calibri" w:cs="Calibri"/>
            <w:b/>
            <w:bCs/>
            <w:color w:val="2F5496" w:themeColor="accent1" w:themeShade="BF"/>
            <w:sz w:val="22"/>
            <w:szCs w:val="22"/>
          </w:rPr>
          <w:t>PhD Candidate Kate Western</w:t>
        </w:r>
      </w:hyperlink>
    </w:p>
    <w:p w14:paraId="193B4727" w14:textId="16C7DFFC" w:rsidR="00EC58B5" w:rsidRPr="009C47AB" w:rsidRDefault="0D0AD6FC" w:rsidP="614B45B0">
      <w:pPr>
        <w:autoSpaceDE w:val="0"/>
        <w:autoSpaceDN w:val="0"/>
        <w:adjustRightInd w:val="0"/>
        <w:spacing w:after="120" w:line="360" w:lineRule="auto"/>
        <w:rPr>
          <w:rFonts w:ascii="Calibri" w:hAnsi="Calibri" w:cs="Calibri"/>
        </w:rPr>
      </w:pPr>
      <w:r w:rsidRPr="009C47AB">
        <w:rPr>
          <w:rFonts w:ascii="Calibri" w:eastAsia="Calibri" w:hAnsi="Calibri" w:cs="Calibri"/>
          <w:sz w:val="22"/>
          <w:szCs w:val="22"/>
        </w:rPr>
        <w:t xml:space="preserve">Kate Western is a PhD (Clinical Psychology) Candidate at The Australian National University. Her research investigates the role of identity processes in recovery from trauma, with a particular focus on supporting survivors of gendered and sexual violence.  </w:t>
      </w:r>
    </w:p>
    <w:p w14:paraId="40AA68CF" w14:textId="67B1DE79" w:rsidR="00EC58B5" w:rsidRPr="009C47AB" w:rsidRDefault="00EC58B5" w:rsidP="614B45B0">
      <w:pPr>
        <w:autoSpaceDE w:val="0"/>
        <w:autoSpaceDN w:val="0"/>
        <w:adjustRightInd w:val="0"/>
        <w:spacing w:after="120" w:line="360" w:lineRule="auto"/>
        <w:ind w:left="720" w:right="-720" w:hanging="720"/>
        <w:rPr>
          <w:rFonts w:ascii="Calibri" w:hAnsi="Calibri" w:cs="Calibri"/>
          <w:sz w:val="22"/>
          <w:szCs w:val="22"/>
        </w:rPr>
      </w:pPr>
    </w:p>
    <w:p w14:paraId="6483A649" w14:textId="77777777" w:rsidR="0006749B" w:rsidRPr="009C47AB" w:rsidRDefault="0006749B" w:rsidP="00EC58B5">
      <w:pPr>
        <w:autoSpaceDE w:val="0"/>
        <w:autoSpaceDN w:val="0"/>
        <w:adjustRightInd w:val="0"/>
        <w:spacing w:after="120"/>
        <w:ind w:left="720" w:right="-720" w:hanging="720"/>
        <w:rPr>
          <w:rFonts w:ascii="Calibri" w:hAnsi="Calibri" w:cs="Calibri"/>
          <w:sz w:val="22"/>
          <w:szCs w:val="22"/>
        </w:rPr>
      </w:pPr>
    </w:p>
    <w:p w14:paraId="298F3D99" w14:textId="77777777" w:rsidR="0006749B" w:rsidRPr="009C47AB" w:rsidRDefault="0006749B" w:rsidP="00EC58B5">
      <w:pPr>
        <w:autoSpaceDE w:val="0"/>
        <w:autoSpaceDN w:val="0"/>
        <w:adjustRightInd w:val="0"/>
        <w:spacing w:after="120"/>
        <w:ind w:left="720" w:right="-720" w:hanging="720"/>
        <w:rPr>
          <w:rFonts w:ascii="Calibri" w:hAnsi="Calibri" w:cs="Calibri"/>
          <w:sz w:val="22"/>
          <w:szCs w:val="22"/>
        </w:rPr>
      </w:pPr>
    </w:p>
    <w:p w14:paraId="58AB0B30" w14:textId="77777777" w:rsidR="0006749B" w:rsidRPr="009C47AB" w:rsidRDefault="0006749B" w:rsidP="00EC58B5">
      <w:pPr>
        <w:autoSpaceDE w:val="0"/>
        <w:autoSpaceDN w:val="0"/>
        <w:adjustRightInd w:val="0"/>
        <w:spacing w:after="120"/>
        <w:ind w:left="720" w:right="-720" w:hanging="720"/>
        <w:rPr>
          <w:rFonts w:ascii="Calibri" w:hAnsi="Calibri" w:cs="Calibri"/>
          <w:sz w:val="22"/>
          <w:szCs w:val="22"/>
        </w:rPr>
      </w:pPr>
    </w:p>
    <w:p w14:paraId="05E1F22B" w14:textId="77777777" w:rsidR="0006749B" w:rsidRPr="009C47AB" w:rsidRDefault="0006749B" w:rsidP="00EC58B5">
      <w:pPr>
        <w:autoSpaceDE w:val="0"/>
        <w:autoSpaceDN w:val="0"/>
        <w:adjustRightInd w:val="0"/>
        <w:spacing w:after="120"/>
        <w:ind w:left="720" w:right="-720" w:hanging="720"/>
        <w:rPr>
          <w:rFonts w:ascii="Calibri" w:hAnsi="Calibri" w:cs="Calibri"/>
          <w:sz w:val="22"/>
          <w:szCs w:val="22"/>
        </w:rPr>
      </w:pPr>
    </w:p>
    <w:p w14:paraId="422FBF4D" w14:textId="3AB19873" w:rsidR="0006749B" w:rsidRPr="009C47AB" w:rsidRDefault="0006749B" w:rsidP="00EC58B5">
      <w:pPr>
        <w:autoSpaceDE w:val="0"/>
        <w:autoSpaceDN w:val="0"/>
        <w:adjustRightInd w:val="0"/>
        <w:spacing w:after="120"/>
        <w:ind w:left="720" w:right="-720" w:hanging="720"/>
        <w:rPr>
          <w:rFonts w:ascii="Calibri" w:hAnsi="Calibri" w:cs="Calibri"/>
          <w:sz w:val="22"/>
          <w:szCs w:val="22"/>
        </w:rPr>
      </w:pPr>
    </w:p>
    <w:p w14:paraId="46B498DE" w14:textId="77777777" w:rsidR="0006749B" w:rsidRPr="00F4477B" w:rsidRDefault="0006749B" w:rsidP="00D85F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eastAsiaTheme="minorHAnsi" w:hAnsi="Calibri" w:cs="Calibri"/>
          <w:color w:val="FFFFFF" w:themeColor="background1"/>
          <w:lang w:eastAsia="en-US"/>
        </w:rPr>
      </w:pPr>
      <w:r w:rsidRPr="00F4477B">
        <w:rPr>
          <w:rFonts w:ascii="Calibri" w:eastAsiaTheme="minorHAnsi" w:hAnsi="Calibri" w:cs="Calibri"/>
          <w:b/>
          <w:bCs/>
          <w:color w:val="FFFFFF" w:themeColor="background1"/>
          <w:lang w:eastAsia="en-US"/>
        </w:rPr>
        <w:lastRenderedPageBreak/>
        <w:t xml:space="preserve">CRICOS provider code: </w:t>
      </w:r>
      <w:r w:rsidRPr="00F4477B">
        <w:rPr>
          <w:rFonts w:ascii="Calibri" w:eastAsiaTheme="minorHAnsi" w:hAnsi="Calibri" w:cs="Calibri"/>
          <w:color w:val="FFFFFF" w:themeColor="background1"/>
          <w:lang w:eastAsia="en-US"/>
        </w:rPr>
        <w:t xml:space="preserve">00116K </w:t>
      </w:r>
    </w:p>
    <w:p w14:paraId="19595704" w14:textId="77777777" w:rsidR="0006749B" w:rsidRPr="00F4477B" w:rsidRDefault="0006749B" w:rsidP="00D85F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eastAsiaTheme="minorHAnsi" w:hAnsi="Calibri" w:cs="Calibri"/>
          <w:color w:val="FFFFFF" w:themeColor="background1"/>
          <w:lang w:eastAsia="en-US"/>
        </w:rPr>
      </w:pPr>
    </w:p>
    <w:p w14:paraId="136BEA2E" w14:textId="293B0950" w:rsidR="0006749B" w:rsidRPr="00F4477B" w:rsidRDefault="0006749B" w:rsidP="00D85F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eastAsiaTheme="minorHAnsi" w:hAnsi="Calibri" w:cs="Calibri"/>
          <w:color w:val="FFFFFF" w:themeColor="background1"/>
          <w:lang w:eastAsia="en-US"/>
        </w:rPr>
      </w:pPr>
      <w:r w:rsidRPr="00F4477B">
        <w:rPr>
          <w:rFonts w:ascii="Calibri" w:eastAsiaTheme="minorHAnsi" w:hAnsi="Calibri" w:cs="Calibri"/>
          <w:b/>
          <w:bCs/>
          <w:color w:val="FFFFFF" w:themeColor="background1"/>
          <w:lang w:eastAsia="en-US"/>
        </w:rPr>
        <w:t xml:space="preserve">Intellectual property: </w:t>
      </w:r>
      <w:r w:rsidRPr="00F4477B">
        <w:rPr>
          <w:rFonts w:ascii="Calibri" w:eastAsiaTheme="minorHAnsi" w:hAnsi="Calibri" w:cs="Calibri"/>
          <w:color w:val="FFFFFF" w:themeColor="background1"/>
          <w:lang w:eastAsia="en-US"/>
        </w:rPr>
        <w:t xml:space="preserve">Copyright in this publication is owned by the University of </w:t>
      </w:r>
      <w:r w:rsidR="002D66AA" w:rsidRPr="00F4477B">
        <w:rPr>
          <w:rFonts w:ascii="Calibri" w:eastAsiaTheme="minorHAnsi" w:hAnsi="Calibri" w:cs="Calibri"/>
          <w:color w:val="FFFFFF" w:themeColor="background1"/>
          <w:lang w:eastAsia="en-US"/>
        </w:rPr>
        <w:t>Melbourne, The Australian National University, Swinburne University of Technology and the Victorian Government Commission for Gender Equality in the Public Sector</w:t>
      </w:r>
      <w:r w:rsidRPr="00F4477B">
        <w:rPr>
          <w:rFonts w:ascii="Calibri" w:eastAsiaTheme="minorHAnsi" w:hAnsi="Calibri" w:cs="Calibri"/>
          <w:color w:val="FFFFFF" w:themeColor="background1"/>
          <w:lang w:eastAsia="en-US"/>
        </w:rPr>
        <w:t xml:space="preserve"> and no part of it may be reproduced without permission from these institutions. </w:t>
      </w:r>
    </w:p>
    <w:p w14:paraId="2E03A341" w14:textId="77777777" w:rsidR="0006749B" w:rsidRPr="00F4477B" w:rsidRDefault="0006749B" w:rsidP="00D85F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eastAsiaTheme="minorHAnsi" w:hAnsi="Calibri" w:cs="Calibri"/>
          <w:color w:val="FFFFFF" w:themeColor="background1"/>
          <w:lang w:eastAsia="en-US"/>
        </w:rPr>
      </w:pPr>
    </w:p>
    <w:p w14:paraId="5C9AC576" w14:textId="532F0201" w:rsidR="0006749B" w:rsidRPr="00F4477B" w:rsidRDefault="0006749B" w:rsidP="00D85F2F">
      <w:pPr>
        <w:spacing w:after="120"/>
        <w:rPr>
          <w:rFonts w:ascii="Calibri" w:hAnsi="Calibri" w:cs="Calibri"/>
          <w:color w:val="FFFFFF" w:themeColor="background1"/>
          <w:sz w:val="20"/>
          <w:szCs w:val="20"/>
        </w:rPr>
      </w:pPr>
      <w:r w:rsidRPr="00F4477B">
        <w:rPr>
          <w:rFonts w:ascii="Calibri" w:eastAsiaTheme="minorHAnsi" w:hAnsi="Calibri" w:cs="Calibri"/>
          <w:b/>
          <w:bCs/>
          <w:color w:val="FFFFFF" w:themeColor="background1"/>
          <w:lang w:eastAsia="en-US"/>
        </w:rPr>
        <w:t xml:space="preserve">Disclaimer: </w:t>
      </w:r>
      <w:r w:rsidRPr="00F4477B">
        <w:rPr>
          <w:rFonts w:ascii="Calibri" w:eastAsiaTheme="minorHAnsi" w:hAnsi="Calibri" w:cs="Calibri"/>
          <w:color w:val="FFFFFF" w:themeColor="background1"/>
          <w:lang w:eastAsia="en-US"/>
        </w:rPr>
        <w:t>The Universit</w:t>
      </w:r>
      <w:r w:rsidR="00CA5EF6" w:rsidRPr="00F4477B">
        <w:rPr>
          <w:rFonts w:ascii="Calibri" w:eastAsiaTheme="minorHAnsi" w:hAnsi="Calibri" w:cs="Calibri"/>
          <w:color w:val="FFFFFF" w:themeColor="background1"/>
          <w:lang w:eastAsia="en-US"/>
        </w:rPr>
        <w:t>ies</w:t>
      </w:r>
      <w:r w:rsidRPr="00F4477B">
        <w:rPr>
          <w:rFonts w:ascii="Calibri" w:eastAsiaTheme="minorHAnsi" w:hAnsi="Calibri" w:cs="Calibri"/>
          <w:color w:val="FFFFFF" w:themeColor="background1"/>
          <w:lang w:eastAsia="en-US"/>
        </w:rPr>
        <w:t xml:space="preserve"> endeavours to ensure that information contained in the publication is current and correct at the time of </w:t>
      </w:r>
      <w:r w:rsidR="00CA5EF6" w:rsidRPr="00F4477B">
        <w:rPr>
          <w:rFonts w:ascii="Calibri" w:eastAsiaTheme="minorHAnsi" w:hAnsi="Calibri" w:cs="Calibri"/>
          <w:color w:val="FFFFFF" w:themeColor="background1"/>
          <w:lang w:eastAsia="en-US"/>
        </w:rPr>
        <w:t>submission to the Victorian Government Commission for Gender Equality in the Public Sector</w:t>
      </w:r>
      <w:r w:rsidRPr="00F4477B">
        <w:rPr>
          <w:rFonts w:ascii="Calibri" w:eastAsiaTheme="minorHAnsi" w:hAnsi="Calibri" w:cs="Calibri"/>
          <w:color w:val="FFFFFF" w:themeColor="background1"/>
          <w:lang w:eastAsia="en-US"/>
        </w:rPr>
        <w:t xml:space="preserve"> (</w:t>
      </w:r>
      <w:r w:rsidR="00CA5EF6" w:rsidRPr="00F4477B">
        <w:rPr>
          <w:rFonts w:ascii="Calibri" w:eastAsiaTheme="minorHAnsi" w:hAnsi="Calibri" w:cs="Calibri"/>
          <w:color w:val="FFFFFF" w:themeColor="background1"/>
          <w:lang w:eastAsia="en-US"/>
        </w:rPr>
        <w:t>February</w:t>
      </w:r>
      <w:r w:rsidRPr="00F4477B">
        <w:rPr>
          <w:rFonts w:ascii="Calibri" w:eastAsiaTheme="minorHAnsi" w:hAnsi="Calibri" w:cs="Calibri"/>
          <w:color w:val="FFFFFF" w:themeColor="background1"/>
          <w:lang w:eastAsia="en-US"/>
        </w:rPr>
        <w:t xml:space="preserve"> 202</w:t>
      </w:r>
      <w:r w:rsidR="00CA5EF6" w:rsidRPr="00F4477B">
        <w:rPr>
          <w:rFonts w:ascii="Calibri" w:eastAsiaTheme="minorHAnsi" w:hAnsi="Calibri" w:cs="Calibri"/>
          <w:color w:val="FFFFFF" w:themeColor="background1"/>
          <w:lang w:eastAsia="en-US"/>
        </w:rPr>
        <w:t>2</w:t>
      </w:r>
      <w:r w:rsidRPr="00F4477B">
        <w:rPr>
          <w:rFonts w:ascii="Calibri" w:eastAsiaTheme="minorHAnsi" w:hAnsi="Calibri" w:cs="Calibri"/>
          <w:color w:val="FFFFFF" w:themeColor="background1"/>
          <w:lang w:eastAsia="en-US"/>
        </w:rPr>
        <w:t>)</w:t>
      </w:r>
    </w:p>
    <w:p w14:paraId="5C62A041" w14:textId="73D88AE5" w:rsidR="0006749B" w:rsidRPr="00F4477B" w:rsidRDefault="0006749B" w:rsidP="00D85F2F">
      <w:pPr>
        <w:autoSpaceDE w:val="0"/>
        <w:autoSpaceDN w:val="0"/>
        <w:adjustRightInd w:val="0"/>
        <w:spacing w:after="120"/>
        <w:ind w:left="720" w:right="-720" w:hanging="720"/>
        <w:rPr>
          <w:rFonts w:ascii="Calibri" w:hAnsi="Calibri" w:cs="Calibri"/>
          <w:color w:val="FFFFFF" w:themeColor="background1"/>
          <w:sz w:val="22"/>
          <w:szCs w:val="22"/>
        </w:rPr>
      </w:pPr>
    </w:p>
    <w:p w14:paraId="40DEE665" w14:textId="560ABF07" w:rsidR="00B321FA" w:rsidRPr="009C47AB" w:rsidRDefault="00B321FA" w:rsidP="00B321FA">
      <w:pPr>
        <w:rPr>
          <w:rFonts w:ascii="Calibri" w:hAnsi="Calibri" w:cs="Calibri"/>
          <w:sz w:val="22"/>
          <w:szCs w:val="22"/>
        </w:rPr>
      </w:pPr>
    </w:p>
    <w:p w14:paraId="361C82B7" w14:textId="161AE59D" w:rsidR="00B321FA" w:rsidRPr="009C47AB" w:rsidRDefault="00B321FA" w:rsidP="00B321FA">
      <w:pPr>
        <w:rPr>
          <w:rFonts w:ascii="Calibri" w:hAnsi="Calibri" w:cs="Calibri"/>
          <w:sz w:val="22"/>
          <w:szCs w:val="22"/>
        </w:rPr>
      </w:pPr>
    </w:p>
    <w:p w14:paraId="77F3AD0C" w14:textId="044A6F09" w:rsidR="00B321FA" w:rsidRPr="009C47AB" w:rsidRDefault="00B321FA" w:rsidP="00B321FA">
      <w:pPr>
        <w:rPr>
          <w:rFonts w:ascii="Calibri" w:hAnsi="Calibri" w:cs="Calibri"/>
          <w:sz w:val="22"/>
          <w:szCs w:val="22"/>
        </w:rPr>
      </w:pPr>
    </w:p>
    <w:p w14:paraId="478BF171" w14:textId="0C19D1AC" w:rsidR="00B321FA" w:rsidRPr="009C47AB" w:rsidRDefault="00B321FA" w:rsidP="00B321FA">
      <w:pPr>
        <w:rPr>
          <w:rFonts w:ascii="Calibri" w:hAnsi="Calibri" w:cs="Calibri"/>
          <w:sz w:val="22"/>
          <w:szCs w:val="22"/>
        </w:rPr>
      </w:pPr>
    </w:p>
    <w:p w14:paraId="2DF977F1" w14:textId="6CB36E1C" w:rsidR="00B321FA" w:rsidRPr="009C47AB" w:rsidRDefault="00B321FA" w:rsidP="00B321FA">
      <w:pPr>
        <w:rPr>
          <w:rFonts w:ascii="Calibri" w:hAnsi="Calibri" w:cs="Calibri"/>
          <w:sz w:val="22"/>
          <w:szCs w:val="22"/>
        </w:rPr>
      </w:pPr>
    </w:p>
    <w:p w14:paraId="4BA881C6" w14:textId="5FEF3AF5" w:rsidR="00B321FA" w:rsidRPr="009C47AB" w:rsidRDefault="00B321FA" w:rsidP="00B321FA">
      <w:pPr>
        <w:rPr>
          <w:rFonts w:ascii="Calibri" w:hAnsi="Calibri" w:cs="Calibri"/>
          <w:sz w:val="22"/>
          <w:szCs w:val="22"/>
        </w:rPr>
      </w:pPr>
    </w:p>
    <w:p w14:paraId="5516260F" w14:textId="2D8A8613" w:rsidR="00B321FA" w:rsidRPr="009C47AB" w:rsidRDefault="00B321FA" w:rsidP="00B321FA">
      <w:pPr>
        <w:rPr>
          <w:rFonts w:ascii="Calibri" w:hAnsi="Calibri" w:cs="Calibri"/>
          <w:sz w:val="22"/>
          <w:szCs w:val="22"/>
        </w:rPr>
      </w:pPr>
    </w:p>
    <w:p w14:paraId="315CA0CE" w14:textId="289FA016" w:rsidR="00B321FA" w:rsidRPr="009C47AB" w:rsidRDefault="00F4477B" w:rsidP="00B321FA">
      <w:pPr>
        <w:rPr>
          <w:rFonts w:ascii="Calibri" w:hAnsi="Calibri" w:cs="Calibri"/>
          <w:sz w:val="22"/>
          <w:szCs w:val="22"/>
        </w:rPr>
      </w:pPr>
      <w:r w:rsidRPr="005214F3">
        <w:rPr>
          <w:rFonts w:asciiTheme="minorHAnsi" w:hAnsiTheme="minorHAnsi" w:cstheme="minorHAnsi"/>
          <w:noProof/>
          <w:color w:val="000000" w:themeColor="text1"/>
          <w:sz w:val="28"/>
          <w:szCs w:val="28"/>
        </w:rPr>
        <mc:AlternateContent>
          <mc:Choice Requires="wps">
            <w:drawing>
              <wp:anchor distT="0" distB="0" distL="114300" distR="114300" simplePos="0" relativeHeight="251658271" behindDoc="1" locked="1" layoutInCell="1" allowOverlap="1" wp14:anchorId="0ECD2624" wp14:editId="1C89E0F8">
                <wp:simplePos x="0" y="0"/>
                <wp:positionH relativeFrom="page">
                  <wp:posOffset>0</wp:posOffset>
                </wp:positionH>
                <wp:positionV relativeFrom="page">
                  <wp:posOffset>-46990</wp:posOffset>
                </wp:positionV>
                <wp:extent cx="7769225" cy="10854690"/>
                <wp:effectExtent l="0" t="0" r="3175" b="3810"/>
                <wp:wrapNone/>
                <wp:docPr id="263" name="Divider A B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69225" cy="10854690"/>
                        </a:xfrm>
                        <a:prstGeom prst="rect">
                          <a:avLst/>
                        </a:prstGeom>
                        <a:solidFill>
                          <a:srgbClr val="1C4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9310C" id="Divider A BG" o:spid="_x0000_s1026" alt="&quot;&quot;" style="position:absolute;margin-left:0;margin-top:-3.7pt;width:611.75pt;height:854.7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" fillcolor="#1c407f" stroked="f" strokeweight="1pt">
                <o:lock v:ext="edit" aspectratio="t"/>
                <w10:wrap anchorx="page" anchory="page"/>
                <w10:anchorlock/>
              </v:rect>
            </w:pict>
          </mc:Fallback>
        </mc:AlternateContent>
      </w:r>
    </w:p>
    <w:p w14:paraId="77D0FD72" w14:textId="77777777" w:rsidR="00B321FA" w:rsidRPr="009C47AB" w:rsidRDefault="00B321FA" w:rsidP="00B321FA">
      <w:pPr>
        <w:rPr>
          <w:rFonts w:ascii="Calibri" w:hAnsi="Calibri" w:cs="Calibri"/>
          <w:sz w:val="22"/>
          <w:szCs w:val="22"/>
        </w:rPr>
      </w:pPr>
    </w:p>
    <w:p w14:paraId="092A51F3" w14:textId="77777777" w:rsidR="00B321FA" w:rsidRPr="009C47AB" w:rsidRDefault="00B321FA" w:rsidP="00B321FA">
      <w:pPr>
        <w:rPr>
          <w:rFonts w:ascii="Calibri" w:hAnsi="Calibri" w:cs="Calibri"/>
          <w:sz w:val="22"/>
          <w:szCs w:val="22"/>
        </w:rPr>
      </w:pPr>
    </w:p>
    <w:p w14:paraId="26D9EE54" w14:textId="77777777" w:rsidR="00B321FA" w:rsidRPr="009C47AB" w:rsidRDefault="00B321FA" w:rsidP="00B321FA">
      <w:pPr>
        <w:rPr>
          <w:rFonts w:ascii="Calibri" w:hAnsi="Calibri" w:cs="Calibri"/>
          <w:sz w:val="22"/>
          <w:szCs w:val="22"/>
        </w:rPr>
      </w:pPr>
    </w:p>
    <w:p w14:paraId="2ED604BF" w14:textId="77777777" w:rsidR="00B321FA" w:rsidRPr="009C47AB" w:rsidRDefault="00B321FA" w:rsidP="00B321FA">
      <w:pPr>
        <w:rPr>
          <w:rFonts w:ascii="Calibri" w:hAnsi="Calibri" w:cs="Calibri"/>
          <w:sz w:val="22"/>
          <w:szCs w:val="22"/>
        </w:rPr>
      </w:pPr>
    </w:p>
    <w:p w14:paraId="5FBB6E0C" w14:textId="77777777" w:rsidR="00B321FA" w:rsidRPr="009C47AB" w:rsidRDefault="00B321FA" w:rsidP="00B321FA">
      <w:pPr>
        <w:rPr>
          <w:rFonts w:ascii="Calibri" w:hAnsi="Calibri" w:cs="Calibri"/>
          <w:sz w:val="22"/>
          <w:szCs w:val="22"/>
        </w:rPr>
      </w:pPr>
    </w:p>
    <w:p w14:paraId="3CDF4EDB" w14:textId="77777777" w:rsidR="00B321FA" w:rsidRPr="009C47AB" w:rsidRDefault="00B321FA" w:rsidP="00B321FA">
      <w:pPr>
        <w:rPr>
          <w:rFonts w:ascii="Calibri" w:hAnsi="Calibri" w:cs="Calibri"/>
          <w:sz w:val="22"/>
          <w:szCs w:val="22"/>
        </w:rPr>
      </w:pPr>
    </w:p>
    <w:p w14:paraId="1DF68119" w14:textId="77777777" w:rsidR="00B321FA" w:rsidRPr="009C47AB" w:rsidRDefault="00B321FA" w:rsidP="00B321FA">
      <w:pPr>
        <w:rPr>
          <w:rFonts w:ascii="Calibri" w:hAnsi="Calibri" w:cs="Calibri"/>
          <w:sz w:val="22"/>
          <w:szCs w:val="22"/>
        </w:rPr>
      </w:pPr>
    </w:p>
    <w:p w14:paraId="24E6C614" w14:textId="77777777" w:rsidR="00B321FA" w:rsidRPr="009C47AB" w:rsidRDefault="00B321FA" w:rsidP="00B321FA">
      <w:pPr>
        <w:rPr>
          <w:rFonts w:ascii="Calibri" w:hAnsi="Calibri" w:cs="Calibri"/>
          <w:sz w:val="22"/>
          <w:szCs w:val="22"/>
        </w:rPr>
      </w:pPr>
    </w:p>
    <w:p w14:paraId="5AECE50F" w14:textId="77777777" w:rsidR="00B321FA" w:rsidRPr="009C47AB" w:rsidRDefault="00B321FA" w:rsidP="00B321FA">
      <w:pPr>
        <w:rPr>
          <w:rFonts w:ascii="Calibri" w:hAnsi="Calibri" w:cs="Calibri"/>
          <w:sz w:val="22"/>
          <w:szCs w:val="22"/>
        </w:rPr>
      </w:pPr>
    </w:p>
    <w:p w14:paraId="558AFA51" w14:textId="77777777" w:rsidR="00B321FA" w:rsidRPr="009C47AB" w:rsidRDefault="00B321FA" w:rsidP="00B321FA">
      <w:pPr>
        <w:rPr>
          <w:rFonts w:ascii="Calibri" w:hAnsi="Calibri" w:cs="Calibri"/>
          <w:sz w:val="22"/>
          <w:szCs w:val="22"/>
        </w:rPr>
      </w:pPr>
    </w:p>
    <w:p w14:paraId="72F35AAD" w14:textId="757AE87B" w:rsidR="00B321FA" w:rsidRPr="00C95105" w:rsidRDefault="00B321FA" w:rsidP="00B321FA">
      <w:pPr>
        <w:tabs>
          <w:tab w:val="left" w:pos="7497"/>
        </w:tabs>
        <w:rPr>
          <w:rFonts w:asciiTheme="minorHAnsi" w:hAnsiTheme="minorHAnsi" w:cstheme="minorHAnsi"/>
          <w:sz w:val="22"/>
          <w:szCs w:val="22"/>
        </w:rPr>
      </w:pPr>
      <w:r w:rsidRPr="009C47AB">
        <w:rPr>
          <w:rFonts w:ascii="Calibri" w:hAnsi="Calibri" w:cs="Calibri"/>
          <w:sz w:val="22"/>
          <w:szCs w:val="22"/>
        </w:rPr>
        <w:tab/>
      </w:r>
    </w:p>
    <w:sectPr w:rsidR="00B321FA" w:rsidRPr="00C95105">
      <w:headerReference w:type="even" r:id="rId144"/>
      <w:headerReference w:type="default" r:id="rId145"/>
      <w:footerReference w:type="default" r:id="rId146"/>
      <w:headerReference w:type="first" r:id="rId1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3E6E1" w14:textId="77777777" w:rsidR="002947CD" w:rsidRDefault="002947CD" w:rsidP="00821A95">
      <w:r>
        <w:separator/>
      </w:r>
    </w:p>
  </w:endnote>
  <w:endnote w:type="continuationSeparator" w:id="0">
    <w:p w14:paraId="7C0723A8" w14:textId="77777777" w:rsidR="002947CD" w:rsidRDefault="002947CD" w:rsidP="00821A95">
      <w:r>
        <w:continuationSeparator/>
      </w:r>
    </w:p>
  </w:endnote>
  <w:endnote w:type="continuationNotice" w:id="1">
    <w:p w14:paraId="64CED23B" w14:textId="77777777" w:rsidR="002947CD" w:rsidRDefault="00294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swiss"/>
    <w:pitch w:val="variable"/>
    <w:sig w:usb0="E1000AEF" w:usb1="5000A1FF" w:usb2="00000000" w:usb3="00000000" w:csb0="000001B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8090860"/>
      <w:docPartObj>
        <w:docPartGallery w:val="Page Numbers (Bottom of Page)"/>
        <w:docPartUnique/>
      </w:docPartObj>
    </w:sdtPr>
    <w:sdtEndPr>
      <w:rPr>
        <w:rStyle w:val="PageNumber"/>
      </w:rPr>
    </w:sdtEndPr>
    <w:sdtContent>
      <w:p w14:paraId="1CBAC42A" w14:textId="71519A00" w:rsidR="00821A95" w:rsidRDefault="00821A95" w:rsidP="004A16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2F541D" w14:textId="77777777" w:rsidR="00821A95" w:rsidRDefault="00821A95" w:rsidP="00821A9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244182"/>
      <w:docPartObj>
        <w:docPartGallery w:val="Page Numbers (Bottom of Page)"/>
        <w:docPartUnique/>
      </w:docPartObj>
    </w:sdtPr>
    <w:sdtEndPr>
      <w:rPr>
        <w:rStyle w:val="PageNumber"/>
      </w:rPr>
    </w:sdtEndPr>
    <w:sdtContent>
      <w:p w14:paraId="1BA03FE6" w14:textId="77777777" w:rsidR="00821A95" w:rsidRDefault="00821A95" w:rsidP="004A16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C02807" w14:textId="77777777" w:rsidR="00821A95" w:rsidRDefault="00821A9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color w:val="2F5496" w:themeColor="accent1" w:themeShade="BF"/>
      </w:rPr>
      <w:id w:val="1444042331"/>
      <w:docPartObj>
        <w:docPartGallery w:val="Page Numbers (Bottom of Page)"/>
        <w:docPartUnique/>
      </w:docPartObj>
    </w:sdtPr>
    <w:sdtEndPr>
      <w:rPr>
        <w:rStyle w:val="PageNumber"/>
      </w:rPr>
    </w:sdtEndPr>
    <w:sdtContent>
      <w:p w14:paraId="14537761" w14:textId="77777777" w:rsidR="005E1746" w:rsidRPr="00F97B69" w:rsidRDefault="005E1746" w:rsidP="005E1746">
        <w:pPr>
          <w:pStyle w:val="Footer"/>
          <w:framePr w:wrap="none" w:vAnchor="text" w:hAnchor="page" w:x="10100" w:y="190"/>
          <w:rPr>
            <w:rStyle w:val="PageNumber"/>
            <w:rFonts w:asciiTheme="minorHAnsi" w:hAnsiTheme="minorHAnsi" w:cstheme="minorHAnsi"/>
            <w:color w:val="2F5496" w:themeColor="accent1" w:themeShade="BF"/>
          </w:rPr>
        </w:pPr>
        <w:r w:rsidRPr="00F97B69">
          <w:rPr>
            <w:rStyle w:val="PageNumber"/>
            <w:rFonts w:asciiTheme="minorHAnsi" w:hAnsiTheme="minorHAnsi" w:cstheme="minorHAnsi"/>
            <w:color w:val="2F5496" w:themeColor="accent1" w:themeShade="BF"/>
          </w:rPr>
          <w:fldChar w:fldCharType="begin"/>
        </w:r>
        <w:r w:rsidRPr="00F97B69">
          <w:rPr>
            <w:rStyle w:val="PageNumber"/>
            <w:rFonts w:asciiTheme="minorHAnsi" w:hAnsiTheme="minorHAnsi" w:cstheme="minorHAnsi"/>
            <w:color w:val="2F5496" w:themeColor="accent1" w:themeShade="BF"/>
          </w:rPr>
          <w:instrText xml:space="preserve"> PAGE </w:instrText>
        </w:r>
        <w:r w:rsidRPr="00F97B69">
          <w:rPr>
            <w:rStyle w:val="PageNumber"/>
            <w:rFonts w:asciiTheme="minorHAnsi" w:hAnsiTheme="minorHAnsi" w:cstheme="minorHAnsi"/>
            <w:color w:val="2F5496" w:themeColor="accent1" w:themeShade="BF"/>
          </w:rPr>
          <w:fldChar w:fldCharType="separate"/>
        </w:r>
        <w:r w:rsidRPr="00F97B69">
          <w:rPr>
            <w:rStyle w:val="PageNumber"/>
            <w:rFonts w:asciiTheme="minorHAnsi" w:hAnsiTheme="minorHAnsi" w:cstheme="minorHAnsi"/>
            <w:noProof/>
            <w:color w:val="2F5496" w:themeColor="accent1" w:themeShade="BF"/>
          </w:rPr>
          <w:t>1</w:t>
        </w:r>
        <w:r w:rsidRPr="00F97B69">
          <w:rPr>
            <w:rStyle w:val="PageNumber"/>
            <w:rFonts w:asciiTheme="minorHAnsi" w:hAnsiTheme="minorHAnsi" w:cstheme="minorHAnsi"/>
            <w:color w:val="2F5496" w:themeColor="accent1" w:themeShade="BF"/>
          </w:rPr>
          <w:fldChar w:fldCharType="end"/>
        </w:r>
      </w:p>
    </w:sdtContent>
  </w:sdt>
  <w:p w14:paraId="13296D6D" w14:textId="242B3B71" w:rsidR="00B8408B" w:rsidRDefault="00B8408B" w:rsidP="00667102">
    <w:pPr>
      <w:pStyle w:val="Footer"/>
      <w:ind w:right="360"/>
      <w:rPr>
        <w:rFonts w:ascii="Calibri" w:hAnsi="Calibri" w:cs="Calibri"/>
        <w:i/>
        <w:iCs/>
        <w:color w:val="2F5496" w:themeColor="accent1" w:themeShade="BF"/>
        <w:sz w:val="20"/>
        <w:szCs w:val="20"/>
      </w:rPr>
    </w:pPr>
  </w:p>
  <w:p w14:paraId="633161AC" w14:textId="77777777" w:rsidR="00821A95" w:rsidRPr="00337B5E" w:rsidRDefault="00F97B69" w:rsidP="00821A95">
    <w:pPr>
      <w:pStyle w:val="Footer"/>
      <w:ind w:right="360"/>
      <w:rPr>
        <w:rFonts w:ascii="Calibri" w:hAnsi="Calibri" w:cs="Calibri"/>
        <w:i/>
        <w:iCs/>
        <w:color w:val="2F5496" w:themeColor="accent1" w:themeShade="BF"/>
        <w:sz w:val="20"/>
        <w:szCs w:val="20"/>
      </w:rPr>
    </w:pPr>
    <w:r w:rsidRPr="00337B5E">
      <w:rPr>
        <w:rFonts w:ascii="Calibri" w:hAnsi="Calibri" w:cs="Calibri"/>
        <w:i/>
        <w:iCs/>
        <w:noProof/>
        <w:color w:val="4472C4" w:themeColor="accent1"/>
        <w:sz w:val="20"/>
        <w:szCs w:val="20"/>
      </w:rPr>
      <mc:AlternateContent>
        <mc:Choice Requires="wps">
          <w:drawing>
            <wp:anchor distT="0" distB="0" distL="114300" distR="114300" simplePos="0" relativeHeight="251658248" behindDoc="0" locked="0" layoutInCell="1" allowOverlap="1" wp14:anchorId="28163D0B" wp14:editId="708841C3">
              <wp:simplePos x="0" y="0"/>
              <wp:positionH relativeFrom="column">
                <wp:posOffset>-925975</wp:posOffset>
              </wp:positionH>
              <wp:positionV relativeFrom="paragraph">
                <wp:posOffset>-185468</wp:posOffset>
              </wp:positionV>
              <wp:extent cx="7563574" cy="0"/>
              <wp:effectExtent l="0" t="0" r="5715" b="12700"/>
              <wp:wrapNone/>
              <wp:docPr id="133" name="Straight Connector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357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865700" id="Straight Connector 133" o:spid="_x0000_s1026" alt="&quot;&quot;"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4.6pt" to="52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" strokecolor="#4472c4 [3204]" strokeweight="1pt">
              <v:stroke joinstyle="miter"/>
            </v:line>
          </w:pict>
        </mc:Fallback>
      </mc:AlternateContent>
    </w:r>
    <w:r w:rsidR="003B1C7F">
      <w:rPr>
        <w:rFonts w:ascii="Calibri" w:hAnsi="Calibri" w:cs="Calibri"/>
        <w:i/>
        <w:iCs/>
        <w:color w:val="2F5496" w:themeColor="accent1" w:themeShade="BF"/>
        <w:sz w:val="20"/>
        <w:szCs w:val="20"/>
      </w:rPr>
      <w:t>Gender Targets and Quotas in Leadership Roles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4A02" w14:textId="5EFFBF21" w:rsidR="00CF47FE" w:rsidRDefault="00CF47FE" w:rsidP="00667102">
    <w:pPr>
      <w:pStyle w:val="Footer"/>
      <w:ind w:right="360"/>
      <w:rPr>
        <w:rFonts w:ascii="Calibri" w:hAnsi="Calibri" w:cs="Calibri"/>
        <w:i/>
        <w:iCs/>
        <w:color w:val="2F5496" w:themeColor="accent1" w:themeShade="BF"/>
        <w:sz w:val="20"/>
        <w:szCs w:val="20"/>
      </w:rPr>
    </w:pPr>
  </w:p>
  <w:sdt>
    <w:sdtPr>
      <w:rPr>
        <w:rStyle w:val="PageNumber"/>
        <w:rFonts w:asciiTheme="minorHAnsi" w:hAnsiTheme="minorHAnsi" w:cstheme="minorHAnsi"/>
        <w:color w:val="2F5496" w:themeColor="accent1" w:themeShade="BF"/>
      </w:rPr>
      <w:id w:val="-137418578"/>
      <w:docPartObj>
        <w:docPartGallery w:val="Page Numbers (Bottom of Page)"/>
        <w:docPartUnique/>
      </w:docPartObj>
    </w:sdtPr>
    <w:sdtEndPr>
      <w:rPr>
        <w:rStyle w:val="PageNumber"/>
      </w:rPr>
    </w:sdtEndPr>
    <w:sdtContent>
      <w:p w14:paraId="66E09D97" w14:textId="5EFFBF21" w:rsidR="00F7503D" w:rsidRPr="00F97B69" w:rsidRDefault="00F7503D" w:rsidP="00F7503D">
        <w:pPr>
          <w:pStyle w:val="Footer"/>
          <w:framePr w:wrap="none" w:vAnchor="text" w:hAnchor="page" w:x="10119" w:y="134"/>
          <w:rPr>
            <w:rStyle w:val="PageNumber"/>
            <w:rFonts w:asciiTheme="minorHAnsi" w:hAnsiTheme="minorHAnsi" w:cstheme="minorBidi"/>
            <w:color w:val="2F5496" w:themeColor="accent1" w:themeShade="BF"/>
          </w:rPr>
        </w:pPr>
        <w:r w:rsidRPr="69EF05C4">
          <w:rPr>
            <w:rStyle w:val="PageNumber"/>
            <w:rFonts w:asciiTheme="minorHAnsi" w:hAnsiTheme="minorHAnsi" w:cstheme="minorBidi"/>
            <w:color w:val="2F5496" w:themeColor="accent1" w:themeShade="BF"/>
          </w:rPr>
          <w:fldChar w:fldCharType="begin"/>
        </w:r>
        <w:r w:rsidRPr="69EF05C4">
          <w:rPr>
            <w:rStyle w:val="PageNumber"/>
            <w:rFonts w:asciiTheme="minorHAnsi" w:hAnsiTheme="minorHAnsi" w:cstheme="minorBidi"/>
            <w:color w:val="2F5496" w:themeColor="accent1" w:themeShade="BF"/>
          </w:rPr>
          <w:instrText xml:space="preserve"> PAGE </w:instrText>
        </w:r>
        <w:r w:rsidRPr="69EF05C4">
          <w:rPr>
            <w:rStyle w:val="PageNumber"/>
            <w:rFonts w:asciiTheme="minorHAnsi" w:hAnsiTheme="minorHAnsi" w:cstheme="minorBidi"/>
            <w:color w:val="2F5496" w:themeColor="accent1" w:themeShade="BF"/>
          </w:rPr>
          <w:fldChar w:fldCharType="separate"/>
        </w:r>
        <w:r w:rsidRPr="69EF05C4">
          <w:rPr>
            <w:rStyle w:val="PageNumber"/>
            <w:rFonts w:asciiTheme="minorHAnsi" w:hAnsiTheme="minorHAnsi" w:cstheme="minorBidi"/>
            <w:color w:val="2F5496" w:themeColor="accent1" w:themeShade="BF"/>
          </w:rPr>
          <w:t>1</w:t>
        </w:r>
        <w:r w:rsidRPr="69EF05C4">
          <w:rPr>
            <w:rStyle w:val="PageNumber"/>
            <w:rFonts w:asciiTheme="minorHAnsi" w:hAnsiTheme="minorHAnsi" w:cstheme="minorBidi"/>
            <w:color w:val="2F5496" w:themeColor="accent1" w:themeShade="BF"/>
          </w:rPr>
          <w:fldChar w:fldCharType="end"/>
        </w:r>
      </w:p>
    </w:sdtContent>
  </w:sdt>
  <w:p w14:paraId="6EEF580F" w14:textId="787CFA64" w:rsidR="00532791" w:rsidRDefault="00532791" w:rsidP="00821A95">
    <w:pPr>
      <w:pStyle w:val="Footer"/>
      <w:ind w:right="360"/>
      <w:rPr>
        <w:rFonts w:ascii="Calibri" w:hAnsi="Calibri" w:cs="Calibri"/>
        <w:i/>
        <w:iCs/>
        <w:color w:val="2F5496" w:themeColor="accent1" w:themeShade="BF"/>
        <w:sz w:val="20"/>
        <w:szCs w:val="20"/>
      </w:rPr>
    </w:pPr>
  </w:p>
  <w:p w14:paraId="5C98FEAC" w14:textId="50EDB236" w:rsidR="00CF47FE" w:rsidRPr="00337B5E" w:rsidRDefault="00CF47FE" w:rsidP="00821A95">
    <w:pPr>
      <w:pStyle w:val="Footer"/>
      <w:ind w:right="360"/>
      <w:rPr>
        <w:rFonts w:ascii="Calibri" w:hAnsi="Calibri" w:cs="Calibri"/>
        <w:i/>
        <w:iCs/>
        <w:color w:val="2F5496" w:themeColor="accent1" w:themeShade="BF"/>
        <w:sz w:val="20"/>
        <w:szCs w:val="20"/>
      </w:rPr>
    </w:pPr>
    <w:r w:rsidRPr="00337B5E">
      <w:rPr>
        <w:rFonts w:ascii="Calibri" w:hAnsi="Calibri" w:cs="Calibri"/>
        <w:i/>
        <w:iCs/>
        <w:noProof/>
        <w:color w:val="4472C4" w:themeColor="accent1"/>
        <w:sz w:val="20"/>
        <w:szCs w:val="20"/>
      </w:rPr>
      <mc:AlternateContent>
        <mc:Choice Requires="wps">
          <w:drawing>
            <wp:anchor distT="0" distB="0" distL="114300" distR="114300" simplePos="0" relativeHeight="251658245" behindDoc="0" locked="0" layoutInCell="1" allowOverlap="1" wp14:anchorId="746F056A" wp14:editId="1A9D8B53">
              <wp:simplePos x="0" y="0"/>
              <wp:positionH relativeFrom="column">
                <wp:posOffset>-925975</wp:posOffset>
              </wp:positionH>
              <wp:positionV relativeFrom="paragraph">
                <wp:posOffset>-185468</wp:posOffset>
              </wp:positionV>
              <wp:extent cx="7563574" cy="0"/>
              <wp:effectExtent l="0" t="0" r="5715" b="12700"/>
              <wp:wrapNone/>
              <wp:docPr id="140" name="Straight Connector 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357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52269F" id="Straight Connector 140"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4.6pt" to="52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" strokecolor="#4472c4 [3204]" strokeweight="1pt">
              <v:stroke joinstyle="miter"/>
            </v:line>
          </w:pict>
        </mc:Fallback>
      </mc:AlternateContent>
    </w:r>
    <w:r w:rsidRPr="00CF47FE">
      <w:rPr>
        <w:rFonts w:ascii="Calibri" w:hAnsi="Calibri" w:cs="Calibri"/>
        <w:i/>
        <w:iCs/>
        <w:color w:val="2F5496" w:themeColor="accent1" w:themeShade="BF"/>
        <w:sz w:val="20"/>
        <w:szCs w:val="20"/>
      </w:rPr>
      <w:t>What works, what’s fair?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color w:val="2F5496" w:themeColor="accent1" w:themeShade="BF"/>
      </w:rPr>
      <w:id w:val="821246717"/>
      <w:docPartObj>
        <w:docPartGallery w:val="Page Numbers (Bottom of Page)"/>
        <w:docPartUnique/>
      </w:docPartObj>
    </w:sdtPr>
    <w:sdtEndPr>
      <w:rPr>
        <w:rStyle w:val="PageNumber"/>
      </w:rPr>
    </w:sdtEndPr>
    <w:sdtContent>
      <w:p w14:paraId="552E1D90" w14:textId="13A99646" w:rsidR="00821A95" w:rsidRPr="00F97B69" w:rsidRDefault="00821A95" w:rsidP="004A1624">
        <w:pPr>
          <w:pStyle w:val="Footer"/>
          <w:framePr w:wrap="none" w:vAnchor="text" w:hAnchor="margin" w:xAlign="right" w:y="1"/>
          <w:rPr>
            <w:rStyle w:val="PageNumber"/>
            <w:rFonts w:asciiTheme="minorHAnsi" w:hAnsiTheme="minorHAnsi" w:cstheme="minorHAnsi"/>
            <w:color w:val="2F5496" w:themeColor="accent1" w:themeShade="BF"/>
          </w:rPr>
        </w:pPr>
        <w:r w:rsidRPr="00F97B69">
          <w:rPr>
            <w:rStyle w:val="PageNumber"/>
            <w:rFonts w:asciiTheme="minorHAnsi" w:hAnsiTheme="minorHAnsi" w:cstheme="minorHAnsi"/>
            <w:color w:val="2F5496" w:themeColor="accent1" w:themeShade="BF"/>
          </w:rPr>
          <w:fldChar w:fldCharType="begin"/>
        </w:r>
        <w:r w:rsidRPr="00F97B69">
          <w:rPr>
            <w:rStyle w:val="PageNumber"/>
            <w:rFonts w:asciiTheme="minorHAnsi" w:hAnsiTheme="minorHAnsi" w:cstheme="minorHAnsi"/>
            <w:color w:val="2F5496" w:themeColor="accent1" w:themeShade="BF"/>
          </w:rPr>
          <w:instrText xml:space="preserve"> PAGE </w:instrText>
        </w:r>
        <w:r w:rsidRPr="00F97B69">
          <w:rPr>
            <w:rStyle w:val="PageNumber"/>
            <w:rFonts w:asciiTheme="minorHAnsi" w:hAnsiTheme="minorHAnsi" w:cstheme="minorHAnsi"/>
            <w:color w:val="2F5496" w:themeColor="accent1" w:themeShade="BF"/>
          </w:rPr>
          <w:fldChar w:fldCharType="separate"/>
        </w:r>
        <w:r w:rsidRPr="00F97B69">
          <w:rPr>
            <w:rStyle w:val="PageNumber"/>
            <w:rFonts w:asciiTheme="minorHAnsi" w:hAnsiTheme="minorHAnsi" w:cstheme="minorHAnsi"/>
            <w:noProof/>
            <w:color w:val="2F5496" w:themeColor="accent1" w:themeShade="BF"/>
          </w:rPr>
          <w:t>1</w:t>
        </w:r>
        <w:r w:rsidRPr="00F97B69">
          <w:rPr>
            <w:rStyle w:val="PageNumber"/>
            <w:rFonts w:asciiTheme="minorHAnsi" w:hAnsiTheme="minorHAnsi" w:cstheme="minorHAnsi"/>
            <w:color w:val="2F5496" w:themeColor="accent1" w:themeShade="BF"/>
          </w:rPr>
          <w:fldChar w:fldCharType="end"/>
        </w:r>
      </w:p>
    </w:sdtContent>
  </w:sdt>
  <w:p w14:paraId="1BB3A0D7" w14:textId="2FD30D04" w:rsidR="00821A95" w:rsidRPr="00337B5E" w:rsidRDefault="00F97B69" w:rsidP="00821A95">
    <w:pPr>
      <w:pStyle w:val="Footer"/>
      <w:ind w:right="360"/>
      <w:rPr>
        <w:rFonts w:ascii="Calibri" w:hAnsi="Calibri" w:cs="Calibri"/>
        <w:i/>
        <w:iCs/>
        <w:color w:val="2F5496" w:themeColor="accent1" w:themeShade="BF"/>
        <w:sz w:val="20"/>
        <w:szCs w:val="20"/>
      </w:rPr>
    </w:pPr>
    <w:r w:rsidRPr="00337B5E">
      <w:rPr>
        <w:rFonts w:ascii="Calibri" w:hAnsi="Calibri" w:cs="Calibri"/>
        <w:i/>
        <w:iCs/>
        <w:noProof/>
        <w:color w:val="4472C4" w:themeColor="accent1"/>
        <w:sz w:val="20"/>
        <w:szCs w:val="20"/>
      </w:rPr>
      <mc:AlternateContent>
        <mc:Choice Requires="wps">
          <w:drawing>
            <wp:anchor distT="0" distB="0" distL="114300" distR="114300" simplePos="0" relativeHeight="251658247" behindDoc="0" locked="0" layoutInCell="1" allowOverlap="1" wp14:anchorId="55C326AE" wp14:editId="7A99F369">
              <wp:simplePos x="0" y="0"/>
              <wp:positionH relativeFrom="column">
                <wp:posOffset>-925975</wp:posOffset>
              </wp:positionH>
              <wp:positionV relativeFrom="paragraph">
                <wp:posOffset>-185468</wp:posOffset>
              </wp:positionV>
              <wp:extent cx="7563574" cy="0"/>
              <wp:effectExtent l="0" t="0" r="5715" b="127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357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F21008" id="Straight Connector 2" o:spid="_x0000_s1026" alt="&quot;&quot;"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4.6pt" to="52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" strokecolor="#4472c4 [3204]" strokeweight="1pt">
              <v:stroke joinstyle="miter"/>
            </v:line>
          </w:pict>
        </mc:Fallback>
      </mc:AlternateContent>
    </w:r>
    <w:r w:rsidR="00374EE4" w:rsidRPr="00374EE4">
      <w:t xml:space="preserve"> </w:t>
    </w:r>
    <w:r w:rsidR="005021D9" w:rsidRPr="005021D9">
      <w:rPr>
        <w:rFonts w:ascii="Calibri" w:hAnsi="Calibri" w:cs="Calibri"/>
        <w:i/>
        <w:iCs/>
        <w:color w:val="2F5496" w:themeColor="accent1" w:themeShade="BF"/>
        <w:sz w:val="20"/>
        <w:szCs w:val="20"/>
      </w:rPr>
      <w:t>What works, what’s fair?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80BE" w14:textId="77777777" w:rsidR="00286015" w:rsidRDefault="002860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color w:val="2F5496" w:themeColor="accent1" w:themeShade="BF"/>
      </w:rPr>
      <w:id w:val="1138692944"/>
      <w:docPartObj>
        <w:docPartGallery w:val="Page Numbers (Bottom of Page)"/>
        <w:docPartUnique/>
      </w:docPartObj>
    </w:sdtPr>
    <w:sdtEndPr>
      <w:rPr>
        <w:rStyle w:val="PageNumber"/>
      </w:rPr>
    </w:sdtEndPr>
    <w:sdtContent>
      <w:p w14:paraId="0FF66E3E" w14:textId="77777777" w:rsidR="005021D9" w:rsidRPr="00F97B69" w:rsidRDefault="005021D9" w:rsidP="004A1624">
        <w:pPr>
          <w:pStyle w:val="Footer"/>
          <w:framePr w:wrap="none" w:vAnchor="text" w:hAnchor="margin" w:xAlign="right" w:y="1"/>
          <w:rPr>
            <w:rStyle w:val="PageNumber"/>
            <w:rFonts w:asciiTheme="minorHAnsi" w:hAnsiTheme="minorHAnsi" w:cstheme="minorHAnsi"/>
            <w:color w:val="2F5496" w:themeColor="accent1" w:themeShade="BF"/>
          </w:rPr>
        </w:pPr>
        <w:r w:rsidRPr="00F97B69">
          <w:rPr>
            <w:rStyle w:val="PageNumber"/>
            <w:rFonts w:asciiTheme="minorHAnsi" w:hAnsiTheme="minorHAnsi" w:cstheme="minorHAnsi"/>
            <w:color w:val="2F5496" w:themeColor="accent1" w:themeShade="BF"/>
          </w:rPr>
          <w:fldChar w:fldCharType="begin"/>
        </w:r>
        <w:r w:rsidRPr="00F97B69">
          <w:rPr>
            <w:rStyle w:val="PageNumber"/>
            <w:rFonts w:asciiTheme="minorHAnsi" w:hAnsiTheme="minorHAnsi" w:cstheme="minorHAnsi"/>
            <w:color w:val="2F5496" w:themeColor="accent1" w:themeShade="BF"/>
          </w:rPr>
          <w:instrText xml:space="preserve"> PAGE </w:instrText>
        </w:r>
        <w:r w:rsidRPr="00F97B69">
          <w:rPr>
            <w:rStyle w:val="PageNumber"/>
            <w:rFonts w:asciiTheme="minorHAnsi" w:hAnsiTheme="minorHAnsi" w:cstheme="minorHAnsi"/>
            <w:color w:val="2F5496" w:themeColor="accent1" w:themeShade="BF"/>
          </w:rPr>
          <w:fldChar w:fldCharType="separate"/>
        </w:r>
        <w:r w:rsidRPr="00F97B69">
          <w:rPr>
            <w:rStyle w:val="PageNumber"/>
            <w:rFonts w:asciiTheme="minorHAnsi" w:hAnsiTheme="minorHAnsi" w:cstheme="minorHAnsi"/>
            <w:noProof/>
            <w:color w:val="2F5496" w:themeColor="accent1" w:themeShade="BF"/>
          </w:rPr>
          <w:t>1</w:t>
        </w:r>
        <w:r w:rsidRPr="00F97B69">
          <w:rPr>
            <w:rStyle w:val="PageNumber"/>
            <w:rFonts w:asciiTheme="minorHAnsi" w:hAnsiTheme="minorHAnsi" w:cstheme="minorHAnsi"/>
            <w:color w:val="2F5496" w:themeColor="accent1" w:themeShade="BF"/>
          </w:rPr>
          <w:fldChar w:fldCharType="end"/>
        </w:r>
      </w:p>
    </w:sdtContent>
  </w:sdt>
  <w:p w14:paraId="7BEFEFA6" w14:textId="56D22AF3" w:rsidR="005021D9" w:rsidRPr="00337B5E" w:rsidRDefault="005021D9" w:rsidP="00821A95">
    <w:pPr>
      <w:pStyle w:val="Footer"/>
      <w:ind w:right="360"/>
      <w:rPr>
        <w:rFonts w:ascii="Calibri" w:hAnsi="Calibri" w:cs="Calibri"/>
        <w:i/>
        <w:iCs/>
        <w:color w:val="2F5496" w:themeColor="accent1" w:themeShade="BF"/>
        <w:sz w:val="20"/>
        <w:szCs w:val="20"/>
      </w:rPr>
    </w:pPr>
    <w:r w:rsidRPr="00337B5E">
      <w:rPr>
        <w:rFonts w:ascii="Calibri" w:hAnsi="Calibri" w:cs="Calibri"/>
        <w:i/>
        <w:iCs/>
        <w:noProof/>
        <w:color w:val="4472C4" w:themeColor="accent1"/>
        <w:sz w:val="20"/>
        <w:szCs w:val="20"/>
      </w:rPr>
      <mc:AlternateContent>
        <mc:Choice Requires="wps">
          <w:drawing>
            <wp:anchor distT="0" distB="0" distL="114300" distR="114300" simplePos="0" relativeHeight="251658244" behindDoc="0" locked="0" layoutInCell="1" allowOverlap="1" wp14:anchorId="3EC9BD2C" wp14:editId="648B9BC8">
              <wp:simplePos x="0" y="0"/>
              <wp:positionH relativeFrom="column">
                <wp:posOffset>-925975</wp:posOffset>
              </wp:positionH>
              <wp:positionV relativeFrom="paragraph">
                <wp:posOffset>-185468</wp:posOffset>
              </wp:positionV>
              <wp:extent cx="7563574" cy="0"/>
              <wp:effectExtent l="0" t="0" r="5715" b="12700"/>
              <wp:wrapNone/>
              <wp:docPr id="138" name="Straight Connector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357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5C2796" id="Straight Connector 138" o:spid="_x0000_s1026" alt="&quot;&quot;"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4.6pt" to="52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" strokecolor="#4472c4 [3204]" strokeweight="1pt">
              <v:stroke joinstyle="miter"/>
            </v:line>
          </w:pict>
        </mc:Fallback>
      </mc:AlternateContent>
    </w:r>
    <w:r w:rsidRPr="00374EE4">
      <w:t xml:space="preserve"> </w:t>
    </w:r>
    <w:r w:rsidRPr="005021D9">
      <w:rPr>
        <w:rFonts w:ascii="Calibri" w:hAnsi="Calibri" w:cs="Calibri"/>
        <w:i/>
        <w:iCs/>
        <w:color w:val="2F5496" w:themeColor="accent1" w:themeShade="BF"/>
        <w:sz w:val="20"/>
        <w:szCs w:val="20"/>
      </w:rPr>
      <w:t>Framing Gender Equality Positive Actions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7F62" w14:textId="37C6040A" w:rsidR="005021D9" w:rsidRDefault="005021D9">
    <w:pPr>
      <w:pStyle w:val="Footer"/>
    </w:pPr>
    <w:r w:rsidRPr="005021D9">
      <w:t>Framing Gender Equality Positive Actions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color w:val="2F5496" w:themeColor="accent1" w:themeShade="BF"/>
      </w:rPr>
      <w:id w:val="900565141"/>
      <w:docPartObj>
        <w:docPartGallery w:val="Page Numbers (Bottom of Page)"/>
        <w:docPartUnique/>
      </w:docPartObj>
    </w:sdtPr>
    <w:sdtEndPr>
      <w:rPr>
        <w:rStyle w:val="PageNumber"/>
      </w:rPr>
    </w:sdtEndPr>
    <w:sdtContent>
      <w:p w14:paraId="0A4A65ED" w14:textId="77777777" w:rsidR="00875BED" w:rsidRPr="00F97B69" w:rsidRDefault="00875BED" w:rsidP="004A1624">
        <w:pPr>
          <w:pStyle w:val="Footer"/>
          <w:framePr w:wrap="none" w:vAnchor="text" w:hAnchor="margin" w:xAlign="right" w:y="1"/>
          <w:rPr>
            <w:rStyle w:val="PageNumber"/>
            <w:rFonts w:asciiTheme="minorHAnsi" w:hAnsiTheme="minorHAnsi" w:cstheme="minorHAnsi"/>
            <w:color w:val="2F5496" w:themeColor="accent1" w:themeShade="BF"/>
          </w:rPr>
        </w:pPr>
        <w:r w:rsidRPr="00F97B69">
          <w:rPr>
            <w:rStyle w:val="PageNumber"/>
            <w:rFonts w:asciiTheme="minorHAnsi" w:hAnsiTheme="minorHAnsi" w:cstheme="minorHAnsi"/>
            <w:color w:val="2F5496" w:themeColor="accent1" w:themeShade="BF"/>
          </w:rPr>
          <w:fldChar w:fldCharType="begin"/>
        </w:r>
        <w:r w:rsidRPr="00F97B69">
          <w:rPr>
            <w:rStyle w:val="PageNumber"/>
            <w:rFonts w:asciiTheme="minorHAnsi" w:hAnsiTheme="minorHAnsi" w:cstheme="minorHAnsi"/>
            <w:color w:val="2F5496" w:themeColor="accent1" w:themeShade="BF"/>
          </w:rPr>
          <w:instrText xml:space="preserve"> PAGE </w:instrText>
        </w:r>
        <w:r w:rsidRPr="00F97B69">
          <w:rPr>
            <w:rStyle w:val="PageNumber"/>
            <w:rFonts w:asciiTheme="minorHAnsi" w:hAnsiTheme="minorHAnsi" w:cstheme="minorHAnsi"/>
            <w:color w:val="2F5496" w:themeColor="accent1" w:themeShade="BF"/>
          </w:rPr>
          <w:fldChar w:fldCharType="separate"/>
        </w:r>
        <w:r w:rsidRPr="00F97B69">
          <w:rPr>
            <w:rStyle w:val="PageNumber"/>
            <w:rFonts w:asciiTheme="minorHAnsi" w:hAnsiTheme="minorHAnsi" w:cstheme="minorHAnsi"/>
            <w:noProof/>
            <w:color w:val="2F5496" w:themeColor="accent1" w:themeShade="BF"/>
          </w:rPr>
          <w:t>1</w:t>
        </w:r>
        <w:r w:rsidRPr="00F97B69">
          <w:rPr>
            <w:rStyle w:val="PageNumber"/>
            <w:rFonts w:asciiTheme="minorHAnsi" w:hAnsiTheme="minorHAnsi" w:cstheme="minorHAnsi"/>
            <w:color w:val="2F5496" w:themeColor="accent1" w:themeShade="BF"/>
          </w:rPr>
          <w:fldChar w:fldCharType="end"/>
        </w:r>
      </w:p>
    </w:sdtContent>
  </w:sdt>
  <w:p w14:paraId="6334F65C" w14:textId="63B3F0BA" w:rsidR="00875BED" w:rsidRPr="00337B5E" w:rsidRDefault="00875BED" w:rsidP="00821A95">
    <w:pPr>
      <w:pStyle w:val="Footer"/>
      <w:ind w:right="360"/>
      <w:rPr>
        <w:rFonts w:ascii="Calibri" w:hAnsi="Calibri" w:cs="Calibri"/>
        <w:i/>
        <w:iCs/>
        <w:color w:val="2F5496" w:themeColor="accent1" w:themeShade="BF"/>
        <w:sz w:val="20"/>
        <w:szCs w:val="20"/>
      </w:rPr>
    </w:pPr>
    <w:r w:rsidRPr="00337B5E">
      <w:rPr>
        <w:rFonts w:ascii="Calibri" w:hAnsi="Calibri" w:cs="Calibri"/>
        <w:i/>
        <w:iCs/>
        <w:noProof/>
        <w:color w:val="4472C4" w:themeColor="accent1"/>
        <w:sz w:val="20"/>
        <w:szCs w:val="20"/>
      </w:rPr>
      <mc:AlternateContent>
        <mc:Choice Requires="wps">
          <w:drawing>
            <wp:anchor distT="0" distB="0" distL="114300" distR="114300" simplePos="0" relativeHeight="251658240" behindDoc="0" locked="0" layoutInCell="1" allowOverlap="1" wp14:anchorId="01DC0948" wp14:editId="7CEE766B">
              <wp:simplePos x="0" y="0"/>
              <wp:positionH relativeFrom="column">
                <wp:posOffset>-925975</wp:posOffset>
              </wp:positionH>
              <wp:positionV relativeFrom="paragraph">
                <wp:posOffset>-185468</wp:posOffset>
              </wp:positionV>
              <wp:extent cx="7563574" cy="0"/>
              <wp:effectExtent l="0" t="0" r="571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357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AF23FC" id="Straight Connector 3"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4.6pt" to="52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" strokecolor="#4472c4 [3204]" strokeweight="1pt">
              <v:stroke joinstyle="miter"/>
            </v:line>
          </w:pict>
        </mc:Fallback>
      </mc:AlternateContent>
    </w:r>
    <w:r w:rsidRPr="00374EE4">
      <w:t xml:space="preserve"> </w:t>
    </w:r>
    <w:r w:rsidR="00837733" w:rsidRPr="00837733">
      <w:rPr>
        <w:rFonts w:ascii="Calibri" w:hAnsi="Calibri" w:cs="Calibri"/>
        <w:i/>
        <w:iCs/>
        <w:color w:val="2F5496" w:themeColor="accent1" w:themeShade="BF"/>
        <w:sz w:val="20"/>
        <w:szCs w:val="20"/>
      </w:rPr>
      <w:t>Using Anonymous Application Procedures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color w:val="2F5496" w:themeColor="accent1" w:themeShade="BF"/>
      </w:rPr>
      <w:id w:val="-941911181"/>
      <w:docPartObj>
        <w:docPartGallery w:val="Page Numbers (Bottom of Page)"/>
        <w:docPartUnique/>
      </w:docPartObj>
    </w:sdtPr>
    <w:sdtEndPr>
      <w:rPr>
        <w:rStyle w:val="PageNumber"/>
      </w:rPr>
    </w:sdtEndPr>
    <w:sdtContent>
      <w:p w14:paraId="7DF4A54B" w14:textId="77777777" w:rsidR="004011EB" w:rsidRPr="00F97B69" w:rsidRDefault="004011EB" w:rsidP="004A1624">
        <w:pPr>
          <w:pStyle w:val="Footer"/>
          <w:framePr w:wrap="none" w:vAnchor="text" w:hAnchor="margin" w:xAlign="right" w:y="1"/>
          <w:rPr>
            <w:rStyle w:val="PageNumber"/>
            <w:rFonts w:asciiTheme="minorHAnsi" w:hAnsiTheme="minorHAnsi" w:cstheme="minorHAnsi"/>
            <w:color w:val="2F5496" w:themeColor="accent1" w:themeShade="BF"/>
          </w:rPr>
        </w:pPr>
        <w:r w:rsidRPr="00F97B69">
          <w:rPr>
            <w:rStyle w:val="PageNumber"/>
            <w:rFonts w:asciiTheme="minorHAnsi" w:hAnsiTheme="minorHAnsi" w:cstheme="minorHAnsi"/>
            <w:color w:val="2F5496" w:themeColor="accent1" w:themeShade="BF"/>
          </w:rPr>
          <w:fldChar w:fldCharType="begin"/>
        </w:r>
        <w:r w:rsidRPr="00F97B69">
          <w:rPr>
            <w:rStyle w:val="PageNumber"/>
            <w:rFonts w:asciiTheme="minorHAnsi" w:hAnsiTheme="minorHAnsi" w:cstheme="minorHAnsi"/>
            <w:color w:val="2F5496" w:themeColor="accent1" w:themeShade="BF"/>
          </w:rPr>
          <w:instrText xml:space="preserve"> PAGE </w:instrText>
        </w:r>
        <w:r w:rsidRPr="00F97B69">
          <w:rPr>
            <w:rStyle w:val="PageNumber"/>
            <w:rFonts w:asciiTheme="minorHAnsi" w:hAnsiTheme="minorHAnsi" w:cstheme="minorHAnsi"/>
            <w:color w:val="2F5496" w:themeColor="accent1" w:themeShade="BF"/>
          </w:rPr>
          <w:fldChar w:fldCharType="separate"/>
        </w:r>
        <w:r w:rsidRPr="00F97B69">
          <w:rPr>
            <w:rStyle w:val="PageNumber"/>
            <w:rFonts w:asciiTheme="minorHAnsi" w:hAnsiTheme="minorHAnsi" w:cstheme="minorHAnsi"/>
            <w:noProof/>
            <w:color w:val="2F5496" w:themeColor="accent1" w:themeShade="BF"/>
          </w:rPr>
          <w:t>1</w:t>
        </w:r>
        <w:r w:rsidRPr="00F97B69">
          <w:rPr>
            <w:rStyle w:val="PageNumber"/>
            <w:rFonts w:asciiTheme="minorHAnsi" w:hAnsiTheme="minorHAnsi" w:cstheme="minorHAnsi"/>
            <w:color w:val="2F5496" w:themeColor="accent1" w:themeShade="BF"/>
          </w:rPr>
          <w:fldChar w:fldCharType="end"/>
        </w:r>
      </w:p>
    </w:sdtContent>
  </w:sdt>
  <w:p w14:paraId="2D761F9D" w14:textId="18F38179" w:rsidR="004011EB" w:rsidRPr="00337B5E" w:rsidRDefault="004011EB" w:rsidP="00821A95">
    <w:pPr>
      <w:pStyle w:val="Footer"/>
      <w:ind w:right="360"/>
      <w:rPr>
        <w:rFonts w:ascii="Calibri" w:hAnsi="Calibri" w:cs="Calibri"/>
        <w:i/>
        <w:iCs/>
        <w:color w:val="2F5496" w:themeColor="accent1" w:themeShade="BF"/>
        <w:sz w:val="20"/>
        <w:szCs w:val="20"/>
      </w:rPr>
    </w:pPr>
    <w:r w:rsidRPr="00337B5E">
      <w:rPr>
        <w:rFonts w:ascii="Calibri" w:hAnsi="Calibri" w:cs="Calibri"/>
        <w:i/>
        <w:iCs/>
        <w:noProof/>
        <w:color w:val="4472C4" w:themeColor="accent1"/>
        <w:sz w:val="20"/>
        <w:szCs w:val="20"/>
      </w:rPr>
      <mc:AlternateContent>
        <mc:Choice Requires="wps">
          <w:drawing>
            <wp:anchor distT="0" distB="0" distL="114300" distR="114300" simplePos="0" relativeHeight="251658241" behindDoc="0" locked="0" layoutInCell="1" allowOverlap="1" wp14:anchorId="27A79D22" wp14:editId="705F0BB0">
              <wp:simplePos x="0" y="0"/>
              <wp:positionH relativeFrom="column">
                <wp:posOffset>-925975</wp:posOffset>
              </wp:positionH>
              <wp:positionV relativeFrom="paragraph">
                <wp:posOffset>-185468</wp:posOffset>
              </wp:positionV>
              <wp:extent cx="7563574" cy="0"/>
              <wp:effectExtent l="0" t="0" r="5715" b="1270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357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2DC6EC" id="Straight Connector 26"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4.6pt" to="52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" strokecolor="#4472c4 [3204]" strokeweight="1pt">
              <v:stroke joinstyle="miter"/>
            </v:line>
          </w:pict>
        </mc:Fallback>
      </mc:AlternateContent>
    </w:r>
    <w:r w:rsidRPr="00374EE4">
      <w:t xml:space="preserve"> </w:t>
    </w:r>
    <w:r w:rsidRPr="004011EB">
      <w:rPr>
        <w:rFonts w:ascii="Calibri" w:hAnsi="Calibri" w:cs="Calibri"/>
        <w:i/>
        <w:iCs/>
        <w:color w:val="2F5496" w:themeColor="accent1" w:themeShade="BF"/>
        <w:sz w:val="20"/>
        <w:szCs w:val="20"/>
      </w:rPr>
      <w:t>Men’s engagement with flexible work</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color w:val="2F5496" w:themeColor="accent1" w:themeShade="BF"/>
      </w:rPr>
      <w:id w:val="-1886013902"/>
      <w:docPartObj>
        <w:docPartGallery w:val="Page Numbers (Bottom of Page)"/>
        <w:docPartUnique/>
      </w:docPartObj>
    </w:sdtPr>
    <w:sdtEndPr>
      <w:rPr>
        <w:rStyle w:val="PageNumber"/>
      </w:rPr>
    </w:sdtEndPr>
    <w:sdtContent>
      <w:p w14:paraId="001EBBDE" w14:textId="77777777" w:rsidR="00945DA3" w:rsidRPr="00F97B69" w:rsidRDefault="00945DA3" w:rsidP="004A1624">
        <w:pPr>
          <w:pStyle w:val="Footer"/>
          <w:framePr w:wrap="none" w:vAnchor="text" w:hAnchor="margin" w:xAlign="right" w:y="1"/>
          <w:rPr>
            <w:rStyle w:val="PageNumber"/>
            <w:rFonts w:asciiTheme="minorHAnsi" w:hAnsiTheme="minorHAnsi" w:cstheme="minorHAnsi"/>
            <w:color w:val="2F5496" w:themeColor="accent1" w:themeShade="BF"/>
          </w:rPr>
        </w:pPr>
        <w:r w:rsidRPr="00F97B69">
          <w:rPr>
            <w:rStyle w:val="PageNumber"/>
            <w:rFonts w:asciiTheme="minorHAnsi" w:hAnsiTheme="minorHAnsi" w:cstheme="minorHAnsi"/>
            <w:color w:val="2F5496" w:themeColor="accent1" w:themeShade="BF"/>
          </w:rPr>
          <w:fldChar w:fldCharType="begin"/>
        </w:r>
        <w:r w:rsidRPr="00F97B69">
          <w:rPr>
            <w:rStyle w:val="PageNumber"/>
            <w:rFonts w:asciiTheme="minorHAnsi" w:hAnsiTheme="minorHAnsi" w:cstheme="minorHAnsi"/>
            <w:color w:val="2F5496" w:themeColor="accent1" w:themeShade="BF"/>
          </w:rPr>
          <w:instrText xml:space="preserve"> PAGE </w:instrText>
        </w:r>
        <w:r w:rsidRPr="00F97B69">
          <w:rPr>
            <w:rStyle w:val="PageNumber"/>
            <w:rFonts w:asciiTheme="minorHAnsi" w:hAnsiTheme="minorHAnsi" w:cstheme="minorHAnsi"/>
            <w:color w:val="2F5496" w:themeColor="accent1" w:themeShade="BF"/>
          </w:rPr>
          <w:fldChar w:fldCharType="separate"/>
        </w:r>
        <w:r w:rsidRPr="00F97B69">
          <w:rPr>
            <w:rStyle w:val="PageNumber"/>
            <w:rFonts w:asciiTheme="minorHAnsi" w:hAnsiTheme="minorHAnsi" w:cstheme="minorHAnsi"/>
            <w:noProof/>
            <w:color w:val="2F5496" w:themeColor="accent1" w:themeShade="BF"/>
          </w:rPr>
          <w:t>1</w:t>
        </w:r>
        <w:r w:rsidRPr="00F97B69">
          <w:rPr>
            <w:rStyle w:val="PageNumber"/>
            <w:rFonts w:asciiTheme="minorHAnsi" w:hAnsiTheme="minorHAnsi" w:cstheme="minorHAnsi"/>
            <w:color w:val="2F5496" w:themeColor="accent1" w:themeShade="BF"/>
          </w:rPr>
          <w:fldChar w:fldCharType="end"/>
        </w:r>
      </w:p>
    </w:sdtContent>
  </w:sdt>
  <w:p w14:paraId="3619F703" w14:textId="4DCAB768" w:rsidR="00945DA3" w:rsidRPr="00337B5E" w:rsidRDefault="00945DA3" w:rsidP="00821A95">
    <w:pPr>
      <w:pStyle w:val="Footer"/>
      <w:ind w:right="360"/>
      <w:rPr>
        <w:rFonts w:ascii="Calibri" w:hAnsi="Calibri" w:cs="Calibri"/>
        <w:i/>
        <w:iCs/>
        <w:color w:val="2F5496" w:themeColor="accent1" w:themeShade="BF"/>
        <w:sz w:val="20"/>
        <w:szCs w:val="20"/>
      </w:rPr>
    </w:pPr>
    <w:r w:rsidRPr="00337B5E">
      <w:rPr>
        <w:rFonts w:ascii="Calibri" w:hAnsi="Calibri" w:cs="Calibri"/>
        <w:i/>
        <w:iCs/>
        <w:noProof/>
        <w:color w:val="4472C4" w:themeColor="accent1"/>
        <w:sz w:val="20"/>
        <w:szCs w:val="20"/>
      </w:rPr>
      <mc:AlternateContent>
        <mc:Choice Requires="wps">
          <w:drawing>
            <wp:anchor distT="0" distB="0" distL="114300" distR="114300" simplePos="0" relativeHeight="251658242" behindDoc="0" locked="0" layoutInCell="1" allowOverlap="1" wp14:anchorId="1D25ECE2" wp14:editId="67AD0472">
              <wp:simplePos x="0" y="0"/>
              <wp:positionH relativeFrom="column">
                <wp:posOffset>-925975</wp:posOffset>
              </wp:positionH>
              <wp:positionV relativeFrom="paragraph">
                <wp:posOffset>-185468</wp:posOffset>
              </wp:positionV>
              <wp:extent cx="7563574" cy="0"/>
              <wp:effectExtent l="0" t="0" r="5715" b="12700"/>
              <wp:wrapNone/>
              <wp:docPr id="70" name="Straight Connector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357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ACEDF2" id="Straight Connector 70" o:spid="_x0000_s1026" alt="&quot;&quot;"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4.6pt" to="52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" strokecolor="#4472c4 [3204]" strokeweight="1pt">
              <v:stroke joinstyle="miter"/>
            </v:line>
          </w:pict>
        </mc:Fallback>
      </mc:AlternateContent>
    </w:r>
    <w:r w:rsidRPr="00374EE4">
      <w:t xml:space="preserve"> </w:t>
    </w:r>
    <w:r w:rsidRPr="00945DA3">
      <w:rPr>
        <w:rFonts w:ascii="Calibri" w:hAnsi="Calibri" w:cs="Calibri"/>
        <w:i/>
        <w:iCs/>
        <w:color w:val="2F5496" w:themeColor="accent1" w:themeShade="BF"/>
        <w:sz w:val="20"/>
        <w:szCs w:val="20"/>
      </w:rPr>
      <w:t>Addressing Public Sector Drivers of Sexual Harassment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color w:val="2F5496" w:themeColor="accent1" w:themeShade="BF"/>
      </w:rPr>
      <w:id w:val="-1824956715"/>
      <w:docPartObj>
        <w:docPartGallery w:val="Page Numbers (Bottom of Page)"/>
        <w:docPartUnique/>
      </w:docPartObj>
    </w:sdtPr>
    <w:sdtEndPr>
      <w:rPr>
        <w:rStyle w:val="PageNumber"/>
      </w:rPr>
    </w:sdtEndPr>
    <w:sdtContent>
      <w:p w14:paraId="2E7D91BA" w14:textId="77777777" w:rsidR="0093280F" w:rsidRPr="00F97B69" w:rsidRDefault="0093280F" w:rsidP="004A1624">
        <w:pPr>
          <w:pStyle w:val="Footer"/>
          <w:framePr w:wrap="none" w:vAnchor="text" w:hAnchor="margin" w:xAlign="right" w:y="1"/>
          <w:rPr>
            <w:rStyle w:val="PageNumber"/>
            <w:rFonts w:asciiTheme="minorHAnsi" w:hAnsiTheme="minorHAnsi" w:cstheme="minorHAnsi"/>
            <w:color w:val="2F5496" w:themeColor="accent1" w:themeShade="BF"/>
          </w:rPr>
        </w:pPr>
        <w:r w:rsidRPr="00F97B69">
          <w:rPr>
            <w:rStyle w:val="PageNumber"/>
            <w:rFonts w:asciiTheme="minorHAnsi" w:hAnsiTheme="minorHAnsi" w:cstheme="minorHAnsi"/>
            <w:color w:val="2F5496" w:themeColor="accent1" w:themeShade="BF"/>
          </w:rPr>
          <w:fldChar w:fldCharType="begin"/>
        </w:r>
        <w:r w:rsidRPr="00F97B69">
          <w:rPr>
            <w:rStyle w:val="PageNumber"/>
            <w:rFonts w:asciiTheme="minorHAnsi" w:hAnsiTheme="minorHAnsi" w:cstheme="minorHAnsi"/>
            <w:color w:val="2F5496" w:themeColor="accent1" w:themeShade="BF"/>
          </w:rPr>
          <w:instrText xml:space="preserve"> PAGE </w:instrText>
        </w:r>
        <w:r w:rsidRPr="00F97B69">
          <w:rPr>
            <w:rStyle w:val="PageNumber"/>
            <w:rFonts w:asciiTheme="minorHAnsi" w:hAnsiTheme="minorHAnsi" w:cstheme="minorHAnsi"/>
            <w:color w:val="2F5496" w:themeColor="accent1" w:themeShade="BF"/>
          </w:rPr>
          <w:fldChar w:fldCharType="separate"/>
        </w:r>
        <w:r w:rsidRPr="00F97B69">
          <w:rPr>
            <w:rStyle w:val="PageNumber"/>
            <w:rFonts w:asciiTheme="minorHAnsi" w:hAnsiTheme="minorHAnsi" w:cstheme="minorHAnsi"/>
            <w:noProof/>
            <w:color w:val="2F5496" w:themeColor="accent1" w:themeShade="BF"/>
          </w:rPr>
          <w:t>1</w:t>
        </w:r>
        <w:r w:rsidRPr="00F97B69">
          <w:rPr>
            <w:rStyle w:val="PageNumber"/>
            <w:rFonts w:asciiTheme="minorHAnsi" w:hAnsiTheme="minorHAnsi" w:cstheme="minorHAnsi"/>
            <w:color w:val="2F5496" w:themeColor="accent1" w:themeShade="BF"/>
          </w:rPr>
          <w:fldChar w:fldCharType="end"/>
        </w:r>
      </w:p>
    </w:sdtContent>
  </w:sdt>
  <w:p w14:paraId="224C4DE9" w14:textId="3A3A6B08" w:rsidR="0093280F" w:rsidRPr="00337B5E" w:rsidRDefault="0093280F" w:rsidP="00821A95">
    <w:pPr>
      <w:pStyle w:val="Footer"/>
      <w:ind w:right="360"/>
      <w:rPr>
        <w:rFonts w:ascii="Calibri" w:hAnsi="Calibri" w:cs="Calibri"/>
        <w:i/>
        <w:iCs/>
        <w:color w:val="2F5496" w:themeColor="accent1" w:themeShade="BF"/>
        <w:sz w:val="20"/>
        <w:szCs w:val="20"/>
      </w:rPr>
    </w:pPr>
    <w:r w:rsidRPr="00337B5E">
      <w:rPr>
        <w:rFonts w:ascii="Calibri" w:hAnsi="Calibri" w:cs="Calibri"/>
        <w:i/>
        <w:iCs/>
        <w:noProof/>
        <w:color w:val="4472C4" w:themeColor="accent1"/>
        <w:sz w:val="20"/>
        <w:szCs w:val="20"/>
      </w:rPr>
      <mc:AlternateContent>
        <mc:Choice Requires="wps">
          <w:drawing>
            <wp:anchor distT="0" distB="0" distL="114300" distR="114300" simplePos="0" relativeHeight="251658243" behindDoc="0" locked="0" layoutInCell="1" allowOverlap="1" wp14:anchorId="6455A61B" wp14:editId="0938F861">
              <wp:simplePos x="0" y="0"/>
              <wp:positionH relativeFrom="column">
                <wp:posOffset>-925975</wp:posOffset>
              </wp:positionH>
              <wp:positionV relativeFrom="paragraph">
                <wp:posOffset>-185468</wp:posOffset>
              </wp:positionV>
              <wp:extent cx="7563574" cy="0"/>
              <wp:effectExtent l="0" t="0" r="5715" b="12700"/>
              <wp:wrapNone/>
              <wp:docPr id="72" name="Straight Connector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357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D2345C" id="Straight Connector 72" o:spid="_x0000_s1026" alt="&quot;&quot;"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4.6pt" to="52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" strokecolor="#4472c4 [3204]" strokeweight="1pt">
              <v:stroke joinstyle="miter"/>
            </v:line>
          </w:pict>
        </mc:Fallback>
      </mc:AlternateContent>
    </w:r>
    <w:r w:rsidRPr="00374EE4">
      <w:t xml:space="preserve"> </w:t>
    </w:r>
    <w:r w:rsidRPr="0093280F">
      <w:rPr>
        <w:rFonts w:ascii="Calibri" w:hAnsi="Calibri" w:cs="Calibri"/>
        <w:i/>
        <w:iCs/>
        <w:color w:val="2F5496" w:themeColor="accent1" w:themeShade="BF"/>
        <w:sz w:val="20"/>
        <w:szCs w:val="20"/>
      </w:rPr>
      <w:t>Information-Based Approaches to Gender Pay Equity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988C8" w14:textId="77777777" w:rsidR="002947CD" w:rsidRDefault="002947CD" w:rsidP="00821A95">
      <w:r>
        <w:separator/>
      </w:r>
    </w:p>
  </w:footnote>
  <w:footnote w:type="continuationSeparator" w:id="0">
    <w:p w14:paraId="54DE4B98" w14:textId="77777777" w:rsidR="002947CD" w:rsidRDefault="002947CD" w:rsidP="00821A95">
      <w:r>
        <w:continuationSeparator/>
      </w:r>
    </w:p>
  </w:footnote>
  <w:footnote w:type="continuationNotice" w:id="1">
    <w:p w14:paraId="75F98F2E" w14:textId="77777777" w:rsidR="002947CD" w:rsidRDefault="002947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F8F9" w14:textId="0E17CA48" w:rsidR="000E58DA" w:rsidRDefault="00396649">
    <w:pPr>
      <w:pStyle w:val="Header"/>
    </w:pPr>
    <w:r>
      <w:rPr>
        <w:noProof/>
      </w:rPr>
      <mc:AlternateContent>
        <mc:Choice Requires="wps">
          <w:drawing>
            <wp:anchor distT="0" distB="0" distL="114300" distR="114300" simplePos="0" relativeHeight="251658246" behindDoc="1" locked="0" layoutInCell="0" allowOverlap="1" wp14:anchorId="7D004713" wp14:editId="6F85C9C1">
              <wp:simplePos x="0" y="0"/>
              <wp:positionH relativeFrom="margin">
                <wp:align>center</wp:align>
              </wp:positionH>
              <wp:positionV relativeFrom="margin">
                <wp:align>center</wp:align>
              </wp:positionV>
              <wp:extent cx="7345680" cy="734060"/>
              <wp:effectExtent l="0" t="0" r="0" b="0"/>
              <wp:wrapNone/>
              <wp:docPr id="30" name="PowerPlusWaterMarkObject95015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345680" cy="734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7A4912" w14:textId="77777777" w:rsidR="00396649" w:rsidRDefault="00396649" w:rsidP="00396649">
                          <w:pPr>
                            <w:jc w:val="center"/>
                            <w:rPr>
                              <w:rFonts w:ascii="Calibri" w:hAnsi="Calibri" w:cs="Calibri"/>
                              <w:color w:val="C0C0C0"/>
                              <w:sz w:val="72"/>
                              <w:szCs w:val="72"/>
                              <w:lang w:val="en-GB"/>
                              <w14:textFill>
                                <w14:solidFill>
                                  <w14:srgbClr w14:val="C0C0C0">
                                    <w14:alpha w14:val="66000"/>
                                  </w14:srgbClr>
                                </w14:solidFill>
                              </w14:textFill>
                            </w:rPr>
                          </w:pPr>
                          <w:r>
                            <w:rPr>
                              <w:rFonts w:ascii="Calibri" w:hAnsi="Calibri" w:cs="Calibri"/>
                              <w:color w:val="C0C0C0"/>
                              <w:sz w:val="72"/>
                              <w:szCs w:val="72"/>
                              <w:lang w:val="en-GB"/>
                              <w14:textFill>
                                <w14:solidFill>
                                  <w14:srgbClr w14:val="C0C0C0">
                                    <w14:alpha w14:val="66000"/>
                                  </w14:srgbClr>
                                </w14:solidFill>
                              </w14:textFill>
                            </w:rPr>
                            <w:t>NOT FOR DISTRIBUTION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004713" id="_x0000_t202" coordsize="21600,21600" o:spt="202" path="m,l,21600r21600,l21600,xe">
              <v:stroke joinstyle="miter"/>
              <v:path gradientshapeok="t" o:connecttype="rect"/>
            </v:shapetype>
            <v:shape id="PowerPlusWaterMarkObject95015068" o:spid="_x0000_s1026" type="#_x0000_t202" alt="&quot;&quot;" style="position:absolute;margin-left:0;margin-top:0;width:578.4pt;height:57.8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" o:allowincell="f" filled="f" stroked="f">
              <v:stroke joinstyle="round"/>
              <o:lock v:ext="edit" rotation="t" aspectratio="t" verticies="t" adjusthandles="t" grouping="t" shapetype="t"/>
              <v:textbox>
                <w:txbxContent>
                  <w:p w14:paraId="2D7A4912" w14:textId="77777777" w:rsidR="00396649" w:rsidRDefault="00396649" w:rsidP="00396649">
                    <w:pPr>
                      <w:jc w:val="center"/>
                      <w:rPr>
                        <w:rFonts w:ascii="Calibri" w:hAnsi="Calibri" w:cs="Calibri"/>
                        <w:color w:val="C0C0C0"/>
                        <w:sz w:val="72"/>
                        <w:szCs w:val="72"/>
                        <w:lang w:val="en-GB"/>
                        <w14:textFill>
                          <w14:solidFill>
                            <w14:srgbClr w14:val="C0C0C0">
                              <w14:alpha w14:val="66000"/>
                            </w14:srgbClr>
                          </w14:solidFill>
                        </w14:textFill>
                      </w:rPr>
                    </w:pPr>
                    <w:r>
                      <w:rPr>
                        <w:rFonts w:ascii="Calibri" w:hAnsi="Calibri" w:cs="Calibri"/>
                        <w:color w:val="C0C0C0"/>
                        <w:sz w:val="72"/>
                        <w:szCs w:val="72"/>
                        <w:lang w:val="en-GB"/>
                        <w14:textFill>
                          <w14:solidFill>
                            <w14:srgbClr w14:val="C0C0C0">
                              <w14:alpha w14:val="66000"/>
                            </w14:srgbClr>
                          </w14:solidFill>
                        </w14:textFill>
                      </w:rPr>
                      <w:t>NOT FOR DISTRIBUTION</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C0B5" w14:textId="557F3020" w:rsidR="00BD4629" w:rsidRDefault="00BD462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9502" w14:textId="0B661B76" w:rsidR="00BD4629" w:rsidRDefault="00BD462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D56D" w14:textId="77DF885C" w:rsidR="00BD4629" w:rsidRDefault="00BD462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04CB" w14:textId="739E598F" w:rsidR="00BD4629" w:rsidRDefault="00BD462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61C8" w14:textId="1CDEAF26" w:rsidR="00BD4629" w:rsidRDefault="00BD462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7054" w14:textId="67383D8E" w:rsidR="00BD4629" w:rsidRDefault="00BD462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56C5B" w14:textId="507820B0" w:rsidR="00BD4629" w:rsidRDefault="00BD462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0011" w14:textId="2B8ADD3A" w:rsidR="00BD4629" w:rsidRDefault="00BD462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6445" w14:textId="25F2035F" w:rsidR="00BD4629" w:rsidRDefault="00BD462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6454" w14:textId="37C17C17" w:rsidR="00BD4629" w:rsidRDefault="00BD46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9F4D" w14:textId="41B7EA6C" w:rsidR="003F2050" w:rsidRDefault="003F205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24C7" w14:textId="14C25DD1" w:rsidR="00BD4629" w:rsidRDefault="00BD462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BF7F" w14:textId="0955B305" w:rsidR="00BD4629" w:rsidRDefault="00BD462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6EC8" w14:textId="3377BBEF" w:rsidR="00BD4629" w:rsidRDefault="00BD462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736E" w14:textId="137183CA" w:rsidR="00BD4629" w:rsidRDefault="00BD462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FB58" w14:textId="7F95DE22" w:rsidR="00BD4629" w:rsidRDefault="00BD46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ED47" w14:textId="77777777" w:rsidR="00286015" w:rsidRDefault="002860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BC2A" w14:textId="3AC74D53" w:rsidR="00BD4629" w:rsidRDefault="00BD46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8F3B" w14:textId="0AEE46F7" w:rsidR="00BD4629" w:rsidRDefault="00BD46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8967E" w14:textId="47A908E6" w:rsidR="00BD4629" w:rsidRDefault="00BD46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4A2D" w14:textId="18729883" w:rsidR="00BD4629" w:rsidRDefault="00BD462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5A38" w14:textId="7F519574" w:rsidR="00BD4629" w:rsidRDefault="00BD46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6C32" w14:textId="72253517" w:rsidR="00BD4629" w:rsidRDefault="00BD46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320C"/>
    <w:multiLevelType w:val="hybridMultilevel"/>
    <w:tmpl w:val="487E675E"/>
    <w:lvl w:ilvl="0" w:tplc="08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 w15:restartNumberingAfterBreak="0">
    <w:nsid w:val="08EF6505"/>
    <w:multiLevelType w:val="hybridMultilevel"/>
    <w:tmpl w:val="6DAA8EC6"/>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F147AD"/>
    <w:multiLevelType w:val="hybridMultilevel"/>
    <w:tmpl w:val="191EFAE6"/>
    <w:lvl w:ilvl="0" w:tplc="FFFFFFFF">
      <w:start w:val="1"/>
      <w:numFmt w:val="bullet"/>
      <w:lvlText w:val="o"/>
      <w:lvlJc w:val="left"/>
      <w:pPr>
        <w:ind w:left="720" w:hanging="360"/>
      </w:pPr>
      <w:rPr>
        <w:rFonts w:ascii="Courier New" w:hAnsi="Courier New" w:cs="Courier New" w:hint="default"/>
      </w:rPr>
    </w:lvl>
    <w:lvl w:ilvl="1" w:tplc="0809001B">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1053CB"/>
    <w:multiLevelType w:val="multilevel"/>
    <w:tmpl w:val="B75612E6"/>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277316"/>
    <w:multiLevelType w:val="hybridMultilevel"/>
    <w:tmpl w:val="DC94A986"/>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477D34"/>
    <w:multiLevelType w:val="multilevel"/>
    <w:tmpl w:val="FD648F26"/>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2377A1"/>
    <w:multiLevelType w:val="multilevel"/>
    <w:tmpl w:val="E268370C"/>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1A7E1B76"/>
    <w:multiLevelType w:val="multilevel"/>
    <w:tmpl w:val="5216A74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C2859BE"/>
    <w:multiLevelType w:val="hybridMultilevel"/>
    <w:tmpl w:val="21B2EFFE"/>
    <w:lvl w:ilvl="0" w:tplc="08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D1395E"/>
    <w:multiLevelType w:val="multilevel"/>
    <w:tmpl w:val="460E0224"/>
    <w:lvl w:ilvl="0">
      <w:start w:val="1"/>
      <w:numFmt w:val="decimal"/>
      <w:lvlText w:val="%1."/>
      <w:lvlJc w:val="left"/>
      <w:pPr>
        <w:ind w:left="72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215B5BDF"/>
    <w:multiLevelType w:val="hybridMultilevel"/>
    <w:tmpl w:val="C004CADE"/>
    <w:lvl w:ilvl="0" w:tplc="CBEC99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3B78FE"/>
    <w:multiLevelType w:val="multilevel"/>
    <w:tmpl w:val="E268370C"/>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230A0023"/>
    <w:multiLevelType w:val="multilevel"/>
    <w:tmpl w:val="02B8978A"/>
    <w:styleLink w:val="CurrentList1"/>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25626824"/>
    <w:multiLevelType w:val="hybridMultilevel"/>
    <w:tmpl w:val="123850D6"/>
    <w:lvl w:ilvl="0" w:tplc="08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4D2172"/>
    <w:multiLevelType w:val="hybridMultilevel"/>
    <w:tmpl w:val="73E0D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805AFB"/>
    <w:multiLevelType w:val="hybridMultilevel"/>
    <w:tmpl w:val="3BC0A012"/>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096563"/>
    <w:multiLevelType w:val="hybridMultilevel"/>
    <w:tmpl w:val="C6625346"/>
    <w:lvl w:ilvl="0" w:tplc="08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2CA60650"/>
    <w:multiLevelType w:val="hybridMultilevel"/>
    <w:tmpl w:val="9C9C9B9E"/>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CBD7ECD"/>
    <w:multiLevelType w:val="multilevel"/>
    <w:tmpl w:val="B05A0F0A"/>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8B764E"/>
    <w:multiLevelType w:val="multilevel"/>
    <w:tmpl w:val="CCB6E994"/>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DC05CFB"/>
    <w:multiLevelType w:val="hybridMultilevel"/>
    <w:tmpl w:val="97C63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234370"/>
    <w:multiLevelType w:val="hybridMultilevel"/>
    <w:tmpl w:val="A9FA5522"/>
    <w:lvl w:ilvl="0" w:tplc="0809001B">
      <w:start w:val="1"/>
      <w:numFmt w:val="lowerRoman"/>
      <w:lvlText w:val="%1."/>
      <w:lvlJc w:val="right"/>
      <w:pPr>
        <w:ind w:left="720"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2" w15:restartNumberingAfterBreak="0">
    <w:nsid w:val="32912AB5"/>
    <w:multiLevelType w:val="hybridMultilevel"/>
    <w:tmpl w:val="1FDA4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5219BD"/>
    <w:multiLevelType w:val="hybridMultilevel"/>
    <w:tmpl w:val="4482BB8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6E07402"/>
    <w:multiLevelType w:val="hybridMultilevel"/>
    <w:tmpl w:val="5EF0993E"/>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3A074B82"/>
    <w:multiLevelType w:val="hybridMultilevel"/>
    <w:tmpl w:val="06461BD6"/>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AD2E05"/>
    <w:multiLevelType w:val="hybridMultilevel"/>
    <w:tmpl w:val="8690D7C0"/>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1965A0"/>
    <w:multiLevelType w:val="hybridMultilevel"/>
    <w:tmpl w:val="FAC64B1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4B0A3D"/>
    <w:multiLevelType w:val="hybridMultilevel"/>
    <w:tmpl w:val="4AC4C894"/>
    <w:lvl w:ilvl="0" w:tplc="08090001">
      <w:start w:val="1"/>
      <w:numFmt w:val="bullet"/>
      <w:lvlText w:val=""/>
      <w:lvlJc w:val="left"/>
      <w:pPr>
        <w:ind w:left="720" w:hanging="360"/>
      </w:pPr>
      <w:rPr>
        <w:rFonts w:ascii="Symbol" w:hAnsi="Symbol" w:hint="default"/>
        <w:i w:val="0"/>
      </w:rPr>
    </w:lvl>
    <w:lvl w:ilvl="1" w:tplc="60EA475C">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FD37E2"/>
    <w:multiLevelType w:val="hybridMultilevel"/>
    <w:tmpl w:val="53E03A5E"/>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9F757D8"/>
    <w:multiLevelType w:val="hybridMultilevel"/>
    <w:tmpl w:val="E6783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4458C1"/>
    <w:multiLevelType w:val="hybridMultilevel"/>
    <w:tmpl w:val="5626863E"/>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BAB365B"/>
    <w:multiLevelType w:val="multilevel"/>
    <w:tmpl w:val="E268370C"/>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3" w15:restartNumberingAfterBreak="0">
    <w:nsid w:val="4D086BA9"/>
    <w:multiLevelType w:val="hybridMultilevel"/>
    <w:tmpl w:val="5FFCE0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3F3325"/>
    <w:multiLevelType w:val="hybridMultilevel"/>
    <w:tmpl w:val="F1060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64713F"/>
    <w:multiLevelType w:val="hybridMultilevel"/>
    <w:tmpl w:val="B8BA3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6C5BFA"/>
    <w:multiLevelType w:val="hybridMultilevel"/>
    <w:tmpl w:val="A56A4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297662"/>
    <w:multiLevelType w:val="hybridMultilevel"/>
    <w:tmpl w:val="86D4EA52"/>
    <w:lvl w:ilvl="0" w:tplc="C4FA3E9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E402E9"/>
    <w:multiLevelType w:val="hybridMultilevel"/>
    <w:tmpl w:val="AC70B212"/>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9" w15:restartNumberingAfterBreak="0">
    <w:nsid w:val="61B22F6A"/>
    <w:multiLevelType w:val="hybridMultilevel"/>
    <w:tmpl w:val="8180953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3270A1"/>
    <w:multiLevelType w:val="multilevel"/>
    <w:tmpl w:val="45844AE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8310068"/>
    <w:multiLevelType w:val="multilevel"/>
    <w:tmpl w:val="89AC0F78"/>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A8701C0"/>
    <w:multiLevelType w:val="hybridMultilevel"/>
    <w:tmpl w:val="B61AB8B8"/>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AF46DE6"/>
    <w:multiLevelType w:val="hybridMultilevel"/>
    <w:tmpl w:val="3AF2DA2A"/>
    <w:lvl w:ilvl="0" w:tplc="F62EF12E">
      <w:start w:val="3"/>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5E41FD"/>
    <w:multiLevelType w:val="hybridMultilevel"/>
    <w:tmpl w:val="B3C87CF6"/>
    <w:lvl w:ilvl="0" w:tplc="08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0CE6DC3"/>
    <w:multiLevelType w:val="hybridMultilevel"/>
    <w:tmpl w:val="04F231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6FE400E"/>
    <w:multiLevelType w:val="hybridMultilevel"/>
    <w:tmpl w:val="4F76D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EB3728"/>
    <w:multiLevelType w:val="hybridMultilevel"/>
    <w:tmpl w:val="8690B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5904103">
    <w:abstractNumId w:val="43"/>
  </w:num>
  <w:num w:numId="2" w16cid:durableId="138226166">
    <w:abstractNumId w:val="15"/>
  </w:num>
  <w:num w:numId="3" w16cid:durableId="1503667912">
    <w:abstractNumId w:val="38"/>
  </w:num>
  <w:num w:numId="4" w16cid:durableId="1106345577">
    <w:abstractNumId w:val="29"/>
  </w:num>
  <w:num w:numId="5" w16cid:durableId="1612860800">
    <w:abstractNumId w:val="26"/>
  </w:num>
  <w:num w:numId="6" w16cid:durableId="947470755">
    <w:abstractNumId w:val="1"/>
  </w:num>
  <w:num w:numId="7" w16cid:durableId="753474320">
    <w:abstractNumId w:val="40"/>
  </w:num>
  <w:num w:numId="8" w16cid:durableId="357899137">
    <w:abstractNumId w:val="3"/>
  </w:num>
  <w:num w:numId="9" w16cid:durableId="1469787428">
    <w:abstractNumId w:val="19"/>
  </w:num>
  <w:num w:numId="10" w16cid:durableId="1279993417">
    <w:abstractNumId w:val="44"/>
  </w:num>
  <w:num w:numId="11" w16cid:durableId="1877424042">
    <w:abstractNumId w:val="27"/>
  </w:num>
  <w:num w:numId="12" w16cid:durableId="1481578637">
    <w:abstractNumId w:val="39"/>
  </w:num>
  <w:num w:numId="13" w16cid:durableId="1795514546">
    <w:abstractNumId w:val="34"/>
  </w:num>
  <w:num w:numId="14" w16cid:durableId="708603141">
    <w:abstractNumId w:val="36"/>
  </w:num>
  <w:num w:numId="15" w16cid:durableId="191502625">
    <w:abstractNumId w:val="47"/>
  </w:num>
  <w:num w:numId="16" w16cid:durableId="1607691170">
    <w:abstractNumId w:val="22"/>
  </w:num>
  <w:num w:numId="17" w16cid:durableId="291249107">
    <w:abstractNumId w:val="20"/>
  </w:num>
  <w:num w:numId="18" w16cid:durableId="1048845273">
    <w:abstractNumId w:val="14"/>
  </w:num>
  <w:num w:numId="19" w16cid:durableId="26412921">
    <w:abstractNumId w:val="30"/>
  </w:num>
  <w:num w:numId="20" w16cid:durableId="410615504">
    <w:abstractNumId w:val="18"/>
  </w:num>
  <w:num w:numId="21" w16cid:durableId="26952680">
    <w:abstractNumId w:val="25"/>
  </w:num>
  <w:num w:numId="22" w16cid:durableId="675962913">
    <w:abstractNumId w:val="17"/>
  </w:num>
  <w:num w:numId="23" w16cid:durableId="758018658">
    <w:abstractNumId w:val="42"/>
  </w:num>
  <w:num w:numId="24" w16cid:durableId="35547613">
    <w:abstractNumId w:val="21"/>
  </w:num>
  <w:num w:numId="25" w16cid:durableId="1471745953">
    <w:abstractNumId w:val="37"/>
  </w:num>
  <w:num w:numId="26" w16cid:durableId="1525290502">
    <w:abstractNumId w:val="41"/>
  </w:num>
  <w:num w:numId="27" w16cid:durableId="1133254871">
    <w:abstractNumId w:val="8"/>
  </w:num>
  <w:num w:numId="28" w16cid:durableId="1490292913">
    <w:abstractNumId w:val="13"/>
  </w:num>
  <w:num w:numId="29" w16cid:durableId="1806117152">
    <w:abstractNumId w:val="28"/>
  </w:num>
  <w:num w:numId="30" w16cid:durableId="1158155224">
    <w:abstractNumId w:val="9"/>
  </w:num>
  <w:num w:numId="31" w16cid:durableId="468786855">
    <w:abstractNumId w:val="46"/>
  </w:num>
  <w:num w:numId="32" w16cid:durableId="1086878586">
    <w:abstractNumId w:val="45"/>
  </w:num>
  <w:num w:numId="33" w16cid:durableId="1587033591">
    <w:abstractNumId w:val="32"/>
  </w:num>
  <w:num w:numId="34" w16cid:durableId="1575551832">
    <w:abstractNumId w:val="12"/>
  </w:num>
  <w:num w:numId="35" w16cid:durableId="177619539">
    <w:abstractNumId w:val="5"/>
  </w:num>
  <w:num w:numId="36" w16cid:durableId="274219584">
    <w:abstractNumId w:val="24"/>
  </w:num>
  <w:num w:numId="37" w16cid:durableId="339896109">
    <w:abstractNumId w:val="11"/>
  </w:num>
  <w:num w:numId="38" w16cid:durableId="1228417159">
    <w:abstractNumId w:val="6"/>
  </w:num>
  <w:num w:numId="39" w16cid:durableId="53896446">
    <w:abstractNumId w:val="16"/>
  </w:num>
  <w:num w:numId="40" w16cid:durableId="479730174">
    <w:abstractNumId w:val="0"/>
  </w:num>
  <w:num w:numId="41" w16cid:durableId="1670478995">
    <w:abstractNumId w:val="2"/>
  </w:num>
  <w:num w:numId="42" w16cid:durableId="810288765">
    <w:abstractNumId w:val="10"/>
  </w:num>
  <w:num w:numId="43" w16cid:durableId="874342363">
    <w:abstractNumId w:val="7"/>
  </w:num>
  <w:num w:numId="44" w16cid:durableId="2043242411">
    <w:abstractNumId w:val="35"/>
  </w:num>
  <w:num w:numId="45" w16cid:durableId="2140413238">
    <w:abstractNumId w:val="33"/>
  </w:num>
  <w:num w:numId="46" w16cid:durableId="191261170">
    <w:abstractNumId w:val="31"/>
  </w:num>
  <w:num w:numId="47" w16cid:durableId="1207596895">
    <w:abstractNumId w:val="4"/>
  </w:num>
  <w:num w:numId="48" w16cid:durableId="358825589">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3TmgxynbH+clR9YFDz1ekfq5U7IK8sTYa2tlRQASh9E1LrMoGcroZO3+2Z27blcHLTsGXYY/8FnZ4ta0gfzdpw==" w:salt="Kcf9SsRZNS3zkIlCBDDlu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C3B"/>
    <w:rsid w:val="0000196F"/>
    <w:rsid w:val="00001B98"/>
    <w:rsid w:val="00001C6D"/>
    <w:rsid w:val="00001F81"/>
    <w:rsid w:val="00002907"/>
    <w:rsid w:val="0000512F"/>
    <w:rsid w:val="00006B67"/>
    <w:rsid w:val="00007097"/>
    <w:rsid w:val="0000725C"/>
    <w:rsid w:val="000072CC"/>
    <w:rsid w:val="0001156D"/>
    <w:rsid w:val="00011A34"/>
    <w:rsid w:val="0001481F"/>
    <w:rsid w:val="00014E2E"/>
    <w:rsid w:val="00014FD6"/>
    <w:rsid w:val="000151CD"/>
    <w:rsid w:val="000159EB"/>
    <w:rsid w:val="00015DC4"/>
    <w:rsid w:val="000209AE"/>
    <w:rsid w:val="00020D1B"/>
    <w:rsid w:val="0002180F"/>
    <w:rsid w:val="0002221C"/>
    <w:rsid w:val="0002294D"/>
    <w:rsid w:val="000240F1"/>
    <w:rsid w:val="000248A7"/>
    <w:rsid w:val="000264EA"/>
    <w:rsid w:val="00026847"/>
    <w:rsid w:val="00026AF9"/>
    <w:rsid w:val="00026DE3"/>
    <w:rsid w:val="00027067"/>
    <w:rsid w:val="000275A9"/>
    <w:rsid w:val="00027A27"/>
    <w:rsid w:val="0003093F"/>
    <w:rsid w:val="00030BF4"/>
    <w:rsid w:val="00031135"/>
    <w:rsid w:val="00032D32"/>
    <w:rsid w:val="000334AE"/>
    <w:rsid w:val="00033A81"/>
    <w:rsid w:val="00034201"/>
    <w:rsid w:val="00034C6E"/>
    <w:rsid w:val="00035F84"/>
    <w:rsid w:val="0003607F"/>
    <w:rsid w:val="00037F58"/>
    <w:rsid w:val="00040037"/>
    <w:rsid w:val="0004006B"/>
    <w:rsid w:val="00040989"/>
    <w:rsid w:val="00041A61"/>
    <w:rsid w:val="000420EE"/>
    <w:rsid w:val="000433AD"/>
    <w:rsid w:val="00044A2A"/>
    <w:rsid w:val="00044C57"/>
    <w:rsid w:val="00044E15"/>
    <w:rsid w:val="0004508F"/>
    <w:rsid w:val="0004607F"/>
    <w:rsid w:val="000463EA"/>
    <w:rsid w:val="000467B5"/>
    <w:rsid w:val="00047118"/>
    <w:rsid w:val="00047F67"/>
    <w:rsid w:val="000519EC"/>
    <w:rsid w:val="00054B72"/>
    <w:rsid w:val="00055100"/>
    <w:rsid w:val="00055142"/>
    <w:rsid w:val="0005535D"/>
    <w:rsid w:val="00055D51"/>
    <w:rsid w:val="00057E51"/>
    <w:rsid w:val="0006008A"/>
    <w:rsid w:val="000619E5"/>
    <w:rsid w:val="00061D1B"/>
    <w:rsid w:val="00062AC2"/>
    <w:rsid w:val="00062EDB"/>
    <w:rsid w:val="00063A23"/>
    <w:rsid w:val="00064C1B"/>
    <w:rsid w:val="00065B07"/>
    <w:rsid w:val="0006749B"/>
    <w:rsid w:val="0007037F"/>
    <w:rsid w:val="000719BF"/>
    <w:rsid w:val="00072A84"/>
    <w:rsid w:val="000733B5"/>
    <w:rsid w:val="00073D57"/>
    <w:rsid w:val="00074047"/>
    <w:rsid w:val="00074D27"/>
    <w:rsid w:val="000756C4"/>
    <w:rsid w:val="00075DC8"/>
    <w:rsid w:val="000762E4"/>
    <w:rsid w:val="00076608"/>
    <w:rsid w:val="000800DC"/>
    <w:rsid w:val="00080471"/>
    <w:rsid w:val="000810FB"/>
    <w:rsid w:val="00081F81"/>
    <w:rsid w:val="00082448"/>
    <w:rsid w:val="00083057"/>
    <w:rsid w:val="00084513"/>
    <w:rsid w:val="000860CB"/>
    <w:rsid w:val="0008617D"/>
    <w:rsid w:val="00086738"/>
    <w:rsid w:val="00087D79"/>
    <w:rsid w:val="000909B6"/>
    <w:rsid w:val="00091931"/>
    <w:rsid w:val="000920AC"/>
    <w:rsid w:val="00092B60"/>
    <w:rsid w:val="0009372B"/>
    <w:rsid w:val="00097414"/>
    <w:rsid w:val="000978E1"/>
    <w:rsid w:val="000A2900"/>
    <w:rsid w:val="000A2E91"/>
    <w:rsid w:val="000A3883"/>
    <w:rsid w:val="000A619F"/>
    <w:rsid w:val="000A73A7"/>
    <w:rsid w:val="000B01DA"/>
    <w:rsid w:val="000B0501"/>
    <w:rsid w:val="000B2B87"/>
    <w:rsid w:val="000B2FA5"/>
    <w:rsid w:val="000B4C87"/>
    <w:rsid w:val="000B5514"/>
    <w:rsid w:val="000B75E7"/>
    <w:rsid w:val="000B7AAF"/>
    <w:rsid w:val="000C040E"/>
    <w:rsid w:val="000C0AA1"/>
    <w:rsid w:val="000C148C"/>
    <w:rsid w:val="000C2422"/>
    <w:rsid w:val="000C27B3"/>
    <w:rsid w:val="000C30F5"/>
    <w:rsid w:val="000C31D4"/>
    <w:rsid w:val="000C3F06"/>
    <w:rsid w:val="000C42DD"/>
    <w:rsid w:val="000C53E3"/>
    <w:rsid w:val="000C60F3"/>
    <w:rsid w:val="000C647D"/>
    <w:rsid w:val="000C6AA8"/>
    <w:rsid w:val="000C7400"/>
    <w:rsid w:val="000C7FA9"/>
    <w:rsid w:val="000D0042"/>
    <w:rsid w:val="000D04C6"/>
    <w:rsid w:val="000D290A"/>
    <w:rsid w:val="000D29F7"/>
    <w:rsid w:val="000D3C0A"/>
    <w:rsid w:val="000D5CAF"/>
    <w:rsid w:val="000D62EF"/>
    <w:rsid w:val="000D6C8E"/>
    <w:rsid w:val="000E0DB7"/>
    <w:rsid w:val="000E1109"/>
    <w:rsid w:val="000E265E"/>
    <w:rsid w:val="000E2D1A"/>
    <w:rsid w:val="000E4364"/>
    <w:rsid w:val="000E4D23"/>
    <w:rsid w:val="000E52FC"/>
    <w:rsid w:val="000E54BE"/>
    <w:rsid w:val="000E54D1"/>
    <w:rsid w:val="000E57D2"/>
    <w:rsid w:val="000E5871"/>
    <w:rsid w:val="000E58DA"/>
    <w:rsid w:val="000E72E9"/>
    <w:rsid w:val="000F01A4"/>
    <w:rsid w:val="000F142E"/>
    <w:rsid w:val="000F24C7"/>
    <w:rsid w:val="000F2D03"/>
    <w:rsid w:val="000F43AC"/>
    <w:rsid w:val="000F4B85"/>
    <w:rsid w:val="000F51FE"/>
    <w:rsid w:val="000F5224"/>
    <w:rsid w:val="000F554A"/>
    <w:rsid w:val="000F5AF9"/>
    <w:rsid w:val="000F5D35"/>
    <w:rsid w:val="000F6468"/>
    <w:rsid w:val="000F6768"/>
    <w:rsid w:val="000F775F"/>
    <w:rsid w:val="00100CD5"/>
    <w:rsid w:val="001027A4"/>
    <w:rsid w:val="001027F6"/>
    <w:rsid w:val="00102B00"/>
    <w:rsid w:val="00102EC5"/>
    <w:rsid w:val="00103C5E"/>
    <w:rsid w:val="001044A9"/>
    <w:rsid w:val="001046FE"/>
    <w:rsid w:val="00105BC9"/>
    <w:rsid w:val="00105DB0"/>
    <w:rsid w:val="001062EE"/>
    <w:rsid w:val="00106FEC"/>
    <w:rsid w:val="00107FBB"/>
    <w:rsid w:val="00110027"/>
    <w:rsid w:val="00111C1F"/>
    <w:rsid w:val="00112063"/>
    <w:rsid w:val="0011287E"/>
    <w:rsid w:val="00112D48"/>
    <w:rsid w:val="001138FB"/>
    <w:rsid w:val="001143E2"/>
    <w:rsid w:val="00114F08"/>
    <w:rsid w:val="00116999"/>
    <w:rsid w:val="00121080"/>
    <w:rsid w:val="0012350C"/>
    <w:rsid w:val="001235B6"/>
    <w:rsid w:val="001238CB"/>
    <w:rsid w:val="00123AE2"/>
    <w:rsid w:val="00123BF6"/>
    <w:rsid w:val="00123D1A"/>
    <w:rsid w:val="001249AC"/>
    <w:rsid w:val="0012514E"/>
    <w:rsid w:val="001257F3"/>
    <w:rsid w:val="00125913"/>
    <w:rsid w:val="00130E02"/>
    <w:rsid w:val="0013127C"/>
    <w:rsid w:val="00131458"/>
    <w:rsid w:val="00131C31"/>
    <w:rsid w:val="00132EEC"/>
    <w:rsid w:val="001346BF"/>
    <w:rsid w:val="001347FE"/>
    <w:rsid w:val="001366B3"/>
    <w:rsid w:val="00137555"/>
    <w:rsid w:val="00140228"/>
    <w:rsid w:val="0014041C"/>
    <w:rsid w:val="00140437"/>
    <w:rsid w:val="001414FB"/>
    <w:rsid w:val="00141F61"/>
    <w:rsid w:val="00142043"/>
    <w:rsid w:val="00142812"/>
    <w:rsid w:val="001434D4"/>
    <w:rsid w:val="00143F49"/>
    <w:rsid w:val="001441B7"/>
    <w:rsid w:val="001454D5"/>
    <w:rsid w:val="00145FDE"/>
    <w:rsid w:val="00147946"/>
    <w:rsid w:val="0015069D"/>
    <w:rsid w:val="00150EC3"/>
    <w:rsid w:val="001542E7"/>
    <w:rsid w:val="00154F4D"/>
    <w:rsid w:val="00155FDF"/>
    <w:rsid w:val="00156D21"/>
    <w:rsid w:val="00156F7D"/>
    <w:rsid w:val="00156FD1"/>
    <w:rsid w:val="00161BC3"/>
    <w:rsid w:val="00163A09"/>
    <w:rsid w:val="00163EBA"/>
    <w:rsid w:val="001643B5"/>
    <w:rsid w:val="001648E8"/>
    <w:rsid w:val="00164DBA"/>
    <w:rsid w:val="00165A83"/>
    <w:rsid w:val="00165D5A"/>
    <w:rsid w:val="00167396"/>
    <w:rsid w:val="00171459"/>
    <w:rsid w:val="00171A8D"/>
    <w:rsid w:val="00175CF8"/>
    <w:rsid w:val="00176D5C"/>
    <w:rsid w:val="00177371"/>
    <w:rsid w:val="00177984"/>
    <w:rsid w:val="00180484"/>
    <w:rsid w:val="00180500"/>
    <w:rsid w:val="001808BA"/>
    <w:rsid w:val="00180B0B"/>
    <w:rsid w:val="00180B8A"/>
    <w:rsid w:val="00181A5F"/>
    <w:rsid w:val="001825B0"/>
    <w:rsid w:val="00183626"/>
    <w:rsid w:val="001836BA"/>
    <w:rsid w:val="001838CB"/>
    <w:rsid w:val="00184579"/>
    <w:rsid w:val="00184C1B"/>
    <w:rsid w:val="00185B18"/>
    <w:rsid w:val="001860A8"/>
    <w:rsid w:val="0018691D"/>
    <w:rsid w:val="00190D20"/>
    <w:rsid w:val="0019174A"/>
    <w:rsid w:val="00193155"/>
    <w:rsid w:val="00193191"/>
    <w:rsid w:val="00194417"/>
    <w:rsid w:val="00195692"/>
    <w:rsid w:val="0019579D"/>
    <w:rsid w:val="00196B52"/>
    <w:rsid w:val="001A0196"/>
    <w:rsid w:val="001A0A00"/>
    <w:rsid w:val="001A105A"/>
    <w:rsid w:val="001A2A60"/>
    <w:rsid w:val="001A2C9B"/>
    <w:rsid w:val="001A3197"/>
    <w:rsid w:val="001A453E"/>
    <w:rsid w:val="001A6C60"/>
    <w:rsid w:val="001A70A9"/>
    <w:rsid w:val="001B0521"/>
    <w:rsid w:val="001B0899"/>
    <w:rsid w:val="001B1220"/>
    <w:rsid w:val="001B16AF"/>
    <w:rsid w:val="001B2729"/>
    <w:rsid w:val="001B3499"/>
    <w:rsid w:val="001B4A7E"/>
    <w:rsid w:val="001B5522"/>
    <w:rsid w:val="001B5F08"/>
    <w:rsid w:val="001B6922"/>
    <w:rsid w:val="001B6931"/>
    <w:rsid w:val="001B73FB"/>
    <w:rsid w:val="001B7686"/>
    <w:rsid w:val="001B7C34"/>
    <w:rsid w:val="001B7C55"/>
    <w:rsid w:val="001C015A"/>
    <w:rsid w:val="001C138E"/>
    <w:rsid w:val="001C22C5"/>
    <w:rsid w:val="001C3483"/>
    <w:rsid w:val="001C550E"/>
    <w:rsid w:val="001C5A37"/>
    <w:rsid w:val="001C5F28"/>
    <w:rsid w:val="001D0642"/>
    <w:rsid w:val="001D16BA"/>
    <w:rsid w:val="001D2077"/>
    <w:rsid w:val="001D3BA0"/>
    <w:rsid w:val="001D451C"/>
    <w:rsid w:val="001D4FB2"/>
    <w:rsid w:val="001D51C2"/>
    <w:rsid w:val="001D5A84"/>
    <w:rsid w:val="001D6234"/>
    <w:rsid w:val="001D6430"/>
    <w:rsid w:val="001D7478"/>
    <w:rsid w:val="001D7E14"/>
    <w:rsid w:val="001E0602"/>
    <w:rsid w:val="001E0DAA"/>
    <w:rsid w:val="001E1BC9"/>
    <w:rsid w:val="001E1ECC"/>
    <w:rsid w:val="001E239C"/>
    <w:rsid w:val="001E264D"/>
    <w:rsid w:val="001E3E3F"/>
    <w:rsid w:val="001E6658"/>
    <w:rsid w:val="001E6BD3"/>
    <w:rsid w:val="001E72D6"/>
    <w:rsid w:val="001F0752"/>
    <w:rsid w:val="001F0B82"/>
    <w:rsid w:val="001F12E1"/>
    <w:rsid w:val="001F1B61"/>
    <w:rsid w:val="001F1DBD"/>
    <w:rsid w:val="001F28E8"/>
    <w:rsid w:val="001F403B"/>
    <w:rsid w:val="001F4195"/>
    <w:rsid w:val="001F5259"/>
    <w:rsid w:val="002005B8"/>
    <w:rsid w:val="00200CE6"/>
    <w:rsid w:val="0020127E"/>
    <w:rsid w:val="00201950"/>
    <w:rsid w:val="00201AF0"/>
    <w:rsid w:val="00202156"/>
    <w:rsid w:val="00203334"/>
    <w:rsid w:val="00204450"/>
    <w:rsid w:val="002045D3"/>
    <w:rsid w:val="002048AF"/>
    <w:rsid w:val="00204A4F"/>
    <w:rsid w:val="00205005"/>
    <w:rsid w:val="00205AA2"/>
    <w:rsid w:val="00205B9E"/>
    <w:rsid w:val="00206091"/>
    <w:rsid w:val="00206898"/>
    <w:rsid w:val="002100FC"/>
    <w:rsid w:val="00210BBF"/>
    <w:rsid w:val="002110A9"/>
    <w:rsid w:val="0021196A"/>
    <w:rsid w:val="002141B0"/>
    <w:rsid w:val="002145E6"/>
    <w:rsid w:val="00214805"/>
    <w:rsid w:val="0021527A"/>
    <w:rsid w:val="0021706D"/>
    <w:rsid w:val="002175D8"/>
    <w:rsid w:val="002217C9"/>
    <w:rsid w:val="00230CDC"/>
    <w:rsid w:val="00233055"/>
    <w:rsid w:val="00233D52"/>
    <w:rsid w:val="00234213"/>
    <w:rsid w:val="002344F8"/>
    <w:rsid w:val="0023466C"/>
    <w:rsid w:val="00235051"/>
    <w:rsid w:val="002351B3"/>
    <w:rsid w:val="0023639C"/>
    <w:rsid w:val="0023705E"/>
    <w:rsid w:val="0024369F"/>
    <w:rsid w:val="00244A17"/>
    <w:rsid w:val="002464AF"/>
    <w:rsid w:val="0024657D"/>
    <w:rsid w:val="00246E14"/>
    <w:rsid w:val="00247BE7"/>
    <w:rsid w:val="002500FC"/>
    <w:rsid w:val="0025024D"/>
    <w:rsid w:val="00250901"/>
    <w:rsid w:val="00250AD0"/>
    <w:rsid w:val="002567A9"/>
    <w:rsid w:val="002623F6"/>
    <w:rsid w:val="002626B9"/>
    <w:rsid w:val="00265FE3"/>
    <w:rsid w:val="0026718A"/>
    <w:rsid w:val="00272365"/>
    <w:rsid w:val="00273097"/>
    <w:rsid w:val="002736AB"/>
    <w:rsid w:val="002745FA"/>
    <w:rsid w:val="00274B86"/>
    <w:rsid w:val="00277387"/>
    <w:rsid w:val="0027783B"/>
    <w:rsid w:val="00277F64"/>
    <w:rsid w:val="00280596"/>
    <w:rsid w:val="00280617"/>
    <w:rsid w:val="00280EB1"/>
    <w:rsid w:val="00281E81"/>
    <w:rsid w:val="0028271C"/>
    <w:rsid w:val="0028308E"/>
    <w:rsid w:val="00285D5F"/>
    <w:rsid w:val="00286015"/>
    <w:rsid w:val="00286DCB"/>
    <w:rsid w:val="00287EB2"/>
    <w:rsid w:val="002909DC"/>
    <w:rsid w:val="00291291"/>
    <w:rsid w:val="00291CE0"/>
    <w:rsid w:val="00292B9C"/>
    <w:rsid w:val="00293379"/>
    <w:rsid w:val="00293505"/>
    <w:rsid w:val="00293623"/>
    <w:rsid w:val="002938C0"/>
    <w:rsid w:val="002947CD"/>
    <w:rsid w:val="00295512"/>
    <w:rsid w:val="00295A62"/>
    <w:rsid w:val="002A07B8"/>
    <w:rsid w:val="002A1FAA"/>
    <w:rsid w:val="002A2A9E"/>
    <w:rsid w:val="002A3A48"/>
    <w:rsid w:val="002A4618"/>
    <w:rsid w:val="002A4E91"/>
    <w:rsid w:val="002A58DD"/>
    <w:rsid w:val="002A5DED"/>
    <w:rsid w:val="002A6559"/>
    <w:rsid w:val="002B1322"/>
    <w:rsid w:val="002B3480"/>
    <w:rsid w:val="002B3987"/>
    <w:rsid w:val="002B3CF4"/>
    <w:rsid w:val="002B4A42"/>
    <w:rsid w:val="002B5AAF"/>
    <w:rsid w:val="002B7D99"/>
    <w:rsid w:val="002C010E"/>
    <w:rsid w:val="002C01A1"/>
    <w:rsid w:val="002C11E2"/>
    <w:rsid w:val="002C2BA0"/>
    <w:rsid w:val="002C38CF"/>
    <w:rsid w:val="002C3D65"/>
    <w:rsid w:val="002C40B7"/>
    <w:rsid w:val="002C594B"/>
    <w:rsid w:val="002C7A94"/>
    <w:rsid w:val="002D0355"/>
    <w:rsid w:val="002D06B4"/>
    <w:rsid w:val="002D11E5"/>
    <w:rsid w:val="002D143B"/>
    <w:rsid w:val="002D324B"/>
    <w:rsid w:val="002D4E19"/>
    <w:rsid w:val="002D4E8E"/>
    <w:rsid w:val="002D66AA"/>
    <w:rsid w:val="002E1553"/>
    <w:rsid w:val="002E4D10"/>
    <w:rsid w:val="002E4F0C"/>
    <w:rsid w:val="002E55D6"/>
    <w:rsid w:val="002E5D4B"/>
    <w:rsid w:val="002E72F9"/>
    <w:rsid w:val="002E7534"/>
    <w:rsid w:val="002F09DF"/>
    <w:rsid w:val="002F1263"/>
    <w:rsid w:val="002F34F1"/>
    <w:rsid w:val="002F3B9C"/>
    <w:rsid w:val="002F546D"/>
    <w:rsid w:val="00300F31"/>
    <w:rsid w:val="003017A8"/>
    <w:rsid w:val="00301D29"/>
    <w:rsid w:val="00302058"/>
    <w:rsid w:val="00302883"/>
    <w:rsid w:val="003031CC"/>
    <w:rsid w:val="00303E81"/>
    <w:rsid w:val="003049E1"/>
    <w:rsid w:val="00305AE8"/>
    <w:rsid w:val="0031001A"/>
    <w:rsid w:val="0031029F"/>
    <w:rsid w:val="00310692"/>
    <w:rsid w:val="00310BD5"/>
    <w:rsid w:val="00310E87"/>
    <w:rsid w:val="003118E4"/>
    <w:rsid w:val="00312130"/>
    <w:rsid w:val="00313F5E"/>
    <w:rsid w:val="00314001"/>
    <w:rsid w:val="00314490"/>
    <w:rsid w:val="00314CDD"/>
    <w:rsid w:val="00316C3E"/>
    <w:rsid w:val="00316D04"/>
    <w:rsid w:val="00317AB1"/>
    <w:rsid w:val="00317F8E"/>
    <w:rsid w:val="00320240"/>
    <w:rsid w:val="003208BF"/>
    <w:rsid w:val="0032141E"/>
    <w:rsid w:val="00323896"/>
    <w:rsid w:val="00325333"/>
    <w:rsid w:val="00326B3E"/>
    <w:rsid w:val="00326D77"/>
    <w:rsid w:val="0033022F"/>
    <w:rsid w:val="00333549"/>
    <w:rsid w:val="00333FC3"/>
    <w:rsid w:val="00335595"/>
    <w:rsid w:val="00336D04"/>
    <w:rsid w:val="00337093"/>
    <w:rsid w:val="00337B5E"/>
    <w:rsid w:val="00337DE0"/>
    <w:rsid w:val="003404CE"/>
    <w:rsid w:val="0034097E"/>
    <w:rsid w:val="00342357"/>
    <w:rsid w:val="003427A2"/>
    <w:rsid w:val="00342FCB"/>
    <w:rsid w:val="00343387"/>
    <w:rsid w:val="003441D7"/>
    <w:rsid w:val="00344C24"/>
    <w:rsid w:val="00347AD3"/>
    <w:rsid w:val="003505C6"/>
    <w:rsid w:val="00350D83"/>
    <w:rsid w:val="0035324F"/>
    <w:rsid w:val="0035409E"/>
    <w:rsid w:val="003540B1"/>
    <w:rsid w:val="00354434"/>
    <w:rsid w:val="00354D7B"/>
    <w:rsid w:val="00354E01"/>
    <w:rsid w:val="00355FA4"/>
    <w:rsid w:val="00356309"/>
    <w:rsid w:val="00356679"/>
    <w:rsid w:val="00357A2E"/>
    <w:rsid w:val="00360838"/>
    <w:rsid w:val="003608DC"/>
    <w:rsid w:val="00361274"/>
    <w:rsid w:val="00364299"/>
    <w:rsid w:val="00364639"/>
    <w:rsid w:val="003649CB"/>
    <w:rsid w:val="00365DE6"/>
    <w:rsid w:val="003662B7"/>
    <w:rsid w:val="00367972"/>
    <w:rsid w:val="00371A8C"/>
    <w:rsid w:val="00372630"/>
    <w:rsid w:val="003726F3"/>
    <w:rsid w:val="003728A2"/>
    <w:rsid w:val="00372C83"/>
    <w:rsid w:val="00373E0D"/>
    <w:rsid w:val="00374EE4"/>
    <w:rsid w:val="003751D8"/>
    <w:rsid w:val="003759C3"/>
    <w:rsid w:val="003762BE"/>
    <w:rsid w:val="0037692F"/>
    <w:rsid w:val="00376E9F"/>
    <w:rsid w:val="00380BD5"/>
    <w:rsid w:val="0038235F"/>
    <w:rsid w:val="00382470"/>
    <w:rsid w:val="00382CE7"/>
    <w:rsid w:val="00384BAF"/>
    <w:rsid w:val="003857F2"/>
    <w:rsid w:val="00386C72"/>
    <w:rsid w:val="003872D0"/>
    <w:rsid w:val="00390589"/>
    <w:rsid w:val="00390E31"/>
    <w:rsid w:val="00391804"/>
    <w:rsid w:val="00392AC1"/>
    <w:rsid w:val="00392CA1"/>
    <w:rsid w:val="00393266"/>
    <w:rsid w:val="003938D3"/>
    <w:rsid w:val="00393E34"/>
    <w:rsid w:val="0039424E"/>
    <w:rsid w:val="00394DB6"/>
    <w:rsid w:val="003956FD"/>
    <w:rsid w:val="00396649"/>
    <w:rsid w:val="00396F8D"/>
    <w:rsid w:val="00397C20"/>
    <w:rsid w:val="003A0C07"/>
    <w:rsid w:val="003A1AB4"/>
    <w:rsid w:val="003A2C30"/>
    <w:rsid w:val="003A2DEE"/>
    <w:rsid w:val="003A5AD0"/>
    <w:rsid w:val="003B04FD"/>
    <w:rsid w:val="003B068D"/>
    <w:rsid w:val="003B143A"/>
    <w:rsid w:val="003B1C7F"/>
    <w:rsid w:val="003B201A"/>
    <w:rsid w:val="003B20B6"/>
    <w:rsid w:val="003B2938"/>
    <w:rsid w:val="003B40CB"/>
    <w:rsid w:val="003B4FDC"/>
    <w:rsid w:val="003B5C89"/>
    <w:rsid w:val="003B5D6B"/>
    <w:rsid w:val="003B7AC9"/>
    <w:rsid w:val="003B7F36"/>
    <w:rsid w:val="003C0428"/>
    <w:rsid w:val="003C1825"/>
    <w:rsid w:val="003C4310"/>
    <w:rsid w:val="003C638B"/>
    <w:rsid w:val="003C660C"/>
    <w:rsid w:val="003D0351"/>
    <w:rsid w:val="003D0B42"/>
    <w:rsid w:val="003D13F8"/>
    <w:rsid w:val="003D1B8A"/>
    <w:rsid w:val="003D423A"/>
    <w:rsid w:val="003D6B13"/>
    <w:rsid w:val="003D7723"/>
    <w:rsid w:val="003D7E81"/>
    <w:rsid w:val="003D7E84"/>
    <w:rsid w:val="003E015B"/>
    <w:rsid w:val="003E033C"/>
    <w:rsid w:val="003E593C"/>
    <w:rsid w:val="003E655C"/>
    <w:rsid w:val="003E692F"/>
    <w:rsid w:val="003E6BDE"/>
    <w:rsid w:val="003E7B45"/>
    <w:rsid w:val="003F2050"/>
    <w:rsid w:val="003F242A"/>
    <w:rsid w:val="003F2641"/>
    <w:rsid w:val="003F5960"/>
    <w:rsid w:val="003F6D1A"/>
    <w:rsid w:val="003F7258"/>
    <w:rsid w:val="003F7EAA"/>
    <w:rsid w:val="004001E2"/>
    <w:rsid w:val="004011EB"/>
    <w:rsid w:val="00402CFF"/>
    <w:rsid w:val="00402D83"/>
    <w:rsid w:val="0040422D"/>
    <w:rsid w:val="0040500E"/>
    <w:rsid w:val="004060FE"/>
    <w:rsid w:val="004063AF"/>
    <w:rsid w:val="00406C3D"/>
    <w:rsid w:val="00406D84"/>
    <w:rsid w:val="00406F22"/>
    <w:rsid w:val="004102C7"/>
    <w:rsid w:val="004107B9"/>
    <w:rsid w:val="0041153B"/>
    <w:rsid w:val="00411E3E"/>
    <w:rsid w:val="00412881"/>
    <w:rsid w:val="00412A49"/>
    <w:rsid w:val="00413B8E"/>
    <w:rsid w:val="0041481B"/>
    <w:rsid w:val="004153DC"/>
    <w:rsid w:val="00416A68"/>
    <w:rsid w:val="00420CE0"/>
    <w:rsid w:val="00421C91"/>
    <w:rsid w:val="004220F2"/>
    <w:rsid w:val="00422CD5"/>
    <w:rsid w:val="00424259"/>
    <w:rsid w:val="00424C53"/>
    <w:rsid w:val="00426A89"/>
    <w:rsid w:val="00430F10"/>
    <w:rsid w:val="00431D39"/>
    <w:rsid w:val="004324FD"/>
    <w:rsid w:val="00434531"/>
    <w:rsid w:val="00435193"/>
    <w:rsid w:val="0043661A"/>
    <w:rsid w:val="004375CB"/>
    <w:rsid w:val="004424BF"/>
    <w:rsid w:val="0044315C"/>
    <w:rsid w:val="00444446"/>
    <w:rsid w:val="0044505A"/>
    <w:rsid w:val="00445C85"/>
    <w:rsid w:val="00445CA4"/>
    <w:rsid w:val="00450229"/>
    <w:rsid w:val="0045059E"/>
    <w:rsid w:val="00450B51"/>
    <w:rsid w:val="0045134E"/>
    <w:rsid w:val="00451F90"/>
    <w:rsid w:val="00453A12"/>
    <w:rsid w:val="00454D09"/>
    <w:rsid w:val="00456A73"/>
    <w:rsid w:val="0045714B"/>
    <w:rsid w:val="0045765C"/>
    <w:rsid w:val="00460200"/>
    <w:rsid w:val="004604E8"/>
    <w:rsid w:val="00460AA5"/>
    <w:rsid w:val="00463024"/>
    <w:rsid w:val="004633BD"/>
    <w:rsid w:val="00463F34"/>
    <w:rsid w:val="00465931"/>
    <w:rsid w:val="00466E8A"/>
    <w:rsid w:val="00467706"/>
    <w:rsid w:val="004677EE"/>
    <w:rsid w:val="00471B0F"/>
    <w:rsid w:val="004729D0"/>
    <w:rsid w:val="00472DDA"/>
    <w:rsid w:val="004739C1"/>
    <w:rsid w:val="00474ED4"/>
    <w:rsid w:val="0047523E"/>
    <w:rsid w:val="0047670A"/>
    <w:rsid w:val="00477172"/>
    <w:rsid w:val="00477724"/>
    <w:rsid w:val="004804CD"/>
    <w:rsid w:val="00480555"/>
    <w:rsid w:val="0048194D"/>
    <w:rsid w:val="00481C70"/>
    <w:rsid w:val="00482EEB"/>
    <w:rsid w:val="00483BD7"/>
    <w:rsid w:val="0048461A"/>
    <w:rsid w:val="00484714"/>
    <w:rsid w:val="00485019"/>
    <w:rsid w:val="004855E6"/>
    <w:rsid w:val="004903E6"/>
    <w:rsid w:val="00490670"/>
    <w:rsid w:val="00490E37"/>
    <w:rsid w:val="00492ADE"/>
    <w:rsid w:val="0049424A"/>
    <w:rsid w:val="0049477B"/>
    <w:rsid w:val="004947F2"/>
    <w:rsid w:val="004965F6"/>
    <w:rsid w:val="004A1624"/>
    <w:rsid w:val="004A23A9"/>
    <w:rsid w:val="004A2E25"/>
    <w:rsid w:val="004A4A59"/>
    <w:rsid w:val="004A636E"/>
    <w:rsid w:val="004A6F28"/>
    <w:rsid w:val="004A7F1F"/>
    <w:rsid w:val="004B0822"/>
    <w:rsid w:val="004B0E88"/>
    <w:rsid w:val="004B1295"/>
    <w:rsid w:val="004B143F"/>
    <w:rsid w:val="004B18E1"/>
    <w:rsid w:val="004B1DAB"/>
    <w:rsid w:val="004B40BC"/>
    <w:rsid w:val="004B6DC5"/>
    <w:rsid w:val="004B7578"/>
    <w:rsid w:val="004B7FA2"/>
    <w:rsid w:val="004C09CF"/>
    <w:rsid w:val="004C5833"/>
    <w:rsid w:val="004C7329"/>
    <w:rsid w:val="004D0152"/>
    <w:rsid w:val="004D0663"/>
    <w:rsid w:val="004D0B93"/>
    <w:rsid w:val="004D118D"/>
    <w:rsid w:val="004D1874"/>
    <w:rsid w:val="004D2439"/>
    <w:rsid w:val="004D2915"/>
    <w:rsid w:val="004D2A40"/>
    <w:rsid w:val="004D353E"/>
    <w:rsid w:val="004D365F"/>
    <w:rsid w:val="004D3A3D"/>
    <w:rsid w:val="004D3BB4"/>
    <w:rsid w:val="004D4BAB"/>
    <w:rsid w:val="004D4EC8"/>
    <w:rsid w:val="004D529B"/>
    <w:rsid w:val="004D54B6"/>
    <w:rsid w:val="004E05D6"/>
    <w:rsid w:val="004E1F35"/>
    <w:rsid w:val="004E2360"/>
    <w:rsid w:val="004E23F2"/>
    <w:rsid w:val="004E358C"/>
    <w:rsid w:val="004E4374"/>
    <w:rsid w:val="004E5725"/>
    <w:rsid w:val="004E5E35"/>
    <w:rsid w:val="004E6CAB"/>
    <w:rsid w:val="004E6CBB"/>
    <w:rsid w:val="004E6E08"/>
    <w:rsid w:val="004E74E9"/>
    <w:rsid w:val="004E7DC4"/>
    <w:rsid w:val="004F2BC3"/>
    <w:rsid w:val="004F3A09"/>
    <w:rsid w:val="004F41F1"/>
    <w:rsid w:val="004F474F"/>
    <w:rsid w:val="004F631E"/>
    <w:rsid w:val="004F721D"/>
    <w:rsid w:val="004F788E"/>
    <w:rsid w:val="004F7E67"/>
    <w:rsid w:val="005011F1"/>
    <w:rsid w:val="005021D9"/>
    <w:rsid w:val="005022CA"/>
    <w:rsid w:val="0050238D"/>
    <w:rsid w:val="00502438"/>
    <w:rsid w:val="00503164"/>
    <w:rsid w:val="00503D05"/>
    <w:rsid w:val="0050734D"/>
    <w:rsid w:val="00507AC1"/>
    <w:rsid w:val="0051085A"/>
    <w:rsid w:val="005108DE"/>
    <w:rsid w:val="005153EF"/>
    <w:rsid w:val="00516B18"/>
    <w:rsid w:val="005178C0"/>
    <w:rsid w:val="00520CB2"/>
    <w:rsid w:val="00521146"/>
    <w:rsid w:val="005214F3"/>
    <w:rsid w:val="00522482"/>
    <w:rsid w:val="00522669"/>
    <w:rsid w:val="00523004"/>
    <w:rsid w:val="005232B4"/>
    <w:rsid w:val="005242CC"/>
    <w:rsid w:val="005251AB"/>
    <w:rsid w:val="005254EC"/>
    <w:rsid w:val="0052598E"/>
    <w:rsid w:val="00526CF1"/>
    <w:rsid w:val="00527277"/>
    <w:rsid w:val="00530E45"/>
    <w:rsid w:val="005312DB"/>
    <w:rsid w:val="0053135F"/>
    <w:rsid w:val="0053193A"/>
    <w:rsid w:val="00532791"/>
    <w:rsid w:val="00532C8D"/>
    <w:rsid w:val="005333CB"/>
    <w:rsid w:val="00534510"/>
    <w:rsid w:val="00534542"/>
    <w:rsid w:val="0053489C"/>
    <w:rsid w:val="0053501A"/>
    <w:rsid w:val="00535541"/>
    <w:rsid w:val="00535785"/>
    <w:rsid w:val="005359E2"/>
    <w:rsid w:val="00535E57"/>
    <w:rsid w:val="005363C0"/>
    <w:rsid w:val="00537CBF"/>
    <w:rsid w:val="005402E5"/>
    <w:rsid w:val="00541262"/>
    <w:rsid w:val="0054203B"/>
    <w:rsid w:val="005424A3"/>
    <w:rsid w:val="00542531"/>
    <w:rsid w:val="00543F34"/>
    <w:rsid w:val="00544FAF"/>
    <w:rsid w:val="0054576F"/>
    <w:rsid w:val="00545A0F"/>
    <w:rsid w:val="005475A8"/>
    <w:rsid w:val="00547655"/>
    <w:rsid w:val="00547872"/>
    <w:rsid w:val="00547A26"/>
    <w:rsid w:val="00550E31"/>
    <w:rsid w:val="0055239D"/>
    <w:rsid w:val="00552A3F"/>
    <w:rsid w:val="0055304D"/>
    <w:rsid w:val="00554FA7"/>
    <w:rsid w:val="005567FD"/>
    <w:rsid w:val="005568E2"/>
    <w:rsid w:val="00556ED9"/>
    <w:rsid w:val="005570CB"/>
    <w:rsid w:val="00557AD4"/>
    <w:rsid w:val="0056003C"/>
    <w:rsid w:val="005606FD"/>
    <w:rsid w:val="00560B5D"/>
    <w:rsid w:val="005615CE"/>
    <w:rsid w:val="005619E0"/>
    <w:rsid w:val="00563839"/>
    <w:rsid w:val="00564B8F"/>
    <w:rsid w:val="00564DB7"/>
    <w:rsid w:val="00565E17"/>
    <w:rsid w:val="00572159"/>
    <w:rsid w:val="00573FB9"/>
    <w:rsid w:val="005745B0"/>
    <w:rsid w:val="00574E28"/>
    <w:rsid w:val="00575459"/>
    <w:rsid w:val="00575D03"/>
    <w:rsid w:val="00577306"/>
    <w:rsid w:val="0057757E"/>
    <w:rsid w:val="0057B869"/>
    <w:rsid w:val="005801FF"/>
    <w:rsid w:val="0058035B"/>
    <w:rsid w:val="00581ABB"/>
    <w:rsid w:val="00581E87"/>
    <w:rsid w:val="005829FC"/>
    <w:rsid w:val="00582FE0"/>
    <w:rsid w:val="00583C31"/>
    <w:rsid w:val="00584BE4"/>
    <w:rsid w:val="00585340"/>
    <w:rsid w:val="00586A12"/>
    <w:rsid w:val="005870F3"/>
    <w:rsid w:val="00587A71"/>
    <w:rsid w:val="00592062"/>
    <w:rsid w:val="0059248A"/>
    <w:rsid w:val="00592EEF"/>
    <w:rsid w:val="00593A20"/>
    <w:rsid w:val="00593B1F"/>
    <w:rsid w:val="00593C41"/>
    <w:rsid w:val="00593CD2"/>
    <w:rsid w:val="00595F66"/>
    <w:rsid w:val="005966B7"/>
    <w:rsid w:val="005966B8"/>
    <w:rsid w:val="005A055B"/>
    <w:rsid w:val="005A17CB"/>
    <w:rsid w:val="005A380F"/>
    <w:rsid w:val="005A3831"/>
    <w:rsid w:val="005A38E4"/>
    <w:rsid w:val="005A3A5F"/>
    <w:rsid w:val="005A3CDA"/>
    <w:rsid w:val="005A57E5"/>
    <w:rsid w:val="005A59D0"/>
    <w:rsid w:val="005A5FC1"/>
    <w:rsid w:val="005A6403"/>
    <w:rsid w:val="005A6B1E"/>
    <w:rsid w:val="005A705B"/>
    <w:rsid w:val="005A77DF"/>
    <w:rsid w:val="005A77E8"/>
    <w:rsid w:val="005A7BAA"/>
    <w:rsid w:val="005A7EF4"/>
    <w:rsid w:val="005A7F49"/>
    <w:rsid w:val="005B1258"/>
    <w:rsid w:val="005B1729"/>
    <w:rsid w:val="005B1ED2"/>
    <w:rsid w:val="005B3EBA"/>
    <w:rsid w:val="005B4EC1"/>
    <w:rsid w:val="005B4FB8"/>
    <w:rsid w:val="005B518E"/>
    <w:rsid w:val="005B52E4"/>
    <w:rsid w:val="005B554E"/>
    <w:rsid w:val="005B6388"/>
    <w:rsid w:val="005B6ADB"/>
    <w:rsid w:val="005B7889"/>
    <w:rsid w:val="005C0054"/>
    <w:rsid w:val="005C0740"/>
    <w:rsid w:val="005C08A4"/>
    <w:rsid w:val="005C1ED4"/>
    <w:rsid w:val="005C259A"/>
    <w:rsid w:val="005C2982"/>
    <w:rsid w:val="005C41E2"/>
    <w:rsid w:val="005C42E2"/>
    <w:rsid w:val="005C4C4F"/>
    <w:rsid w:val="005C5443"/>
    <w:rsid w:val="005C5876"/>
    <w:rsid w:val="005D08C2"/>
    <w:rsid w:val="005D22C3"/>
    <w:rsid w:val="005D4726"/>
    <w:rsid w:val="005D4D13"/>
    <w:rsid w:val="005D5C8E"/>
    <w:rsid w:val="005D5F97"/>
    <w:rsid w:val="005D66DC"/>
    <w:rsid w:val="005D67D5"/>
    <w:rsid w:val="005E0751"/>
    <w:rsid w:val="005E1746"/>
    <w:rsid w:val="005E20F4"/>
    <w:rsid w:val="005E22C5"/>
    <w:rsid w:val="005E2F46"/>
    <w:rsid w:val="005E4BEB"/>
    <w:rsid w:val="005E5841"/>
    <w:rsid w:val="005E6455"/>
    <w:rsid w:val="005E65A7"/>
    <w:rsid w:val="005E7408"/>
    <w:rsid w:val="005E79FE"/>
    <w:rsid w:val="005E7AF7"/>
    <w:rsid w:val="005E7DD1"/>
    <w:rsid w:val="005F0078"/>
    <w:rsid w:val="005F06B6"/>
    <w:rsid w:val="005F2BD8"/>
    <w:rsid w:val="005F3608"/>
    <w:rsid w:val="005F460A"/>
    <w:rsid w:val="005F6025"/>
    <w:rsid w:val="005F6029"/>
    <w:rsid w:val="005F6300"/>
    <w:rsid w:val="005F717C"/>
    <w:rsid w:val="005F7916"/>
    <w:rsid w:val="00601356"/>
    <w:rsid w:val="006019C5"/>
    <w:rsid w:val="00602BBB"/>
    <w:rsid w:val="006043C0"/>
    <w:rsid w:val="006102CF"/>
    <w:rsid w:val="00610782"/>
    <w:rsid w:val="00611628"/>
    <w:rsid w:val="00611C67"/>
    <w:rsid w:val="006120AA"/>
    <w:rsid w:val="006121FA"/>
    <w:rsid w:val="00613104"/>
    <w:rsid w:val="006155D2"/>
    <w:rsid w:val="00615E54"/>
    <w:rsid w:val="00620A93"/>
    <w:rsid w:val="006212F1"/>
    <w:rsid w:val="00621C41"/>
    <w:rsid w:val="00621E34"/>
    <w:rsid w:val="00622FA8"/>
    <w:rsid w:val="0062349C"/>
    <w:rsid w:val="0062357A"/>
    <w:rsid w:val="00624105"/>
    <w:rsid w:val="00624427"/>
    <w:rsid w:val="00624570"/>
    <w:rsid w:val="0062471A"/>
    <w:rsid w:val="00626212"/>
    <w:rsid w:val="006264EA"/>
    <w:rsid w:val="00627967"/>
    <w:rsid w:val="00630DE4"/>
    <w:rsid w:val="006319B6"/>
    <w:rsid w:val="00631BDB"/>
    <w:rsid w:val="0063273D"/>
    <w:rsid w:val="00633213"/>
    <w:rsid w:val="00633C61"/>
    <w:rsid w:val="006344C4"/>
    <w:rsid w:val="00635859"/>
    <w:rsid w:val="00637168"/>
    <w:rsid w:val="00640DA8"/>
    <w:rsid w:val="00642435"/>
    <w:rsid w:val="00643F80"/>
    <w:rsid w:val="0064404A"/>
    <w:rsid w:val="0064512A"/>
    <w:rsid w:val="00645697"/>
    <w:rsid w:val="00646CF2"/>
    <w:rsid w:val="00646DBB"/>
    <w:rsid w:val="006473E9"/>
    <w:rsid w:val="006500A7"/>
    <w:rsid w:val="006518C5"/>
    <w:rsid w:val="0065357E"/>
    <w:rsid w:val="0065362E"/>
    <w:rsid w:val="00654B84"/>
    <w:rsid w:val="0065603A"/>
    <w:rsid w:val="0065727D"/>
    <w:rsid w:val="0065773A"/>
    <w:rsid w:val="00657E0B"/>
    <w:rsid w:val="0066132D"/>
    <w:rsid w:val="0066137B"/>
    <w:rsid w:val="0066389C"/>
    <w:rsid w:val="00664B9A"/>
    <w:rsid w:val="00665408"/>
    <w:rsid w:val="00667102"/>
    <w:rsid w:val="00670C12"/>
    <w:rsid w:val="00672081"/>
    <w:rsid w:val="00672CA2"/>
    <w:rsid w:val="00675671"/>
    <w:rsid w:val="006757E6"/>
    <w:rsid w:val="00677037"/>
    <w:rsid w:val="006779DD"/>
    <w:rsid w:val="00680945"/>
    <w:rsid w:val="00683012"/>
    <w:rsid w:val="00684436"/>
    <w:rsid w:val="0068493F"/>
    <w:rsid w:val="006849D8"/>
    <w:rsid w:val="0068539D"/>
    <w:rsid w:val="00686647"/>
    <w:rsid w:val="00686BF7"/>
    <w:rsid w:val="00687866"/>
    <w:rsid w:val="00687A40"/>
    <w:rsid w:val="00687C8A"/>
    <w:rsid w:val="00691CA8"/>
    <w:rsid w:val="00691E46"/>
    <w:rsid w:val="00693211"/>
    <w:rsid w:val="006932CC"/>
    <w:rsid w:val="0069436D"/>
    <w:rsid w:val="00694C73"/>
    <w:rsid w:val="00695592"/>
    <w:rsid w:val="00696DB1"/>
    <w:rsid w:val="00697035"/>
    <w:rsid w:val="00697714"/>
    <w:rsid w:val="006A0A80"/>
    <w:rsid w:val="006A10DC"/>
    <w:rsid w:val="006A226B"/>
    <w:rsid w:val="006A249A"/>
    <w:rsid w:val="006A525C"/>
    <w:rsid w:val="006A6189"/>
    <w:rsid w:val="006A67A8"/>
    <w:rsid w:val="006A6AF9"/>
    <w:rsid w:val="006A7E1E"/>
    <w:rsid w:val="006B0029"/>
    <w:rsid w:val="006B022C"/>
    <w:rsid w:val="006B075C"/>
    <w:rsid w:val="006B1E62"/>
    <w:rsid w:val="006B48A4"/>
    <w:rsid w:val="006B4981"/>
    <w:rsid w:val="006B5023"/>
    <w:rsid w:val="006B5118"/>
    <w:rsid w:val="006B56DE"/>
    <w:rsid w:val="006B62BF"/>
    <w:rsid w:val="006B6C5D"/>
    <w:rsid w:val="006B7976"/>
    <w:rsid w:val="006B7A9F"/>
    <w:rsid w:val="006C086F"/>
    <w:rsid w:val="006C1371"/>
    <w:rsid w:val="006C153E"/>
    <w:rsid w:val="006C1852"/>
    <w:rsid w:val="006C1AF3"/>
    <w:rsid w:val="006C1BF6"/>
    <w:rsid w:val="006C316C"/>
    <w:rsid w:val="006C48D0"/>
    <w:rsid w:val="006C56EF"/>
    <w:rsid w:val="006D1ADD"/>
    <w:rsid w:val="006D41FC"/>
    <w:rsid w:val="006D48E0"/>
    <w:rsid w:val="006D6972"/>
    <w:rsid w:val="006E0392"/>
    <w:rsid w:val="006E1312"/>
    <w:rsid w:val="006E17BF"/>
    <w:rsid w:val="006E184F"/>
    <w:rsid w:val="006E2893"/>
    <w:rsid w:val="006E447A"/>
    <w:rsid w:val="006E75CE"/>
    <w:rsid w:val="006E7B9A"/>
    <w:rsid w:val="006F3162"/>
    <w:rsid w:val="006F3248"/>
    <w:rsid w:val="006F420A"/>
    <w:rsid w:val="006F556E"/>
    <w:rsid w:val="006F598A"/>
    <w:rsid w:val="006F5FF3"/>
    <w:rsid w:val="006F61EF"/>
    <w:rsid w:val="006F7301"/>
    <w:rsid w:val="006F773E"/>
    <w:rsid w:val="00700A12"/>
    <w:rsid w:val="007010BF"/>
    <w:rsid w:val="00702B6B"/>
    <w:rsid w:val="00703802"/>
    <w:rsid w:val="00703F44"/>
    <w:rsid w:val="00704F48"/>
    <w:rsid w:val="00705021"/>
    <w:rsid w:val="00705FD4"/>
    <w:rsid w:val="007064A3"/>
    <w:rsid w:val="007106C2"/>
    <w:rsid w:val="007108E0"/>
    <w:rsid w:val="00711D72"/>
    <w:rsid w:val="00712967"/>
    <w:rsid w:val="0071306F"/>
    <w:rsid w:val="007154DA"/>
    <w:rsid w:val="007167D3"/>
    <w:rsid w:val="0071693D"/>
    <w:rsid w:val="00716D98"/>
    <w:rsid w:val="00720F8B"/>
    <w:rsid w:val="007217BA"/>
    <w:rsid w:val="007219FD"/>
    <w:rsid w:val="0072279F"/>
    <w:rsid w:val="00722E5F"/>
    <w:rsid w:val="007230F7"/>
    <w:rsid w:val="007245C0"/>
    <w:rsid w:val="00724845"/>
    <w:rsid w:val="00724C7F"/>
    <w:rsid w:val="00725105"/>
    <w:rsid w:val="0072662D"/>
    <w:rsid w:val="00727EBE"/>
    <w:rsid w:val="00730273"/>
    <w:rsid w:val="00730E76"/>
    <w:rsid w:val="007322F6"/>
    <w:rsid w:val="00732C1C"/>
    <w:rsid w:val="00733775"/>
    <w:rsid w:val="00734EE6"/>
    <w:rsid w:val="007407FE"/>
    <w:rsid w:val="00740A12"/>
    <w:rsid w:val="00740C14"/>
    <w:rsid w:val="00741195"/>
    <w:rsid w:val="00742070"/>
    <w:rsid w:val="00742964"/>
    <w:rsid w:val="00744160"/>
    <w:rsid w:val="0074468F"/>
    <w:rsid w:val="0074610F"/>
    <w:rsid w:val="00746664"/>
    <w:rsid w:val="007478C2"/>
    <w:rsid w:val="00747F5E"/>
    <w:rsid w:val="00750414"/>
    <w:rsid w:val="0075083C"/>
    <w:rsid w:val="007517C0"/>
    <w:rsid w:val="00751AEB"/>
    <w:rsid w:val="00753572"/>
    <w:rsid w:val="007543E5"/>
    <w:rsid w:val="00756FF3"/>
    <w:rsid w:val="00760F7F"/>
    <w:rsid w:val="007613A1"/>
    <w:rsid w:val="00762F19"/>
    <w:rsid w:val="00771FBF"/>
    <w:rsid w:val="00772773"/>
    <w:rsid w:val="00772D85"/>
    <w:rsid w:val="007733B3"/>
    <w:rsid w:val="0077410E"/>
    <w:rsid w:val="0077414D"/>
    <w:rsid w:val="0077508F"/>
    <w:rsid w:val="00775CD7"/>
    <w:rsid w:val="00777DA7"/>
    <w:rsid w:val="00780DE0"/>
    <w:rsid w:val="00781ACB"/>
    <w:rsid w:val="00785BFA"/>
    <w:rsid w:val="00790D09"/>
    <w:rsid w:val="007912B4"/>
    <w:rsid w:val="00793D8D"/>
    <w:rsid w:val="00795441"/>
    <w:rsid w:val="00795452"/>
    <w:rsid w:val="0079565D"/>
    <w:rsid w:val="00796774"/>
    <w:rsid w:val="007A0BD5"/>
    <w:rsid w:val="007A1873"/>
    <w:rsid w:val="007A2D5B"/>
    <w:rsid w:val="007A4661"/>
    <w:rsid w:val="007A48F2"/>
    <w:rsid w:val="007A4DB6"/>
    <w:rsid w:val="007A576C"/>
    <w:rsid w:val="007A5AAD"/>
    <w:rsid w:val="007A666B"/>
    <w:rsid w:val="007B09C0"/>
    <w:rsid w:val="007B0EDE"/>
    <w:rsid w:val="007B23FB"/>
    <w:rsid w:val="007B2757"/>
    <w:rsid w:val="007B39B0"/>
    <w:rsid w:val="007B3BD8"/>
    <w:rsid w:val="007B4AF2"/>
    <w:rsid w:val="007B4C7A"/>
    <w:rsid w:val="007B57C3"/>
    <w:rsid w:val="007B6011"/>
    <w:rsid w:val="007B615E"/>
    <w:rsid w:val="007B7055"/>
    <w:rsid w:val="007B7FA8"/>
    <w:rsid w:val="007C1331"/>
    <w:rsid w:val="007C184B"/>
    <w:rsid w:val="007C1B49"/>
    <w:rsid w:val="007C2042"/>
    <w:rsid w:val="007C3B14"/>
    <w:rsid w:val="007C41A2"/>
    <w:rsid w:val="007C41B9"/>
    <w:rsid w:val="007C574C"/>
    <w:rsid w:val="007C5DB4"/>
    <w:rsid w:val="007C7217"/>
    <w:rsid w:val="007C74C6"/>
    <w:rsid w:val="007C7636"/>
    <w:rsid w:val="007C76B3"/>
    <w:rsid w:val="007D18E1"/>
    <w:rsid w:val="007D1B6A"/>
    <w:rsid w:val="007D2038"/>
    <w:rsid w:val="007D338F"/>
    <w:rsid w:val="007D39F5"/>
    <w:rsid w:val="007D4E62"/>
    <w:rsid w:val="007D6B52"/>
    <w:rsid w:val="007E0D9F"/>
    <w:rsid w:val="007E1D45"/>
    <w:rsid w:val="007E24AE"/>
    <w:rsid w:val="007E28E3"/>
    <w:rsid w:val="007E434B"/>
    <w:rsid w:val="007E49A6"/>
    <w:rsid w:val="007E4CE9"/>
    <w:rsid w:val="007E734F"/>
    <w:rsid w:val="007F07AF"/>
    <w:rsid w:val="007F083A"/>
    <w:rsid w:val="007F0B07"/>
    <w:rsid w:val="007F0EB7"/>
    <w:rsid w:val="007F26CC"/>
    <w:rsid w:val="007F4102"/>
    <w:rsid w:val="007F61B0"/>
    <w:rsid w:val="007F63E5"/>
    <w:rsid w:val="007F671E"/>
    <w:rsid w:val="007F746C"/>
    <w:rsid w:val="007F787B"/>
    <w:rsid w:val="00800441"/>
    <w:rsid w:val="008015FC"/>
    <w:rsid w:val="00801838"/>
    <w:rsid w:val="00801E05"/>
    <w:rsid w:val="008021DD"/>
    <w:rsid w:val="008043EA"/>
    <w:rsid w:val="00804760"/>
    <w:rsid w:val="0080516C"/>
    <w:rsid w:val="008061DF"/>
    <w:rsid w:val="00807C5E"/>
    <w:rsid w:val="0081033F"/>
    <w:rsid w:val="008122C2"/>
    <w:rsid w:val="008123C0"/>
    <w:rsid w:val="00813050"/>
    <w:rsid w:val="00813352"/>
    <w:rsid w:val="00813C49"/>
    <w:rsid w:val="00814FCD"/>
    <w:rsid w:val="00815A8C"/>
    <w:rsid w:val="00817CD2"/>
    <w:rsid w:val="00820A5C"/>
    <w:rsid w:val="00821A95"/>
    <w:rsid w:val="00821F83"/>
    <w:rsid w:val="00823D8E"/>
    <w:rsid w:val="00824451"/>
    <w:rsid w:val="00824C1F"/>
    <w:rsid w:val="008250B4"/>
    <w:rsid w:val="00826260"/>
    <w:rsid w:val="008267E0"/>
    <w:rsid w:val="00826918"/>
    <w:rsid w:val="0083150E"/>
    <w:rsid w:val="00832334"/>
    <w:rsid w:val="008325DE"/>
    <w:rsid w:val="008330DD"/>
    <w:rsid w:val="0083334B"/>
    <w:rsid w:val="008337BD"/>
    <w:rsid w:val="00833813"/>
    <w:rsid w:val="00833814"/>
    <w:rsid w:val="0083425E"/>
    <w:rsid w:val="008357BD"/>
    <w:rsid w:val="00835BC3"/>
    <w:rsid w:val="0083614B"/>
    <w:rsid w:val="00836665"/>
    <w:rsid w:val="00837733"/>
    <w:rsid w:val="008415AC"/>
    <w:rsid w:val="0084320D"/>
    <w:rsid w:val="00843880"/>
    <w:rsid w:val="00843A0E"/>
    <w:rsid w:val="008463B5"/>
    <w:rsid w:val="00846DCF"/>
    <w:rsid w:val="00850994"/>
    <w:rsid w:val="00850F13"/>
    <w:rsid w:val="00853ED4"/>
    <w:rsid w:val="00855410"/>
    <w:rsid w:val="00855621"/>
    <w:rsid w:val="0085578E"/>
    <w:rsid w:val="008571B4"/>
    <w:rsid w:val="00857234"/>
    <w:rsid w:val="0086020D"/>
    <w:rsid w:val="008602DC"/>
    <w:rsid w:val="00860BDF"/>
    <w:rsid w:val="008635DB"/>
    <w:rsid w:val="00863E7E"/>
    <w:rsid w:val="0086504B"/>
    <w:rsid w:val="00865193"/>
    <w:rsid w:val="008653E2"/>
    <w:rsid w:val="00866835"/>
    <w:rsid w:val="00870FD0"/>
    <w:rsid w:val="00871D8F"/>
    <w:rsid w:val="0087276D"/>
    <w:rsid w:val="00872DA3"/>
    <w:rsid w:val="00873974"/>
    <w:rsid w:val="0087476D"/>
    <w:rsid w:val="008752DD"/>
    <w:rsid w:val="00875BED"/>
    <w:rsid w:val="00877C9B"/>
    <w:rsid w:val="00880221"/>
    <w:rsid w:val="008803BF"/>
    <w:rsid w:val="00880B7A"/>
    <w:rsid w:val="00881461"/>
    <w:rsid w:val="00881FEC"/>
    <w:rsid w:val="00882CDE"/>
    <w:rsid w:val="008835AE"/>
    <w:rsid w:val="00884C56"/>
    <w:rsid w:val="00887A86"/>
    <w:rsid w:val="00891DC7"/>
    <w:rsid w:val="0089353C"/>
    <w:rsid w:val="008935CE"/>
    <w:rsid w:val="00893CD9"/>
    <w:rsid w:val="00893D91"/>
    <w:rsid w:val="00894AD2"/>
    <w:rsid w:val="00894C70"/>
    <w:rsid w:val="008957E2"/>
    <w:rsid w:val="00895D94"/>
    <w:rsid w:val="008970E3"/>
    <w:rsid w:val="00897DD6"/>
    <w:rsid w:val="008A0B23"/>
    <w:rsid w:val="008A1AAA"/>
    <w:rsid w:val="008A26E7"/>
    <w:rsid w:val="008A2A41"/>
    <w:rsid w:val="008A2BD9"/>
    <w:rsid w:val="008A2D51"/>
    <w:rsid w:val="008A33B1"/>
    <w:rsid w:val="008A389B"/>
    <w:rsid w:val="008A3D0A"/>
    <w:rsid w:val="008A60DD"/>
    <w:rsid w:val="008A65E4"/>
    <w:rsid w:val="008A775D"/>
    <w:rsid w:val="008B02C2"/>
    <w:rsid w:val="008B0740"/>
    <w:rsid w:val="008B1883"/>
    <w:rsid w:val="008B1A6A"/>
    <w:rsid w:val="008B249D"/>
    <w:rsid w:val="008B643A"/>
    <w:rsid w:val="008B6E8F"/>
    <w:rsid w:val="008B7F37"/>
    <w:rsid w:val="008C0B2B"/>
    <w:rsid w:val="008C18A6"/>
    <w:rsid w:val="008C2247"/>
    <w:rsid w:val="008C327D"/>
    <w:rsid w:val="008C77C2"/>
    <w:rsid w:val="008D0913"/>
    <w:rsid w:val="008D1A12"/>
    <w:rsid w:val="008D312F"/>
    <w:rsid w:val="008D421E"/>
    <w:rsid w:val="008D46D1"/>
    <w:rsid w:val="008D4AB5"/>
    <w:rsid w:val="008D6406"/>
    <w:rsid w:val="008D702F"/>
    <w:rsid w:val="008D70AA"/>
    <w:rsid w:val="008D7E6B"/>
    <w:rsid w:val="008E3769"/>
    <w:rsid w:val="008E37B3"/>
    <w:rsid w:val="008E39A0"/>
    <w:rsid w:val="008E3CCB"/>
    <w:rsid w:val="008E3F4A"/>
    <w:rsid w:val="008E41EF"/>
    <w:rsid w:val="008E47E9"/>
    <w:rsid w:val="008E4B7A"/>
    <w:rsid w:val="008E5951"/>
    <w:rsid w:val="008E658F"/>
    <w:rsid w:val="008E763C"/>
    <w:rsid w:val="008E7B76"/>
    <w:rsid w:val="008F1B3B"/>
    <w:rsid w:val="008F2080"/>
    <w:rsid w:val="008F2C83"/>
    <w:rsid w:val="008F3A77"/>
    <w:rsid w:val="008F4173"/>
    <w:rsid w:val="008F45C5"/>
    <w:rsid w:val="008F53E8"/>
    <w:rsid w:val="008F5BBF"/>
    <w:rsid w:val="00901904"/>
    <w:rsid w:val="00904428"/>
    <w:rsid w:val="009046B5"/>
    <w:rsid w:val="0090591F"/>
    <w:rsid w:val="00905D5F"/>
    <w:rsid w:val="00906A55"/>
    <w:rsid w:val="009072A2"/>
    <w:rsid w:val="009072D2"/>
    <w:rsid w:val="00911493"/>
    <w:rsid w:val="00911844"/>
    <w:rsid w:val="00913221"/>
    <w:rsid w:val="00913262"/>
    <w:rsid w:val="00914397"/>
    <w:rsid w:val="009201A5"/>
    <w:rsid w:val="00920E0E"/>
    <w:rsid w:val="00920E18"/>
    <w:rsid w:val="0092142C"/>
    <w:rsid w:val="009225D1"/>
    <w:rsid w:val="00922DA9"/>
    <w:rsid w:val="0092348A"/>
    <w:rsid w:val="00923B50"/>
    <w:rsid w:val="00924EA7"/>
    <w:rsid w:val="009257B2"/>
    <w:rsid w:val="0092701F"/>
    <w:rsid w:val="00927E81"/>
    <w:rsid w:val="009311B3"/>
    <w:rsid w:val="00931B31"/>
    <w:rsid w:val="0093280F"/>
    <w:rsid w:val="009332E4"/>
    <w:rsid w:val="009333ED"/>
    <w:rsid w:val="00936B1F"/>
    <w:rsid w:val="00937A43"/>
    <w:rsid w:val="00937C46"/>
    <w:rsid w:val="00937ED1"/>
    <w:rsid w:val="009422EF"/>
    <w:rsid w:val="009432E8"/>
    <w:rsid w:val="00943EBA"/>
    <w:rsid w:val="0094433E"/>
    <w:rsid w:val="00945DA3"/>
    <w:rsid w:val="00946698"/>
    <w:rsid w:val="00947CAF"/>
    <w:rsid w:val="009516FF"/>
    <w:rsid w:val="009526CA"/>
    <w:rsid w:val="0095273A"/>
    <w:rsid w:val="00953560"/>
    <w:rsid w:val="00953673"/>
    <w:rsid w:val="009538D6"/>
    <w:rsid w:val="00954101"/>
    <w:rsid w:val="0095418C"/>
    <w:rsid w:val="00957119"/>
    <w:rsid w:val="0096066B"/>
    <w:rsid w:val="0096156B"/>
    <w:rsid w:val="009638B8"/>
    <w:rsid w:val="00963943"/>
    <w:rsid w:val="00964387"/>
    <w:rsid w:val="009643AF"/>
    <w:rsid w:val="009655EF"/>
    <w:rsid w:val="00966C51"/>
    <w:rsid w:val="009708E4"/>
    <w:rsid w:val="00970AC4"/>
    <w:rsid w:val="009719B2"/>
    <w:rsid w:val="00972890"/>
    <w:rsid w:val="00973B95"/>
    <w:rsid w:val="00974595"/>
    <w:rsid w:val="00974BC2"/>
    <w:rsid w:val="0097560B"/>
    <w:rsid w:val="009764C7"/>
    <w:rsid w:val="00976BC9"/>
    <w:rsid w:val="00977734"/>
    <w:rsid w:val="009778CC"/>
    <w:rsid w:val="00977ACC"/>
    <w:rsid w:val="00977F1F"/>
    <w:rsid w:val="00980474"/>
    <w:rsid w:val="00980959"/>
    <w:rsid w:val="00981E35"/>
    <w:rsid w:val="0098324E"/>
    <w:rsid w:val="00983318"/>
    <w:rsid w:val="00983394"/>
    <w:rsid w:val="009833EC"/>
    <w:rsid w:val="009836C8"/>
    <w:rsid w:val="00985C22"/>
    <w:rsid w:val="00985E5B"/>
    <w:rsid w:val="00987CEB"/>
    <w:rsid w:val="00990F74"/>
    <w:rsid w:val="00991451"/>
    <w:rsid w:val="00992FE1"/>
    <w:rsid w:val="009936BC"/>
    <w:rsid w:val="00993B39"/>
    <w:rsid w:val="00993F09"/>
    <w:rsid w:val="0099411C"/>
    <w:rsid w:val="0099435F"/>
    <w:rsid w:val="00995037"/>
    <w:rsid w:val="00995FDE"/>
    <w:rsid w:val="00997078"/>
    <w:rsid w:val="00997450"/>
    <w:rsid w:val="00997851"/>
    <w:rsid w:val="00997AE0"/>
    <w:rsid w:val="009A12C1"/>
    <w:rsid w:val="009A1586"/>
    <w:rsid w:val="009A1B06"/>
    <w:rsid w:val="009A2635"/>
    <w:rsid w:val="009A2DE9"/>
    <w:rsid w:val="009A3552"/>
    <w:rsid w:val="009A5013"/>
    <w:rsid w:val="009A5794"/>
    <w:rsid w:val="009A7411"/>
    <w:rsid w:val="009B0169"/>
    <w:rsid w:val="009B0645"/>
    <w:rsid w:val="009B1036"/>
    <w:rsid w:val="009B126D"/>
    <w:rsid w:val="009B1444"/>
    <w:rsid w:val="009B2A4C"/>
    <w:rsid w:val="009B2AB9"/>
    <w:rsid w:val="009B4C3D"/>
    <w:rsid w:val="009B5726"/>
    <w:rsid w:val="009B5920"/>
    <w:rsid w:val="009B62A4"/>
    <w:rsid w:val="009B68CE"/>
    <w:rsid w:val="009B71CC"/>
    <w:rsid w:val="009C0257"/>
    <w:rsid w:val="009C2545"/>
    <w:rsid w:val="009C3244"/>
    <w:rsid w:val="009C4233"/>
    <w:rsid w:val="009C47AB"/>
    <w:rsid w:val="009C55B6"/>
    <w:rsid w:val="009C638E"/>
    <w:rsid w:val="009C7151"/>
    <w:rsid w:val="009C7C3D"/>
    <w:rsid w:val="009D025D"/>
    <w:rsid w:val="009D03AC"/>
    <w:rsid w:val="009D14A0"/>
    <w:rsid w:val="009D17BF"/>
    <w:rsid w:val="009D1B56"/>
    <w:rsid w:val="009D1F25"/>
    <w:rsid w:val="009D49A8"/>
    <w:rsid w:val="009D4DAD"/>
    <w:rsid w:val="009D5113"/>
    <w:rsid w:val="009D5EB7"/>
    <w:rsid w:val="009D6720"/>
    <w:rsid w:val="009D6934"/>
    <w:rsid w:val="009E0A52"/>
    <w:rsid w:val="009E1582"/>
    <w:rsid w:val="009E159B"/>
    <w:rsid w:val="009E1E43"/>
    <w:rsid w:val="009E2AFC"/>
    <w:rsid w:val="009E5156"/>
    <w:rsid w:val="009E599E"/>
    <w:rsid w:val="009E6196"/>
    <w:rsid w:val="009E6E3F"/>
    <w:rsid w:val="009E6EAC"/>
    <w:rsid w:val="009F13EA"/>
    <w:rsid w:val="009F1D67"/>
    <w:rsid w:val="009F241E"/>
    <w:rsid w:val="009F2FCF"/>
    <w:rsid w:val="009F3109"/>
    <w:rsid w:val="009F3769"/>
    <w:rsid w:val="009F3C86"/>
    <w:rsid w:val="009F3EDA"/>
    <w:rsid w:val="009F40A7"/>
    <w:rsid w:val="009F5372"/>
    <w:rsid w:val="009F5D07"/>
    <w:rsid w:val="009F6612"/>
    <w:rsid w:val="009F6874"/>
    <w:rsid w:val="009F6E3E"/>
    <w:rsid w:val="009F7BE8"/>
    <w:rsid w:val="00A00860"/>
    <w:rsid w:val="00A01DA0"/>
    <w:rsid w:val="00A025E6"/>
    <w:rsid w:val="00A032B5"/>
    <w:rsid w:val="00A053F2"/>
    <w:rsid w:val="00A05999"/>
    <w:rsid w:val="00A07BAD"/>
    <w:rsid w:val="00A10CC0"/>
    <w:rsid w:val="00A115F8"/>
    <w:rsid w:val="00A1234E"/>
    <w:rsid w:val="00A1630A"/>
    <w:rsid w:val="00A165D2"/>
    <w:rsid w:val="00A16BC4"/>
    <w:rsid w:val="00A174FF"/>
    <w:rsid w:val="00A20AC1"/>
    <w:rsid w:val="00A21AD3"/>
    <w:rsid w:val="00A23D7C"/>
    <w:rsid w:val="00A25E2F"/>
    <w:rsid w:val="00A2619A"/>
    <w:rsid w:val="00A27548"/>
    <w:rsid w:val="00A27EC1"/>
    <w:rsid w:val="00A30DEF"/>
    <w:rsid w:val="00A310F7"/>
    <w:rsid w:val="00A3171C"/>
    <w:rsid w:val="00A31B54"/>
    <w:rsid w:val="00A333EE"/>
    <w:rsid w:val="00A3427F"/>
    <w:rsid w:val="00A34525"/>
    <w:rsid w:val="00A3532F"/>
    <w:rsid w:val="00A355F6"/>
    <w:rsid w:val="00A36D4C"/>
    <w:rsid w:val="00A4054D"/>
    <w:rsid w:val="00A409E9"/>
    <w:rsid w:val="00A40E7F"/>
    <w:rsid w:val="00A41845"/>
    <w:rsid w:val="00A420EE"/>
    <w:rsid w:val="00A42210"/>
    <w:rsid w:val="00A43641"/>
    <w:rsid w:val="00A44448"/>
    <w:rsid w:val="00A451C5"/>
    <w:rsid w:val="00A4573C"/>
    <w:rsid w:val="00A45879"/>
    <w:rsid w:val="00A45B72"/>
    <w:rsid w:val="00A45CBA"/>
    <w:rsid w:val="00A46200"/>
    <w:rsid w:val="00A50410"/>
    <w:rsid w:val="00A5212E"/>
    <w:rsid w:val="00A52D35"/>
    <w:rsid w:val="00A5394C"/>
    <w:rsid w:val="00A5471C"/>
    <w:rsid w:val="00A54CE0"/>
    <w:rsid w:val="00A56763"/>
    <w:rsid w:val="00A56799"/>
    <w:rsid w:val="00A570E2"/>
    <w:rsid w:val="00A578BA"/>
    <w:rsid w:val="00A60B14"/>
    <w:rsid w:val="00A62354"/>
    <w:rsid w:val="00A64E26"/>
    <w:rsid w:val="00A662E6"/>
    <w:rsid w:val="00A66BAE"/>
    <w:rsid w:val="00A679BE"/>
    <w:rsid w:val="00A7071E"/>
    <w:rsid w:val="00A70F11"/>
    <w:rsid w:val="00A71D7F"/>
    <w:rsid w:val="00A725F1"/>
    <w:rsid w:val="00A7307D"/>
    <w:rsid w:val="00A73665"/>
    <w:rsid w:val="00A73F91"/>
    <w:rsid w:val="00A748EF"/>
    <w:rsid w:val="00A7560B"/>
    <w:rsid w:val="00A75B21"/>
    <w:rsid w:val="00A75C04"/>
    <w:rsid w:val="00A76236"/>
    <w:rsid w:val="00A8341A"/>
    <w:rsid w:val="00A834C0"/>
    <w:rsid w:val="00A83532"/>
    <w:rsid w:val="00A837AF"/>
    <w:rsid w:val="00A84E23"/>
    <w:rsid w:val="00A864F1"/>
    <w:rsid w:val="00A86889"/>
    <w:rsid w:val="00A86A51"/>
    <w:rsid w:val="00A86FC9"/>
    <w:rsid w:val="00A87F7C"/>
    <w:rsid w:val="00A90AA6"/>
    <w:rsid w:val="00A91890"/>
    <w:rsid w:val="00A92126"/>
    <w:rsid w:val="00A92AE2"/>
    <w:rsid w:val="00A95054"/>
    <w:rsid w:val="00A96B5E"/>
    <w:rsid w:val="00A97072"/>
    <w:rsid w:val="00A97610"/>
    <w:rsid w:val="00A97D24"/>
    <w:rsid w:val="00AA01E8"/>
    <w:rsid w:val="00AA0BA9"/>
    <w:rsid w:val="00AA120D"/>
    <w:rsid w:val="00AA12CE"/>
    <w:rsid w:val="00AA2082"/>
    <w:rsid w:val="00AA5B42"/>
    <w:rsid w:val="00AA5F88"/>
    <w:rsid w:val="00AA6469"/>
    <w:rsid w:val="00AA6608"/>
    <w:rsid w:val="00AA72A8"/>
    <w:rsid w:val="00AB10AD"/>
    <w:rsid w:val="00AB22CA"/>
    <w:rsid w:val="00AB23C6"/>
    <w:rsid w:val="00AB26BF"/>
    <w:rsid w:val="00AB2EBD"/>
    <w:rsid w:val="00AB386C"/>
    <w:rsid w:val="00AB3DFA"/>
    <w:rsid w:val="00AB47B8"/>
    <w:rsid w:val="00AB591E"/>
    <w:rsid w:val="00AB5A98"/>
    <w:rsid w:val="00AB6005"/>
    <w:rsid w:val="00AB6930"/>
    <w:rsid w:val="00AB7414"/>
    <w:rsid w:val="00AB7D6E"/>
    <w:rsid w:val="00AB7D9C"/>
    <w:rsid w:val="00AC24E7"/>
    <w:rsid w:val="00AC2949"/>
    <w:rsid w:val="00AD1898"/>
    <w:rsid w:val="00AD3470"/>
    <w:rsid w:val="00AD36B4"/>
    <w:rsid w:val="00AD39E2"/>
    <w:rsid w:val="00AD5CB5"/>
    <w:rsid w:val="00AD61BE"/>
    <w:rsid w:val="00AE0B41"/>
    <w:rsid w:val="00AE124A"/>
    <w:rsid w:val="00AE24FA"/>
    <w:rsid w:val="00AE2D32"/>
    <w:rsid w:val="00AE30B3"/>
    <w:rsid w:val="00AE32B0"/>
    <w:rsid w:val="00AE370F"/>
    <w:rsid w:val="00AE3B1F"/>
    <w:rsid w:val="00AE3C73"/>
    <w:rsid w:val="00AE470A"/>
    <w:rsid w:val="00AE5281"/>
    <w:rsid w:val="00AE6220"/>
    <w:rsid w:val="00AE6724"/>
    <w:rsid w:val="00AF0189"/>
    <w:rsid w:val="00AF1018"/>
    <w:rsid w:val="00AF3557"/>
    <w:rsid w:val="00AF3745"/>
    <w:rsid w:val="00AF3D47"/>
    <w:rsid w:val="00AF466A"/>
    <w:rsid w:val="00AF4CFE"/>
    <w:rsid w:val="00AF7AD6"/>
    <w:rsid w:val="00B00051"/>
    <w:rsid w:val="00B00C73"/>
    <w:rsid w:val="00B01A3C"/>
    <w:rsid w:val="00B03041"/>
    <w:rsid w:val="00B05DE8"/>
    <w:rsid w:val="00B0612F"/>
    <w:rsid w:val="00B0626C"/>
    <w:rsid w:val="00B0662E"/>
    <w:rsid w:val="00B07A96"/>
    <w:rsid w:val="00B121F4"/>
    <w:rsid w:val="00B1243E"/>
    <w:rsid w:val="00B1308C"/>
    <w:rsid w:val="00B1338C"/>
    <w:rsid w:val="00B142C7"/>
    <w:rsid w:val="00B14750"/>
    <w:rsid w:val="00B15EAA"/>
    <w:rsid w:val="00B15F66"/>
    <w:rsid w:val="00B16A7E"/>
    <w:rsid w:val="00B17570"/>
    <w:rsid w:val="00B17FB3"/>
    <w:rsid w:val="00B20752"/>
    <w:rsid w:val="00B22814"/>
    <w:rsid w:val="00B229F9"/>
    <w:rsid w:val="00B22C8E"/>
    <w:rsid w:val="00B243A0"/>
    <w:rsid w:val="00B24F36"/>
    <w:rsid w:val="00B257EC"/>
    <w:rsid w:val="00B25A4E"/>
    <w:rsid w:val="00B25EDC"/>
    <w:rsid w:val="00B26787"/>
    <w:rsid w:val="00B267F5"/>
    <w:rsid w:val="00B26AE5"/>
    <w:rsid w:val="00B26F09"/>
    <w:rsid w:val="00B27DA9"/>
    <w:rsid w:val="00B3015D"/>
    <w:rsid w:val="00B30A86"/>
    <w:rsid w:val="00B30DF0"/>
    <w:rsid w:val="00B31996"/>
    <w:rsid w:val="00B321FA"/>
    <w:rsid w:val="00B327D9"/>
    <w:rsid w:val="00B3425D"/>
    <w:rsid w:val="00B347B1"/>
    <w:rsid w:val="00B34AE1"/>
    <w:rsid w:val="00B34E8E"/>
    <w:rsid w:val="00B35BDA"/>
    <w:rsid w:val="00B36818"/>
    <w:rsid w:val="00B36991"/>
    <w:rsid w:val="00B36EE7"/>
    <w:rsid w:val="00B36F7F"/>
    <w:rsid w:val="00B40D51"/>
    <w:rsid w:val="00B41839"/>
    <w:rsid w:val="00B41F47"/>
    <w:rsid w:val="00B44968"/>
    <w:rsid w:val="00B44FA6"/>
    <w:rsid w:val="00B45C5C"/>
    <w:rsid w:val="00B464D7"/>
    <w:rsid w:val="00B47668"/>
    <w:rsid w:val="00B47D38"/>
    <w:rsid w:val="00B512D4"/>
    <w:rsid w:val="00B51798"/>
    <w:rsid w:val="00B537A8"/>
    <w:rsid w:val="00B60FAC"/>
    <w:rsid w:val="00B61262"/>
    <w:rsid w:val="00B6241C"/>
    <w:rsid w:val="00B6255E"/>
    <w:rsid w:val="00B629D9"/>
    <w:rsid w:val="00B638F6"/>
    <w:rsid w:val="00B6468A"/>
    <w:rsid w:val="00B655A1"/>
    <w:rsid w:val="00B6585D"/>
    <w:rsid w:val="00B65B09"/>
    <w:rsid w:val="00B65DFE"/>
    <w:rsid w:val="00B65F81"/>
    <w:rsid w:val="00B67141"/>
    <w:rsid w:val="00B67D5B"/>
    <w:rsid w:val="00B701E9"/>
    <w:rsid w:val="00B71DD5"/>
    <w:rsid w:val="00B7242F"/>
    <w:rsid w:val="00B72ECB"/>
    <w:rsid w:val="00B73544"/>
    <w:rsid w:val="00B73C34"/>
    <w:rsid w:val="00B73F34"/>
    <w:rsid w:val="00B759B2"/>
    <w:rsid w:val="00B76A18"/>
    <w:rsid w:val="00B775F8"/>
    <w:rsid w:val="00B8161E"/>
    <w:rsid w:val="00B8163B"/>
    <w:rsid w:val="00B825CC"/>
    <w:rsid w:val="00B8348E"/>
    <w:rsid w:val="00B83C85"/>
    <w:rsid w:val="00B8408B"/>
    <w:rsid w:val="00B84334"/>
    <w:rsid w:val="00B846E3"/>
    <w:rsid w:val="00B86F64"/>
    <w:rsid w:val="00B90937"/>
    <w:rsid w:val="00B91998"/>
    <w:rsid w:val="00B91A85"/>
    <w:rsid w:val="00B934F7"/>
    <w:rsid w:val="00B94C32"/>
    <w:rsid w:val="00B94FCB"/>
    <w:rsid w:val="00B96B33"/>
    <w:rsid w:val="00B97298"/>
    <w:rsid w:val="00B975AB"/>
    <w:rsid w:val="00BA01D3"/>
    <w:rsid w:val="00BA0D66"/>
    <w:rsid w:val="00BA329F"/>
    <w:rsid w:val="00BA43AB"/>
    <w:rsid w:val="00BA4D1D"/>
    <w:rsid w:val="00BA5F2F"/>
    <w:rsid w:val="00BA6344"/>
    <w:rsid w:val="00BB2F2A"/>
    <w:rsid w:val="00BB3024"/>
    <w:rsid w:val="00BB353E"/>
    <w:rsid w:val="00BB35B0"/>
    <w:rsid w:val="00BB5177"/>
    <w:rsid w:val="00BB6503"/>
    <w:rsid w:val="00BC0CC7"/>
    <w:rsid w:val="00BC1352"/>
    <w:rsid w:val="00BC1A94"/>
    <w:rsid w:val="00BC25A2"/>
    <w:rsid w:val="00BC3C45"/>
    <w:rsid w:val="00BC444D"/>
    <w:rsid w:val="00BC45EF"/>
    <w:rsid w:val="00BC4C58"/>
    <w:rsid w:val="00BC5DAC"/>
    <w:rsid w:val="00BC6283"/>
    <w:rsid w:val="00BC7B32"/>
    <w:rsid w:val="00BD11C4"/>
    <w:rsid w:val="00BD1E28"/>
    <w:rsid w:val="00BD24CE"/>
    <w:rsid w:val="00BD270C"/>
    <w:rsid w:val="00BD39A5"/>
    <w:rsid w:val="00BD3B96"/>
    <w:rsid w:val="00BD4629"/>
    <w:rsid w:val="00BD4668"/>
    <w:rsid w:val="00BD4C4A"/>
    <w:rsid w:val="00BD4CA8"/>
    <w:rsid w:val="00BD65AD"/>
    <w:rsid w:val="00BD6F94"/>
    <w:rsid w:val="00BD759A"/>
    <w:rsid w:val="00BE0127"/>
    <w:rsid w:val="00BE01CC"/>
    <w:rsid w:val="00BE0976"/>
    <w:rsid w:val="00BE0E67"/>
    <w:rsid w:val="00BE19E1"/>
    <w:rsid w:val="00BE1BDF"/>
    <w:rsid w:val="00BE2C26"/>
    <w:rsid w:val="00BE3703"/>
    <w:rsid w:val="00BE50C2"/>
    <w:rsid w:val="00BE5B71"/>
    <w:rsid w:val="00BE6969"/>
    <w:rsid w:val="00BF143D"/>
    <w:rsid w:val="00BF2040"/>
    <w:rsid w:val="00BF46FB"/>
    <w:rsid w:val="00BF52A7"/>
    <w:rsid w:val="00BF5313"/>
    <w:rsid w:val="00BF6732"/>
    <w:rsid w:val="00BF68DA"/>
    <w:rsid w:val="00BF7F88"/>
    <w:rsid w:val="00C0241A"/>
    <w:rsid w:val="00C0332A"/>
    <w:rsid w:val="00C05E22"/>
    <w:rsid w:val="00C060D0"/>
    <w:rsid w:val="00C14AB8"/>
    <w:rsid w:val="00C15013"/>
    <w:rsid w:val="00C1509A"/>
    <w:rsid w:val="00C15388"/>
    <w:rsid w:val="00C15C19"/>
    <w:rsid w:val="00C15EA3"/>
    <w:rsid w:val="00C165B3"/>
    <w:rsid w:val="00C16967"/>
    <w:rsid w:val="00C1743F"/>
    <w:rsid w:val="00C175F1"/>
    <w:rsid w:val="00C17675"/>
    <w:rsid w:val="00C206F5"/>
    <w:rsid w:val="00C21778"/>
    <w:rsid w:val="00C2344C"/>
    <w:rsid w:val="00C237F2"/>
    <w:rsid w:val="00C2418F"/>
    <w:rsid w:val="00C25419"/>
    <w:rsid w:val="00C27F5A"/>
    <w:rsid w:val="00C30899"/>
    <w:rsid w:val="00C30E7C"/>
    <w:rsid w:val="00C324A8"/>
    <w:rsid w:val="00C3311C"/>
    <w:rsid w:val="00C33316"/>
    <w:rsid w:val="00C33F9B"/>
    <w:rsid w:val="00C3607B"/>
    <w:rsid w:val="00C374A6"/>
    <w:rsid w:val="00C408AD"/>
    <w:rsid w:val="00C40945"/>
    <w:rsid w:val="00C40DCA"/>
    <w:rsid w:val="00C411F8"/>
    <w:rsid w:val="00C41C7E"/>
    <w:rsid w:val="00C41FAF"/>
    <w:rsid w:val="00C42C4B"/>
    <w:rsid w:val="00C43C7A"/>
    <w:rsid w:val="00C45149"/>
    <w:rsid w:val="00C4540F"/>
    <w:rsid w:val="00C461C8"/>
    <w:rsid w:val="00C463F6"/>
    <w:rsid w:val="00C468AF"/>
    <w:rsid w:val="00C4778D"/>
    <w:rsid w:val="00C47A57"/>
    <w:rsid w:val="00C50060"/>
    <w:rsid w:val="00C51029"/>
    <w:rsid w:val="00C51F52"/>
    <w:rsid w:val="00C5237D"/>
    <w:rsid w:val="00C53133"/>
    <w:rsid w:val="00C53D11"/>
    <w:rsid w:val="00C566CE"/>
    <w:rsid w:val="00C5767A"/>
    <w:rsid w:val="00C57DE0"/>
    <w:rsid w:val="00C60399"/>
    <w:rsid w:val="00C60BAD"/>
    <w:rsid w:val="00C61EBF"/>
    <w:rsid w:val="00C65633"/>
    <w:rsid w:val="00C6618E"/>
    <w:rsid w:val="00C67BE2"/>
    <w:rsid w:val="00C67EED"/>
    <w:rsid w:val="00C70001"/>
    <w:rsid w:val="00C70038"/>
    <w:rsid w:val="00C70E40"/>
    <w:rsid w:val="00C70F8D"/>
    <w:rsid w:val="00C71302"/>
    <w:rsid w:val="00C719EC"/>
    <w:rsid w:val="00C7325D"/>
    <w:rsid w:val="00C738AA"/>
    <w:rsid w:val="00C73984"/>
    <w:rsid w:val="00C74BBC"/>
    <w:rsid w:val="00C76136"/>
    <w:rsid w:val="00C76CF3"/>
    <w:rsid w:val="00C773EC"/>
    <w:rsid w:val="00C785A0"/>
    <w:rsid w:val="00C8017C"/>
    <w:rsid w:val="00C80589"/>
    <w:rsid w:val="00C808B4"/>
    <w:rsid w:val="00C81074"/>
    <w:rsid w:val="00C810CA"/>
    <w:rsid w:val="00C827DE"/>
    <w:rsid w:val="00C834DC"/>
    <w:rsid w:val="00C864C2"/>
    <w:rsid w:val="00C86666"/>
    <w:rsid w:val="00C86B7C"/>
    <w:rsid w:val="00C86D74"/>
    <w:rsid w:val="00C86E31"/>
    <w:rsid w:val="00C93ACF"/>
    <w:rsid w:val="00C93C1B"/>
    <w:rsid w:val="00C93F07"/>
    <w:rsid w:val="00C95105"/>
    <w:rsid w:val="00C95832"/>
    <w:rsid w:val="00C95DA8"/>
    <w:rsid w:val="00C95FAB"/>
    <w:rsid w:val="00C97B14"/>
    <w:rsid w:val="00C97CBA"/>
    <w:rsid w:val="00CA0300"/>
    <w:rsid w:val="00CA0407"/>
    <w:rsid w:val="00CA05E9"/>
    <w:rsid w:val="00CA0C57"/>
    <w:rsid w:val="00CA2496"/>
    <w:rsid w:val="00CA2D69"/>
    <w:rsid w:val="00CA360A"/>
    <w:rsid w:val="00CA5ADF"/>
    <w:rsid w:val="00CA5EF6"/>
    <w:rsid w:val="00CA5EFE"/>
    <w:rsid w:val="00CA6274"/>
    <w:rsid w:val="00CB0781"/>
    <w:rsid w:val="00CB07D5"/>
    <w:rsid w:val="00CB0B8E"/>
    <w:rsid w:val="00CB1F65"/>
    <w:rsid w:val="00CB3047"/>
    <w:rsid w:val="00CB3794"/>
    <w:rsid w:val="00CB3927"/>
    <w:rsid w:val="00CB39E3"/>
    <w:rsid w:val="00CB400A"/>
    <w:rsid w:val="00CB4798"/>
    <w:rsid w:val="00CB7FF0"/>
    <w:rsid w:val="00CC05D5"/>
    <w:rsid w:val="00CC12E7"/>
    <w:rsid w:val="00CC21D2"/>
    <w:rsid w:val="00CC2C67"/>
    <w:rsid w:val="00CC3024"/>
    <w:rsid w:val="00CC347F"/>
    <w:rsid w:val="00CC4AEC"/>
    <w:rsid w:val="00CC686C"/>
    <w:rsid w:val="00CD2708"/>
    <w:rsid w:val="00CD290C"/>
    <w:rsid w:val="00CD30FB"/>
    <w:rsid w:val="00CD36A7"/>
    <w:rsid w:val="00CD4866"/>
    <w:rsid w:val="00CD6675"/>
    <w:rsid w:val="00CE012D"/>
    <w:rsid w:val="00CE0306"/>
    <w:rsid w:val="00CE04E0"/>
    <w:rsid w:val="00CE13A6"/>
    <w:rsid w:val="00CE2217"/>
    <w:rsid w:val="00CE3269"/>
    <w:rsid w:val="00CE42BE"/>
    <w:rsid w:val="00CE4729"/>
    <w:rsid w:val="00CE4971"/>
    <w:rsid w:val="00CE637E"/>
    <w:rsid w:val="00CE6720"/>
    <w:rsid w:val="00CE78BA"/>
    <w:rsid w:val="00CF04F5"/>
    <w:rsid w:val="00CF2A30"/>
    <w:rsid w:val="00CF40FA"/>
    <w:rsid w:val="00CF47FE"/>
    <w:rsid w:val="00CF48ED"/>
    <w:rsid w:val="00CF512F"/>
    <w:rsid w:val="00CF5F29"/>
    <w:rsid w:val="00CF61A4"/>
    <w:rsid w:val="00CF6262"/>
    <w:rsid w:val="00CF7570"/>
    <w:rsid w:val="00CF7757"/>
    <w:rsid w:val="00D00108"/>
    <w:rsid w:val="00D00E62"/>
    <w:rsid w:val="00D03D3C"/>
    <w:rsid w:val="00D056F7"/>
    <w:rsid w:val="00D05A8E"/>
    <w:rsid w:val="00D05C98"/>
    <w:rsid w:val="00D0618A"/>
    <w:rsid w:val="00D07DD3"/>
    <w:rsid w:val="00D10074"/>
    <w:rsid w:val="00D102F7"/>
    <w:rsid w:val="00D11CF8"/>
    <w:rsid w:val="00D14E13"/>
    <w:rsid w:val="00D15323"/>
    <w:rsid w:val="00D17ED7"/>
    <w:rsid w:val="00D17F37"/>
    <w:rsid w:val="00D22010"/>
    <w:rsid w:val="00D22646"/>
    <w:rsid w:val="00D234D5"/>
    <w:rsid w:val="00D248B4"/>
    <w:rsid w:val="00D24CFD"/>
    <w:rsid w:val="00D24FF8"/>
    <w:rsid w:val="00D250EB"/>
    <w:rsid w:val="00D251AE"/>
    <w:rsid w:val="00D25E1A"/>
    <w:rsid w:val="00D26E4F"/>
    <w:rsid w:val="00D270BA"/>
    <w:rsid w:val="00D30385"/>
    <w:rsid w:val="00D3079B"/>
    <w:rsid w:val="00D30CEA"/>
    <w:rsid w:val="00D359F0"/>
    <w:rsid w:val="00D3684F"/>
    <w:rsid w:val="00D36C9D"/>
    <w:rsid w:val="00D37256"/>
    <w:rsid w:val="00D37810"/>
    <w:rsid w:val="00D40C71"/>
    <w:rsid w:val="00D42511"/>
    <w:rsid w:val="00D429F5"/>
    <w:rsid w:val="00D42A9B"/>
    <w:rsid w:val="00D4351D"/>
    <w:rsid w:val="00D43CF8"/>
    <w:rsid w:val="00D443BD"/>
    <w:rsid w:val="00D458B0"/>
    <w:rsid w:val="00D46294"/>
    <w:rsid w:val="00D46DC2"/>
    <w:rsid w:val="00D47FF6"/>
    <w:rsid w:val="00D51216"/>
    <w:rsid w:val="00D5244E"/>
    <w:rsid w:val="00D52F4D"/>
    <w:rsid w:val="00D538CA"/>
    <w:rsid w:val="00D54590"/>
    <w:rsid w:val="00D5521E"/>
    <w:rsid w:val="00D55B0D"/>
    <w:rsid w:val="00D55E86"/>
    <w:rsid w:val="00D570A9"/>
    <w:rsid w:val="00D6259E"/>
    <w:rsid w:val="00D63822"/>
    <w:rsid w:val="00D63901"/>
    <w:rsid w:val="00D64BD1"/>
    <w:rsid w:val="00D6528E"/>
    <w:rsid w:val="00D660C1"/>
    <w:rsid w:val="00D66215"/>
    <w:rsid w:val="00D664ED"/>
    <w:rsid w:val="00D67416"/>
    <w:rsid w:val="00D677DD"/>
    <w:rsid w:val="00D67F9D"/>
    <w:rsid w:val="00D71184"/>
    <w:rsid w:val="00D71325"/>
    <w:rsid w:val="00D716BF"/>
    <w:rsid w:val="00D71BD2"/>
    <w:rsid w:val="00D72211"/>
    <w:rsid w:val="00D726CB"/>
    <w:rsid w:val="00D73CFB"/>
    <w:rsid w:val="00D73ECE"/>
    <w:rsid w:val="00D7680E"/>
    <w:rsid w:val="00D77524"/>
    <w:rsid w:val="00D77D5E"/>
    <w:rsid w:val="00D77DE6"/>
    <w:rsid w:val="00D8085A"/>
    <w:rsid w:val="00D81779"/>
    <w:rsid w:val="00D823C5"/>
    <w:rsid w:val="00D827B8"/>
    <w:rsid w:val="00D82C2A"/>
    <w:rsid w:val="00D85F2F"/>
    <w:rsid w:val="00D86455"/>
    <w:rsid w:val="00D864EC"/>
    <w:rsid w:val="00D86CFF"/>
    <w:rsid w:val="00D91541"/>
    <w:rsid w:val="00D926E0"/>
    <w:rsid w:val="00D934FC"/>
    <w:rsid w:val="00DA0C78"/>
    <w:rsid w:val="00DA30B7"/>
    <w:rsid w:val="00DA3486"/>
    <w:rsid w:val="00DA358D"/>
    <w:rsid w:val="00DA42D1"/>
    <w:rsid w:val="00DA4C06"/>
    <w:rsid w:val="00DA53A9"/>
    <w:rsid w:val="00DA5F66"/>
    <w:rsid w:val="00DA7082"/>
    <w:rsid w:val="00DA7ABD"/>
    <w:rsid w:val="00DB21B6"/>
    <w:rsid w:val="00DB3EC9"/>
    <w:rsid w:val="00DB419B"/>
    <w:rsid w:val="00DB5E88"/>
    <w:rsid w:val="00DB7AC9"/>
    <w:rsid w:val="00DC013A"/>
    <w:rsid w:val="00DC13ED"/>
    <w:rsid w:val="00DC1A76"/>
    <w:rsid w:val="00DC21AA"/>
    <w:rsid w:val="00DC2488"/>
    <w:rsid w:val="00DC7065"/>
    <w:rsid w:val="00DC7320"/>
    <w:rsid w:val="00DD0954"/>
    <w:rsid w:val="00DD0CBA"/>
    <w:rsid w:val="00DD0EFF"/>
    <w:rsid w:val="00DD2030"/>
    <w:rsid w:val="00DD2CA2"/>
    <w:rsid w:val="00DD3026"/>
    <w:rsid w:val="00DD39EF"/>
    <w:rsid w:val="00DD3A2C"/>
    <w:rsid w:val="00DD3E26"/>
    <w:rsid w:val="00DD7763"/>
    <w:rsid w:val="00DE2F2F"/>
    <w:rsid w:val="00DE3320"/>
    <w:rsid w:val="00DE3B91"/>
    <w:rsid w:val="00DE4C2F"/>
    <w:rsid w:val="00DE5AA7"/>
    <w:rsid w:val="00DE7CE6"/>
    <w:rsid w:val="00DF088D"/>
    <w:rsid w:val="00DF0C3F"/>
    <w:rsid w:val="00DF0F01"/>
    <w:rsid w:val="00DF11AB"/>
    <w:rsid w:val="00DF1E51"/>
    <w:rsid w:val="00DF324C"/>
    <w:rsid w:val="00DF638A"/>
    <w:rsid w:val="00DF643E"/>
    <w:rsid w:val="00DF73F3"/>
    <w:rsid w:val="00E00E63"/>
    <w:rsid w:val="00E00F51"/>
    <w:rsid w:val="00E042C9"/>
    <w:rsid w:val="00E04AF8"/>
    <w:rsid w:val="00E05D23"/>
    <w:rsid w:val="00E0730E"/>
    <w:rsid w:val="00E078B1"/>
    <w:rsid w:val="00E100BC"/>
    <w:rsid w:val="00E104E8"/>
    <w:rsid w:val="00E10874"/>
    <w:rsid w:val="00E108E1"/>
    <w:rsid w:val="00E10A09"/>
    <w:rsid w:val="00E115A4"/>
    <w:rsid w:val="00E116D1"/>
    <w:rsid w:val="00E120C1"/>
    <w:rsid w:val="00E14D77"/>
    <w:rsid w:val="00E15163"/>
    <w:rsid w:val="00E16029"/>
    <w:rsid w:val="00E17117"/>
    <w:rsid w:val="00E22DB9"/>
    <w:rsid w:val="00E22E06"/>
    <w:rsid w:val="00E230CA"/>
    <w:rsid w:val="00E23E79"/>
    <w:rsid w:val="00E2464B"/>
    <w:rsid w:val="00E246D7"/>
    <w:rsid w:val="00E24B00"/>
    <w:rsid w:val="00E257B7"/>
    <w:rsid w:val="00E2587C"/>
    <w:rsid w:val="00E258CD"/>
    <w:rsid w:val="00E25B0E"/>
    <w:rsid w:val="00E2676B"/>
    <w:rsid w:val="00E268D4"/>
    <w:rsid w:val="00E27134"/>
    <w:rsid w:val="00E27429"/>
    <w:rsid w:val="00E30273"/>
    <w:rsid w:val="00E30D84"/>
    <w:rsid w:val="00E30E3D"/>
    <w:rsid w:val="00E30F5F"/>
    <w:rsid w:val="00E31969"/>
    <w:rsid w:val="00E32592"/>
    <w:rsid w:val="00E3270E"/>
    <w:rsid w:val="00E32F94"/>
    <w:rsid w:val="00E33CC4"/>
    <w:rsid w:val="00E34BEE"/>
    <w:rsid w:val="00E3604E"/>
    <w:rsid w:val="00E36366"/>
    <w:rsid w:val="00E36FED"/>
    <w:rsid w:val="00E4270F"/>
    <w:rsid w:val="00E43DF9"/>
    <w:rsid w:val="00E4539D"/>
    <w:rsid w:val="00E46778"/>
    <w:rsid w:val="00E506B7"/>
    <w:rsid w:val="00E511ED"/>
    <w:rsid w:val="00E5255E"/>
    <w:rsid w:val="00E52632"/>
    <w:rsid w:val="00E52FCB"/>
    <w:rsid w:val="00E5465F"/>
    <w:rsid w:val="00E54686"/>
    <w:rsid w:val="00E546AD"/>
    <w:rsid w:val="00E54B7C"/>
    <w:rsid w:val="00E54E66"/>
    <w:rsid w:val="00E554C2"/>
    <w:rsid w:val="00E55D1D"/>
    <w:rsid w:val="00E5647B"/>
    <w:rsid w:val="00E577CF"/>
    <w:rsid w:val="00E57BF5"/>
    <w:rsid w:val="00E57F77"/>
    <w:rsid w:val="00E6006A"/>
    <w:rsid w:val="00E61066"/>
    <w:rsid w:val="00E61827"/>
    <w:rsid w:val="00E618DF"/>
    <w:rsid w:val="00E61ED5"/>
    <w:rsid w:val="00E62066"/>
    <w:rsid w:val="00E62304"/>
    <w:rsid w:val="00E6255B"/>
    <w:rsid w:val="00E62CBD"/>
    <w:rsid w:val="00E6372B"/>
    <w:rsid w:val="00E63967"/>
    <w:rsid w:val="00E63A55"/>
    <w:rsid w:val="00E640F0"/>
    <w:rsid w:val="00E64267"/>
    <w:rsid w:val="00E64944"/>
    <w:rsid w:val="00E65452"/>
    <w:rsid w:val="00E65680"/>
    <w:rsid w:val="00E65A2F"/>
    <w:rsid w:val="00E66750"/>
    <w:rsid w:val="00E667FF"/>
    <w:rsid w:val="00E67086"/>
    <w:rsid w:val="00E674C4"/>
    <w:rsid w:val="00E702BD"/>
    <w:rsid w:val="00E73E48"/>
    <w:rsid w:val="00E7506D"/>
    <w:rsid w:val="00E762CB"/>
    <w:rsid w:val="00E76733"/>
    <w:rsid w:val="00E773BA"/>
    <w:rsid w:val="00E77532"/>
    <w:rsid w:val="00E808C1"/>
    <w:rsid w:val="00E812C3"/>
    <w:rsid w:val="00E82A73"/>
    <w:rsid w:val="00E8385A"/>
    <w:rsid w:val="00E83A94"/>
    <w:rsid w:val="00E855D6"/>
    <w:rsid w:val="00E85EA1"/>
    <w:rsid w:val="00E8688A"/>
    <w:rsid w:val="00E91C6C"/>
    <w:rsid w:val="00E92460"/>
    <w:rsid w:val="00E92F81"/>
    <w:rsid w:val="00E950F9"/>
    <w:rsid w:val="00EA0144"/>
    <w:rsid w:val="00EA19F5"/>
    <w:rsid w:val="00EA372A"/>
    <w:rsid w:val="00EA5A26"/>
    <w:rsid w:val="00EA7624"/>
    <w:rsid w:val="00EB17E1"/>
    <w:rsid w:val="00EB248F"/>
    <w:rsid w:val="00EB24AB"/>
    <w:rsid w:val="00EB3180"/>
    <w:rsid w:val="00EB3712"/>
    <w:rsid w:val="00EB4F52"/>
    <w:rsid w:val="00EB6B77"/>
    <w:rsid w:val="00EB6E35"/>
    <w:rsid w:val="00EB796B"/>
    <w:rsid w:val="00EC002B"/>
    <w:rsid w:val="00EC0357"/>
    <w:rsid w:val="00EC05F5"/>
    <w:rsid w:val="00EC0FAF"/>
    <w:rsid w:val="00EC3DF0"/>
    <w:rsid w:val="00EC4029"/>
    <w:rsid w:val="00EC4417"/>
    <w:rsid w:val="00EC4881"/>
    <w:rsid w:val="00EC5614"/>
    <w:rsid w:val="00EC58B5"/>
    <w:rsid w:val="00EC608B"/>
    <w:rsid w:val="00EC6D61"/>
    <w:rsid w:val="00EC6F3B"/>
    <w:rsid w:val="00EC7487"/>
    <w:rsid w:val="00ED11F6"/>
    <w:rsid w:val="00ED1BE6"/>
    <w:rsid w:val="00ED286F"/>
    <w:rsid w:val="00ED2AC8"/>
    <w:rsid w:val="00ED2FC7"/>
    <w:rsid w:val="00ED30FD"/>
    <w:rsid w:val="00ED35DB"/>
    <w:rsid w:val="00ED3788"/>
    <w:rsid w:val="00ED3AE5"/>
    <w:rsid w:val="00ED4890"/>
    <w:rsid w:val="00ED49AD"/>
    <w:rsid w:val="00ED4F6F"/>
    <w:rsid w:val="00ED5666"/>
    <w:rsid w:val="00ED6CB8"/>
    <w:rsid w:val="00ED76C3"/>
    <w:rsid w:val="00ED7C1A"/>
    <w:rsid w:val="00EE44E0"/>
    <w:rsid w:val="00EE467C"/>
    <w:rsid w:val="00EE6B65"/>
    <w:rsid w:val="00EE6D06"/>
    <w:rsid w:val="00EE7B67"/>
    <w:rsid w:val="00EF0194"/>
    <w:rsid w:val="00EF09C2"/>
    <w:rsid w:val="00EF1152"/>
    <w:rsid w:val="00EF1759"/>
    <w:rsid w:val="00EF1E15"/>
    <w:rsid w:val="00EF2496"/>
    <w:rsid w:val="00EF27A6"/>
    <w:rsid w:val="00EF373F"/>
    <w:rsid w:val="00EF391F"/>
    <w:rsid w:val="00EF4A10"/>
    <w:rsid w:val="00EF53A6"/>
    <w:rsid w:val="00EF708A"/>
    <w:rsid w:val="00EFAFD2"/>
    <w:rsid w:val="00F00A2B"/>
    <w:rsid w:val="00F00B58"/>
    <w:rsid w:val="00F051E9"/>
    <w:rsid w:val="00F0524C"/>
    <w:rsid w:val="00F06303"/>
    <w:rsid w:val="00F06516"/>
    <w:rsid w:val="00F11145"/>
    <w:rsid w:val="00F11573"/>
    <w:rsid w:val="00F116C2"/>
    <w:rsid w:val="00F122C8"/>
    <w:rsid w:val="00F122EC"/>
    <w:rsid w:val="00F1263D"/>
    <w:rsid w:val="00F126A7"/>
    <w:rsid w:val="00F137AD"/>
    <w:rsid w:val="00F13C3B"/>
    <w:rsid w:val="00F1441F"/>
    <w:rsid w:val="00F145E6"/>
    <w:rsid w:val="00F14E20"/>
    <w:rsid w:val="00F15510"/>
    <w:rsid w:val="00F165C9"/>
    <w:rsid w:val="00F16CF9"/>
    <w:rsid w:val="00F16EFE"/>
    <w:rsid w:val="00F21D22"/>
    <w:rsid w:val="00F23038"/>
    <w:rsid w:val="00F23E4D"/>
    <w:rsid w:val="00F25598"/>
    <w:rsid w:val="00F26C9C"/>
    <w:rsid w:val="00F27B57"/>
    <w:rsid w:val="00F322C8"/>
    <w:rsid w:val="00F329ED"/>
    <w:rsid w:val="00F32B9F"/>
    <w:rsid w:val="00F32D6B"/>
    <w:rsid w:val="00F34060"/>
    <w:rsid w:val="00F35B76"/>
    <w:rsid w:val="00F36025"/>
    <w:rsid w:val="00F365F0"/>
    <w:rsid w:val="00F36952"/>
    <w:rsid w:val="00F411C2"/>
    <w:rsid w:val="00F415DF"/>
    <w:rsid w:val="00F41928"/>
    <w:rsid w:val="00F41C64"/>
    <w:rsid w:val="00F4477B"/>
    <w:rsid w:val="00F448E2"/>
    <w:rsid w:val="00F44A4E"/>
    <w:rsid w:val="00F44B54"/>
    <w:rsid w:val="00F45517"/>
    <w:rsid w:val="00F455F1"/>
    <w:rsid w:val="00F45728"/>
    <w:rsid w:val="00F459DC"/>
    <w:rsid w:val="00F45F63"/>
    <w:rsid w:val="00F466C4"/>
    <w:rsid w:val="00F50679"/>
    <w:rsid w:val="00F50AA9"/>
    <w:rsid w:val="00F50F24"/>
    <w:rsid w:val="00F5171C"/>
    <w:rsid w:val="00F53174"/>
    <w:rsid w:val="00F537CE"/>
    <w:rsid w:val="00F539C4"/>
    <w:rsid w:val="00F53DF8"/>
    <w:rsid w:val="00F53FAA"/>
    <w:rsid w:val="00F54016"/>
    <w:rsid w:val="00F54897"/>
    <w:rsid w:val="00F54F6A"/>
    <w:rsid w:val="00F55530"/>
    <w:rsid w:val="00F6184E"/>
    <w:rsid w:val="00F62033"/>
    <w:rsid w:val="00F6354E"/>
    <w:rsid w:val="00F64C5D"/>
    <w:rsid w:val="00F658EB"/>
    <w:rsid w:val="00F67BE3"/>
    <w:rsid w:val="00F6DEA2"/>
    <w:rsid w:val="00F705AF"/>
    <w:rsid w:val="00F70768"/>
    <w:rsid w:val="00F711E7"/>
    <w:rsid w:val="00F712FF"/>
    <w:rsid w:val="00F714D4"/>
    <w:rsid w:val="00F7158E"/>
    <w:rsid w:val="00F722CE"/>
    <w:rsid w:val="00F72E45"/>
    <w:rsid w:val="00F7427D"/>
    <w:rsid w:val="00F74489"/>
    <w:rsid w:val="00F74C11"/>
    <w:rsid w:val="00F74D65"/>
    <w:rsid w:val="00F7503D"/>
    <w:rsid w:val="00F75EBD"/>
    <w:rsid w:val="00F76028"/>
    <w:rsid w:val="00F775E3"/>
    <w:rsid w:val="00F80327"/>
    <w:rsid w:val="00F80FF3"/>
    <w:rsid w:val="00F81142"/>
    <w:rsid w:val="00F811EE"/>
    <w:rsid w:val="00F821FB"/>
    <w:rsid w:val="00F82426"/>
    <w:rsid w:val="00F82A0B"/>
    <w:rsid w:val="00F82AEE"/>
    <w:rsid w:val="00F83C36"/>
    <w:rsid w:val="00F83F9C"/>
    <w:rsid w:val="00F84E8F"/>
    <w:rsid w:val="00F85480"/>
    <w:rsid w:val="00F85BCC"/>
    <w:rsid w:val="00F85E5B"/>
    <w:rsid w:val="00F86B4A"/>
    <w:rsid w:val="00F90527"/>
    <w:rsid w:val="00F90599"/>
    <w:rsid w:val="00F91982"/>
    <w:rsid w:val="00F9278E"/>
    <w:rsid w:val="00F9364C"/>
    <w:rsid w:val="00F93EFA"/>
    <w:rsid w:val="00F93FDF"/>
    <w:rsid w:val="00F945D6"/>
    <w:rsid w:val="00F97392"/>
    <w:rsid w:val="00F977D9"/>
    <w:rsid w:val="00F97B69"/>
    <w:rsid w:val="00FA0D55"/>
    <w:rsid w:val="00FA2A6E"/>
    <w:rsid w:val="00FA2ADD"/>
    <w:rsid w:val="00FA2AEA"/>
    <w:rsid w:val="00FA379B"/>
    <w:rsid w:val="00FA4894"/>
    <w:rsid w:val="00FA4A9C"/>
    <w:rsid w:val="00FA5198"/>
    <w:rsid w:val="00FA582B"/>
    <w:rsid w:val="00FA65B3"/>
    <w:rsid w:val="00FA7349"/>
    <w:rsid w:val="00FA7D8F"/>
    <w:rsid w:val="00FB2F11"/>
    <w:rsid w:val="00FB4B96"/>
    <w:rsid w:val="00FB554D"/>
    <w:rsid w:val="00FB5E4A"/>
    <w:rsid w:val="00FB73D0"/>
    <w:rsid w:val="00FB786C"/>
    <w:rsid w:val="00FC04F9"/>
    <w:rsid w:val="00FC2C4C"/>
    <w:rsid w:val="00FC321E"/>
    <w:rsid w:val="00FC3524"/>
    <w:rsid w:val="00FC3C4F"/>
    <w:rsid w:val="00FC4469"/>
    <w:rsid w:val="00FC4779"/>
    <w:rsid w:val="00FC50F9"/>
    <w:rsid w:val="00FC5621"/>
    <w:rsid w:val="00FC57E6"/>
    <w:rsid w:val="00FC628D"/>
    <w:rsid w:val="00FC64F8"/>
    <w:rsid w:val="00FC73D0"/>
    <w:rsid w:val="00FC7682"/>
    <w:rsid w:val="00FC7775"/>
    <w:rsid w:val="00FD0A57"/>
    <w:rsid w:val="00FD0CEF"/>
    <w:rsid w:val="00FD0D72"/>
    <w:rsid w:val="00FD12E8"/>
    <w:rsid w:val="00FD272A"/>
    <w:rsid w:val="00FD2884"/>
    <w:rsid w:val="00FD2CB0"/>
    <w:rsid w:val="00FD51E0"/>
    <w:rsid w:val="00FD5AD4"/>
    <w:rsid w:val="00FD6528"/>
    <w:rsid w:val="00FD6FFD"/>
    <w:rsid w:val="00FE2363"/>
    <w:rsid w:val="00FE2FDE"/>
    <w:rsid w:val="00FE37F3"/>
    <w:rsid w:val="00FE4DB8"/>
    <w:rsid w:val="00FE65AE"/>
    <w:rsid w:val="00FE78DC"/>
    <w:rsid w:val="00FF16B6"/>
    <w:rsid w:val="00FF3DE1"/>
    <w:rsid w:val="00FF5757"/>
    <w:rsid w:val="00FF5D9D"/>
    <w:rsid w:val="00FF5E7C"/>
    <w:rsid w:val="00FF6B59"/>
    <w:rsid w:val="0107BF6A"/>
    <w:rsid w:val="016974E8"/>
    <w:rsid w:val="0180F580"/>
    <w:rsid w:val="01BBC6B4"/>
    <w:rsid w:val="01D1D562"/>
    <w:rsid w:val="020272C9"/>
    <w:rsid w:val="0208AF7E"/>
    <w:rsid w:val="021BE6E8"/>
    <w:rsid w:val="0223D81B"/>
    <w:rsid w:val="0226B06E"/>
    <w:rsid w:val="023DB0E4"/>
    <w:rsid w:val="02580ECE"/>
    <w:rsid w:val="025D8FBB"/>
    <w:rsid w:val="026E58A5"/>
    <w:rsid w:val="02832CE1"/>
    <w:rsid w:val="02893979"/>
    <w:rsid w:val="028FA0C2"/>
    <w:rsid w:val="02A82014"/>
    <w:rsid w:val="033D52F0"/>
    <w:rsid w:val="03466A00"/>
    <w:rsid w:val="03481D71"/>
    <w:rsid w:val="036C4552"/>
    <w:rsid w:val="03BF16E3"/>
    <w:rsid w:val="03ED4AC9"/>
    <w:rsid w:val="03F17500"/>
    <w:rsid w:val="03FDCDD4"/>
    <w:rsid w:val="040A4DE6"/>
    <w:rsid w:val="041F11A5"/>
    <w:rsid w:val="042E0D6B"/>
    <w:rsid w:val="042F9EA4"/>
    <w:rsid w:val="045107F5"/>
    <w:rsid w:val="0464C787"/>
    <w:rsid w:val="04937F6C"/>
    <w:rsid w:val="04968FBE"/>
    <w:rsid w:val="04AF73ED"/>
    <w:rsid w:val="04C65D2B"/>
    <w:rsid w:val="04C8CE20"/>
    <w:rsid w:val="04E15663"/>
    <w:rsid w:val="04FD8657"/>
    <w:rsid w:val="052B8FA8"/>
    <w:rsid w:val="053B8769"/>
    <w:rsid w:val="054466B4"/>
    <w:rsid w:val="054785CF"/>
    <w:rsid w:val="05689067"/>
    <w:rsid w:val="05905F3D"/>
    <w:rsid w:val="059458EE"/>
    <w:rsid w:val="05A24976"/>
    <w:rsid w:val="05C057D0"/>
    <w:rsid w:val="05E241E7"/>
    <w:rsid w:val="05F64836"/>
    <w:rsid w:val="06193DB6"/>
    <w:rsid w:val="062D48E2"/>
    <w:rsid w:val="066A1699"/>
    <w:rsid w:val="0675A9E0"/>
    <w:rsid w:val="06B072C7"/>
    <w:rsid w:val="06B4114F"/>
    <w:rsid w:val="0705D5CB"/>
    <w:rsid w:val="07581715"/>
    <w:rsid w:val="07AA4235"/>
    <w:rsid w:val="07CAE3F8"/>
    <w:rsid w:val="07CC3CBE"/>
    <w:rsid w:val="07CFB2BA"/>
    <w:rsid w:val="08148688"/>
    <w:rsid w:val="081B67A8"/>
    <w:rsid w:val="081F682F"/>
    <w:rsid w:val="08321A33"/>
    <w:rsid w:val="08436D93"/>
    <w:rsid w:val="0879D3A9"/>
    <w:rsid w:val="08C5F153"/>
    <w:rsid w:val="08E650FD"/>
    <w:rsid w:val="08E975C0"/>
    <w:rsid w:val="09115011"/>
    <w:rsid w:val="094E5FAA"/>
    <w:rsid w:val="09502612"/>
    <w:rsid w:val="0990489F"/>
    <w:rsid w:val="099C9A94"/>
    <w:rsid w:val="09C39591"/>
    <w:rsid w:val="0A005EC6"/>
    <w:rsid w:val="0A09A128"/>
    <w:rsid w:val="0A296671"/>
    <w:rsid w:val="0A2CFA6C"/>
    <w:rsid w:val="0A4C6B9F"/>
    <w:rsid w:val="0A6D3C61"/>
    <w:rsid w:val="0A8654AA"/>
    <w:rsid w:val="0A933624"/>
    <w:rsid w:val="0AA1519F"/>
    <w:rsid w:val="0AB47BB5"/>
    <w:rsid w:val="0ACA5CE2"/>
    <w:rsid w:val="0B51638E"/>
    <w:rsid w:val="0B6250AA"/>
    <w:rsid w:val="0BB19204"/>
    <w:rsid w:val="0BC17D4E"/>
    <w:rsid w:val="0BC60DDF"/>
    <w:rsid w:val="0BD7D1EB"/>
    <w:rsid w:val="0BDDDC41"/>
    <w:rsid w:val="0BDEEF1D"/>
    <w:rsid w:val="0BE75A97"/>
    <w:rsid w:val="0BF54702"/>
    <w:rsid w:val="0C1C40B9"/>
    <w:rsid w:val="0C3E028C"/>
    <w:rsid w:val="0C60C1BC"/>
    <w:rsid w:val="0C6F50FA"/>
    <w:rsid w:val="0C72BFDF"/>
    <w:rsid w:val="0C7C3254"/>
    <w:rsid w:val="0C86826C"/>
    <w:rsid w:val="0CD75EE4"/>
    <w:rsid w:val="0CFC3D0A"/>
    <w:rsid w:val="0CFE6333"/>
    <w:rsid w:val="0D0AD6FC"/>
    <w:rsid w:val="0D0FBD95"/>
    <w:rsid w:val="0D443205"/>
    <w:rsid w:val="0D81FC98"/>
    <w:rsid w:val="0D822D1A"/>
    <w:rsid w:val="0DB1D2DF"/>
    <w:rsid w:val="0DBF19B9"/>
    <w:rsid w:val="0E7EE412"/>
    <w:rsid w:val="0E897299"/>
    <w:rsid w:val="0E8FE431"/>
    <w:rsid w:val="0E9DF720"/>
    <w:rsid w:val="0EE49C8D"/>
    <w:rsid w:val="0EF64A50"/>
    <w:rsid w:val="0F041208"/>
    <w:rsid w:val="0F093107"/>
    <w:rsid w:val="0F0AC18D"/>
    <w:rsid w:val="0F4DB4AB"/>
    <w:rsid w:val="0F6388BB"/>
    <w:rsid w:val="0F739B89"/>
    <w:rsid w:val="0F766EA6"/>
    <w:rsid w:val="0F961AC9"/>
    <w:rsid w:val="0FCEB5F3"/>
    <w:rsid w:val="0FDFE769"/>
    <w:rsid w:val="10035020"/>
    <w:rsid w:val="10158B6B"/>
    <w:rsid w:val="1020FE8E"/>
    <w:rsid w:val="102E7EB6"/>
    <w:rsid w:val="10393009"/>
    <w:rsid w:val="103F6FB0"/>
    <w:rsid w:val="10401B08"/>
    <w:rsid w:val="104A55DC"/>
    <w:rsid w:val="109E7610"/>
    <w:rsid w:val="10FA726C"/>
    <w:rsid w:val="11053EF1"/>
    <w:rsid w:val="113077B3"/>
    <w:rsid w:val="1143FD40"/>
    <w:rsid w:val="114619CE"/>
    <w:rsid w:val="11478975"/>
    <w:rsid w:val="115489EC"/>
    <w:rsid w:val="11638B87"/>
    <w:rsid w:val="121306ED"/>
    <w:rsid w:val="12175D0B"/>
    <w:rsid w:val="1217F483"/>
    <w:rsid w:val="121F7D3B"/>
    <w:rsid w:val="1221FECB"/>
    <w:rsid w:val="122D3601"/>
    <w:rsid w:val="125057BD"/>
    <w:rsid w:val="126A4036"/>
    <w:rsid w:val="127CCDA4"/>
    <w:rsid w:val="12873105"/>
    <w:rsid w:val="1294C711"/>
    <w:rsid w:val="12C4AEAF"/>
    <w:rsid w:val="12EFD72A"/>
    <w:rsid w:val="12F4DD49"/>
    <w:rsid w:val="12F953E3"/>
    <w:rsid w:val="13196F5B"/>
    <w:rsid w:val="13455897"/>
    <w:rsid w:val="135BABEC"/>
    <w:rsid w:val="136940F0"/>
    <w:rsid w:val="137CBA60"/>
    <w:rsid w:val="13BF48D7"/>
    <w:rsid w:val="13C31CAD"/>
    <w:rsid w:val="13CE1C01"/>
    <w:rsid w:val="13D907B1"/>
    <w:rsid w:val="13E7A322"/>
    <w:rsid w:val="1424E177"/>
    <w:rsid w:val="14692BAD"/>
    <w:rsid w:val="149DD3E9"/>
    <w:rsid w:val="14A5DA66"/>
    <w:rsid w:val="14A6BD8E"/>
    <w:rsid w:val="14B066DC"/>
    <w:rsid w:val="14BF0979"/>
    <w:rsid w:val="150589DB"/>
    <w:rsid w:val="15209693"/>
    <w:rsid w:val="1531650A"/>
    <w:rsid w:val="1533F625"/>
    <w:rsid w:val="1535F07F"/>
    <w:rsid w:val="15380560"/>
    <w:rsid w:val="154028F6"/>
    <w:rsid w:val="15676679"/>
    <w:rsid w:val="159EA3CE"/>
    <w:rsid w:val="15D88609"/>
    <w:rsid w:val="15DC24D3"/>
    <w:rsid w:val="15E9601F"/>
    <w:rsid w:val="1601EA21"/>
    <w:rsid w:val="164AB2FD"/>
    <w:rsid w:val="164C373D"/>
    <w:rsid w:val="167DF727"/>
    <w:rsid w:val="16A705A2"/>
    <w:rsid w:val="16C2D372"/>
    <w:rsid w:val="17157963"/>
    <w:rsid w:val="17484C77"/>
    <w:rsid w:val="17596D19"/>
    <w:rsid w:val="17779245"/>
    <w:rsid w:val="17838953"/>
    <w:rsid w:val="17B0271B"/>
    <w:rsid w:val="17B74609"/>
    <w:rsid w:val="17CFE505"/>
    <w:rsid w:val="17EC261C"/>
    <w:rsid w:val="17ECE233"/>
    <w:rsid w:val="181BEA59"/>
    <w:rsid w:val="18299E83"/>
    <w:rsid w:val="1846AEDF"/>
    <w:rsid w:val="184CCB7A"/>
    <w:rsid w:val="1853901A"/>
    <w:rsid w:val="18641A83"/>
    <w:rsid w:val="187E7F33"/>
    <w:rsid w:val="18815B63"/>
    <w:rsid w:val="18B4675B"/>
    <w:rsid w:val="18B9CB99"/>
    <w:rsid w:val="18ECE11B"/>
    <w:rsid w:val="18EF11E3"/>
    <w:rsid w:val="18FDFA6D"/>
    <w:rsid w:val="19224F0C"/>
    <w:rsid w:val="194BB5CC"/>
    <w:rsid w:val="19C64501"/>
    <w:rsid w:val="1A2E7CC6"/>
    <w:rsid w:val="1A99F307"/>
    <w:rsid w:val="1ADEF48E"/>
    <w:rsid w:val="1AE7D541"/>
    <w:rsid w:val="1B03C6ED"/>
    <w:rsid w:val="1B214FB6"/>
    <w:rsid w:val="1B58151B"/>
    <w:rsid w:val="1B77B4CB"/>
    <w:rsid w:val="1BA01011"/>
    <w:rsid w:val="1BA6507C"/>
    <w:rsid w:val="1BFB544D"/>
    <w:rsid w:val="1C0DE7F3"/>
    <w:rsid w:val="1C1B6C1B"/>
    <w:rsid w:val="1C457540"/>
    <w:rsid w:val="1CA493BC"/>
    <w:rsid w:val="1CCF42BB"/>
    <w:rsid w:val="1CF61F3A"/>
    <w:rsid w:val="1D009C76"/>
    <w:rsid w:val="1D04E1E2"/>
    <w:rsid w:val="1D180A55"/>
    <w:rsid w:val="1D1BAB0D"/>
    <w:rsid w:val="1D2A0E78"/>
    <w:rsid w:val="1D4E8CB2"/>
    <w:rsid w:val="1DC17CFE"/>
    <w:rsid w:val="1E08CC06"/>
    <w:rsid w:val="1E2488F3"/>
    <w:rsid w:val="1E40641D"/>
    <w:rsid w:val="1E448459"/>
    <w:rsid w:val="1EFA9A6F"/>
    <w:rsid w:val="1F150755"/>
    <w:rsid w:val="1F1A6F35"/>
    <w:rsid w:val="1F29BE51"/>
    <w:rsid w:val="1F45AC7C"/>
    <w:rsid w:val="1F64EABF"/>
    <w:rsid w:val="1F73DAEC"/>
    <w:rsid w:val="1F8950B4"/>
    <w:rsid w:val="1FDAEA50"/>
    <w:rsid w:val="20005DD3"/>
    <w:rsid w:val="2005FC2E"/>
    <w:rsid w:val="202E9B9B"/>
    <w:rsid w:val="208D2195"/>
    <w:rsid w:val="20A3C02C"/>
    <w:rsid w:val="20B6C949"/>
    <w:rsid w:val="20C97C33"/>
    <w:rsid w:val="20EB0450"/>
    <w:rsid w:val="21119150"/>
    <w:rsid w:val="218EE9E4"/>
    <w:rsid w:val="21DAF10F"/>
    <w:rsid w:val="21F1FB53"/>
    <w:rsid w:val="225511D2"/>
    <w:rsid w:val="2292319B"/>
    <w:rsid w:val="22BD97E0"/>
    <w:rsid w:val="22C53CF8"/>
    <w:rsid w:val="22D96783"/>
    <w:rsid w:val="22E0D087"/>
    <w:rsid w:val="233A29A4"/>
    <w:rsid w:val="2364F9A6"/>
    <w:rsid w:val="23663C5D"/>
    <w:rsid w:val="239152EC"/>
    <w:rsid w:val="23A4CE12"/>
    <w:rsid w:val="23F5AAD8"/>
    <w:rsid w:val="242F997B"/>
    <w:rsid w:val="245229BB"/>
    <w:rsid w:val="245370EA"/>
    <w:rsid w:val="2494A933"/>
    <w:rsid w:val="24958125"/>
    <w:rsid w:val="24A40465"/>
    <w:rsid w:val="24C16C81"/>
    <w:rsid w:val="24D573E3"/>
    <w:rsid w:val="2514AD21"/>
    <w:rsid w:val="251A9B02"/>
    <w:rsid w:val="258FEA65"/>
    <w:rsid w:val="25A184D3"/>
    <w:rsid w:val="25A546FB"/>
    <w:rsid w:val="25D0A3EC"/>
    <w:rsid w:val="25D32CCC"/>
    <w:rsid w:val="25E850DF"/>
    <w:rsid w:val="25F60593"/>
    <w:rsid w:val="262106CB"/>
    <w:rsid w:val="26564A34"/>
    <w:rsid w:val="26801297"/>
    <w:rsid w:val="26DD1E03"/>
    <w:rsid w:val="26F61F26"/>
    <w:rsid w:val="26FAB0C3"/>
    <w:rsid w:val="2720CA9E"/>
    <w:rsid w:val="27387897"/>
    <w:rsid w:val="275FB665"/>
    <w:rsid w:val="2770005D"/>
    <w:rsid w:val="2770E4F5"/>
    <w:rsid w:val="27B777B6"/>
    <w:rsid w:val="27BB0A34"/>
    <w:rsid w:val="27CB9134"/>
    <w:rsid w:val="27D45FC2"/>
    <w:rsid w:val="27DBB5BA"/>
    <w:rsid w:val="27DCD0AE"/>
    <w:rsid w:val="27FEC988"/>
    <w:rsid w:val="282B22DF"/>
    <w:rsid w:val="2855B3CD"/>
    <w:rsid w:val="28717393"/>
    <w:rsid w:val="28AB65AE"/>
    <w:rsid w:val="28C512A2"/>
    <w:rsid w:val="28EDDF4B"/>
    <w:rsid w:val="28EE9E01"/>
    <w:rsid w:val="2928E8A2"/>
    <w:rsid w:val="2943994D"/>
    <w:rsid w:val="296618A9"/>
    <w:rsid w:val="296C8A1D"/>
    <w:rsid w:val="2971DA32"/>
    <w:rsid w:val="29A06584"/>
    <w:rsid w:val="29AFF6ED"/>
    <w:rsid w:val="29CCB5B7"/>
    <w:rsid w:val="2A39A875"/>
    <w:rsid w:val="2A670679"/>
    <w:rsid w:val="2A975727"/>
    <w:rsid w:val="2AACB271"/>
    <w:rsid w:val="2AE4C616"/>
    <w:rsid w:val="2B48B47F"/>
    <w:rsid w:val="2B5EB004"/>
    <w:rsid w:val="2B879572"/>
    <w:rsid w:val="2B8EC526"/>
    <w:rsid w:val="2BCBCF68"/>
    <w:rsid w:val="2BEB9CD7"/>
    <w:rsid w:val="2C091C5F"/>
    <w:rsid w:val="2C34F328"/>
    <w:rsid w:val="2CA970AC"/>
    <w:rsid w:val="2CB26B39"/>
    <w:rsid w:val="2CB8192C"/>
    <w:rsid w:val="2CCB03BA"/>
    <w:rsid w:val="2CE2E1FA"/>
    <w:rsid w:val="2D1D9C9C"/>
    <w:rsid w:val="2D28155F"/>
    <w:rsid w:val="2D8B4CC6"/>
    <w:rsid w:val="2D9D541F"/>
    <w:rsid w:val="2DAE7A79"/>
    <w:rsid w:val="2DF7F64B"/>
    <w:rsid w:val="2E14A7C3"/>
    <w:rsid w:val="2E36E93D"/>
    <w:rsid w:val="2E3BF2C1"/>
    <w:rsid w:val="2E3E4B46"/>
    <w:rsid w:val="2E4AF73E"/>
    <w:rsid w:val="2E55FDDA"/>
    <w:rsid w:val="2E593E96"/>
    <w:rsid w:val="2E6A9306"/>
    <w:rsid w:val="2E76F4B1"/>
    <w:rsid w:val="2E9E1613"/>
    <w:rsid w:val="2EC2F439"/>
    <w:rsid w:val="2EE4D26F"/>
    <w:rsid w:val="2F006963"/>
    <w:rsid w:val="2F083540"/>
    <w:rsid w:val="2F15D9F1"/>
    <w:rsid w:val="2F177170"/>
    <w:rsid w:val="2F4A9228"/>
    <w:rsid w:val="2F4B8056"/>
    <w:rsid w:val="2F4CAF46"/>
    <w:rsid w:val="2F58463A"/>
    <w:rsid w:val="2F5B81A5"/>
    <w:rsid w:val="2F6A8880"/>
    <w:rsid w:val="2F926CC0"/>
    <w:rsid w:val="2F9A0FF0"/>
    <w:rsid w:val="2F9FC9EB"/>
    <w:rsid w:val="2FD292B7"/>
    <w:rsid w:val="2FD43F44"/>
    <w:rsid w:val="30357CCC"/>
    <w:rsid w:val="3035C327"/>
    <w:rsid w:val="306D6780"/>
    <w:rsid w:val="3070B1D0"/>
    <w:rsid w:val="307D68C4"/>
    <w:rsid w:val="30BB64DD"/>
    <w:rsid w:val="30F7538C"/>
    <w:rsid w:val="3107C029"/>
    <w:rsid w:val="31226F50"/>
    <w:rsid w:val="315148AA"/>
    <w:rsid w:val="3179EAD1"/>
    <w:rsid w:val="318A19D9"/>
    <w:rsid w:val="31A04F3C"/>
    <w:rsid w:val="31E2865E"/>
    <w:rsid w:val="32762217"/>
    <w:rsid w:val="329A8786"/>
    <w:rsid w:val="32A8994D"/>
    <w:rsid w:val="32F6A457"/>
    <w:rsid w:val="330F63E4"/>
    <w:rsid w:val="332C94C0"/>
    <w:rsid w:val="33504D6E"/>
    <w:rsid w:val="33D6880F"/>
    <w:rsid w:val="344CA1AD"/>
    <w:rsid w:val="346C98F6"/>
    <w:rsid w:val="3485346B"/>
    <w:rsid w:val="34AB3445"/>
    <w:rsid w:val="34CFA529"/>
    <w:rsid w:val="34F0690D"/>
    <w:rsid w:val="3539F530"/>
    <w:rsid w:val="35529D02"/>
    <w:rsid w:val="355F9A31"/>
    <w:rsid w:val="357D5771"/>
    <w:rsid w:val="35B0AA40"/>
    <w:rsid w:val="35BAD95C"/>
    <w:rsid w:val="35C31407"/>
    <w:rsid w:val="35C5BC46"/>
    <w:rsid w:val="35D97E56"/>
    <w:rsid w:val="36187EE3"/>
    <w:rsid w:val="3646C07F"/>
    <w:rsid w:val="36627AF0"/>
    <w:rsid w:val="36B983B3"/>
    <w:rsid w:val="36BCC871"/>
    <w:rsid w:val="36EE8E26"/>
    <w:rsid w:val="36F689FC"/>
    <w:rsid w:val="372F4FA9"/>
    <w:rsid w:val="3746DDD1"/>
    <w:rsid w:val="3776F563"/>
    <w:rsid w:val="37924F9B"/>
    <w:rsid w:val="3797ED76"/>
    <w:rsid w:val="37B14BCB"/>
    <w:rsid w:val="37D5398F"/>
    <w:rsid w:val="37F55F16"/>
    <w:rsid w:val="37FE3B02"/>
    <w:rsid w:val="38269D06"/>
    <w:rsid w:val="38474CE9"/>
    <w:rsid w:val="3879BE3C"/>
    <w:rsid w:val="38DFFD4E"/>
    <w:rsid w:val="38EBABEA"/>
    <w:rsid w:val="38F91A18"/>
    <w:rsid w:val="390FAC8B"/>
    <w:rsid w:val="3912F49F"/>
    <w:rsid w:val="39453F1A"/>
    <w:rsid w:val="397B5A50"/>
    <w:rsid w:val="3987AEA8"/>
    <w:rsid w:val="398EC2C6"/>
    <w:rsid w:val="39BC11D2"/>
    <w:rsid w:val="39D216CC"/>
    <w:rsid w:val="39E8E2F3"/>
    <w:rsid w:val="39ED3542"/>
    <w:rsid w:val="39F06562"/>
    <w:rsid w:val="3A5F3171"/>
    <w:rsid w:val="3AA3053C"/>
    <w:rsid w:val="3ABF84DE"/>
    <w:rsid w:val="3ADAE47E"/>
    <w:rsid w:val="3AEBCACF"/>
    <w:rsid w:val="3B18CA59"/>
    <w:rsid w:val="3B3E9B36"/>
    <w:rsid w:val="3B8EB5C9"/>
    <w:rsid w:val="3BA2418A"/>
    <w:rsid w:val="3BAE8433"/>
    <w:rsid w:val="3BC5E228"/>
    <w:rsid w:val="3BDF7B32"/>
    <w:rsid w:val="3BE27062"/>
    <w:rsid w:val="3BE9986F"/>
    <w:rsid w:val="3BEA83C2"/>
    <w:rsid w:val="3C7D91E4"/>
    <w:rsid w:val="3CCFA05D"/>
    <w:rsid w:val="3CE63663"/>
    <w:rsid w:val="3CFCC284"/>
    <w:rsid w:val="3D05435D"/>
    <w:rsid w:val="3D26732F"/>
    <w:rsid w:val="3D4CD556"/>
    <w:rsid w:val="3D6621D7"/>
    <w:rsid w:val="3D8A7D34"/>
    <w:rsid w:val="3E3B6E85"/>
    <w:rsid w:val="3E4377DA"/>
    <w:rsid w:val="3E98CE44"/>
    <w:rsid w:val="3EBFB649"/>
    <w:rsid w:val="3EED47DA"/>
    <w:rsid w:val="3F0206B0"/>
    <w:rsid w:val="3F213931"/>
    <w:rsid w:val="3F30B622"/>
    <w:rsid w:val="3F389174"/>
    <w:rsid w:val="3F41DD2C"/>
    <w:rsid w:val="3F476A74"/>
    <w:rsid w:val="3F4D5AB3"/>
    <w:rsid w:val="3F59942D"/>
    <w:rsid w:val="3F7D4449"/>
    <w:rsid w:val="3F863742"/>
    <w:rsid w:val="3FA6513C"/>
    <w:rsid w:val="3FD7E6BB"/>
    <w:rsid w:val="3FEFE336"/>
    <w:rsid w:val="4006F002"/>
    <w:rsid w:val="401B660D"/>
    <w:rsid w:val="40499702"/>
    <w:rsid w:val="4058299A"/>
    <w:rsid w:val="405F328F"/>
    <w:rsid w:val="40649910"/>
    <w:rsid w:val="40878810"/>
    <w:rsid w:val="408B6DA1"/>
    <w:rsid w:val="40990E3F"/>
    <w:rsid w:val="409C6B70"/>
    <w:rsid w:val="40A698B4"/>
    <w:rsid w:val="40D7941D"/>
    <w:rsid w:val="410928B3"/>
    <w:rsid w:val="413157D7"/>
    <w:rsid w:val="41422E07"/>
    <w:rsid w:val="41541707"/>
    <w:rsid w:val="41555E51"/>
    <w:rsid w:val="421A9E89"/>
    <w:rsid w:val="423FF9DF"/>
    <w:rsid w:val="425072B2"/>
    <w:rsid w:val="426AA0AD"/>
    <w:rsid w:val="4286374C"/>
    <w:rsid w:val="42883CDC"/>
    <w:rsid w:val="429848C3"/>
    <w:rsid w:val="42B8779A"/>
    <w:rsid w:val="42E5A96D"/>
    <w:rsid w:val="42E9CF18"/>
    <w:rsid w:val="430800CB"/>
    <w:rsid w:val="437C1978"/>
    <w:rsid w:val="43AA5435"/>
    <w:rsid w:val="4447CBC7"/>
    <w:rsid w:val="4492CA07"/>
    <w:rsid w:val="44AE316A"/>
    <w:rsid w:val="44B75BA2"/>
    <w:rsid w:val="44C8098E"/>
    <w:rsid w:val="44C94595"/>
    <w:rsid w:val="44CDF8A1"/>
    <w:rsid w:val="44D9279D"/>
    <w:rsid w:val="4561F655"/>
    <w:rsid w:val="4588DCCE"/>
    <w:rsid w:val="4591662E"/>
    <w:rsid w:val="45A67C51"/>
    <w:rsid w:val="45EE8BA7"/>
    <w:rsid w:val="460C544C"/>
    <w:rsid w:val="465AF216"/>
    <w:rsid w:val="46C12FC3"/>
    <w:rsid w:val="46C98D3B"/>
    <w:rsid w:val="46CBF78B"/>
    <w:rsid w:val="47077F08"/>
    <w:rsid w:val="4755D140"/>
    <w:rsid w:val="4760041D"/>
    <w:rsid w:val="47A769CB"/>
    <w:rsid w:val="47C126D7"/>
    <w:rsid w:val="47F478AA"/>
    <w:rsid w:val="4800E4DF"/>
    <w:rsid w:val="481B8BFC"/>
    <w:rsid w:val="482A0615"/>
    <w:rsid w:val="4898823C"/>
    <w:rsid w:val="48A27F3C"/>
    <w:rsid w:val="48C2A3A7"/>
    <w:rsid w:val="493F5F14"/>
    <w:rsid w:val="4955DC9A"/>
    <w:rsid w:val="4998691C"/>
    <w:rsid w:val="499E8FAF"/>
    <w:rsid w:val="49BA7F86"/>
    <w:rsid w:val="49C8C323"/>
    <w:rsid w:val="49DB2437"/>
    <w:rsid w:val="4A504353"/>
    <w:rsid w:val="4A7A2ADD"/>
    <w:rsid w:val="4AA6614C"/>
    <w:rsid w:val="4AEB636D"/>
    <w:rsid w:val="4B0417DB"/>
    <w:rsid w:val="4B212776"/>
    <w:rsid w:val="4B649384"/>
    <w:rsid w:val="4B65E839"/>
    <w:rsid w:val="4B6C56B7"/>
    <w:rsid w:val="4BC985E3"/>
    <w:rsid w:val="4BD8A195"/>
    <w:rsid w:val="4BED3936"/>
    <w:rsid w:val="4C36ABD8"/>
    <w:rsid w:val="4C4C1FA0"/>
    <w:rsid w:val="4CDBB8FD"/>
    <w:rsid w:val="4D0F1AA4"/>
    <w:rsid w:val="4D161721"/>
    <w:rsid w:val="4D27D2BC"/>
    <w:rsid w:val="4D6260EC"/>
    <w:rsid w:val="4DC9860E"/>
    <w:rsid w:val="4DDAF0D2"/>
    <w:rsid w:val="4DE0EFB7"/>
    <w:rsid w:val="4DF090F9"/>
    <w:rsid w:val="4DF851AC"/>
    <w:rsid w:val="4E0DB241"/>
    <w:rsid w:val="4E15B5DF"/>
    <w:rsid w:val="4E15D3A5"/>
    <w:rsid w:val="4E2C41DA"/>
    <w:rsid w:val="4E38DA2D"/>
    <w:rsid w:val="4E4CDB9E"/>
    <w:rsid w:val="4E519244"/>
    <w:rsid w:val="4E5A79FD"/>
    <w:rsid w:val="4E6A59BF"/>
    <w:rsid w:val="4E8E6A49"/>
    <w:rsid w:val="4E977670"/>
    <w:rsid w:val="4EABF0FE"/>
    <w:rsid w:val="4EF1D716"/>
    <w:rsid w:val="4EF231EB"/>
    <w:rsid w:val="4F30B63B"/>
    <w:rsid w:val="4F322251"/>
    <w:rsid w:val="4F42D4EB"/>
    <w:rsid w:val="4F8DD88C"/>
    <w:rsid w:val="4FB14679"/>
    <w:rsid w:val="4FD7589A"/>
    <w:rsid w:val="4FDAD84A"/>
    <w:rsid w:val="50125006"/>
    <w:rsid w:val="5020EA00"/>
    <w:rsid w:val="504DD86C"/>
    <w:rsid w:val="504EE9AC"/>
    <w:rsid w:val="50580017"/>
    <w:rsid w:val="508217F1"/>
    <w:rsid w:val="50836274"/>
    <w:rsid w:val="50A71AB9"/>
    <w:rsid w:val="50BBE868"/>
    <w:rsid w:val="50CBD8A1"/>
    <w:rsid w:val="50F45C54"/>
    <w:rsid w:val="51442716"/>
    <w:rsid w:val="515A6659"/>
    <w:rsid w:val="5163C5D7"/>
    <w:rsid w:val="51794A13"/>
    <w:rsid w:val="51CDC362"/>
    <w:rsid w:val="52079EEF"/>
    <w:rsid w:val="5214BBC6"/>
    <w:rsid w:val="52569C1F"/>
    <w:rsid w:val="525A9B3F"/>
    <w:rsid w:val="525E0BEA"/>
    <w:rsid w:val="5294ADB3"/>
    <w:rsid w:val="52CE8556"/>
    <w:rsid w:val="530CA57A"/>
    <w:rsid w:val="53150AF6"/>
    <w:rsid w:val="53172DA4"/>
    <w:rsid w:val="536E38A0"/>
    <w:rsid w:val="537A2EA5"/>
    <w:rsid w:val="53E9CEAE"/>
    <w:rsid w:val="53F1C723"/>
    <w:rsid w:val="5433A338"/>
    <w:rsid w:val="543E5E4A"/>
    <w:rsid w:val="545CC549"/>
    <w:rsid w:val="545EEA4D"/>
    <w:rsid w:val="54952CA3"/>
    <w:rsid w:val="54C2F5EA"/>
    <w:rsid w:val="54D1090E"/>
    <w:rsid w:val="54FCEED6"/>
    <w:rsid w:val="55008D2E"/>
    <w:rsid w:val="551811F5"/>
    <w:rsid w:val="5556626E"/>
    <w:rsid w:val="556ABFFA"/>
    <w:rsid w:val="55741FF8"/>
    <w:rsid w:val="55BBAE94"/>
    <w:rsid w:val="56519563"/>
    <w:rsid w:val="5662FC2C"/>
    <w:rsid w:val="56698C0E"/>
    <w:rsid w:val="566D251C"/>
    <w:rsid w:val="56813915"/>
    <w:rsid w:val="56922826"/>
    <w:rsid w:val="56CFDFE6"/>
    <w:rsid w:val="57239A7F"/>
    <w:rsid w:val="572FC7A8"/>
    <w:rsid w:val="57840619"/>
    <w:rsid w:val="5797FDD7"/>
    <w:rsid w:val="57BCE51A"/>
    <w:rsid w:val="57CB9F36"/>
    <w:rsid w:val="581009C2"/>
    <w:rsid w:val="5830D3F5"/>
    <w:rsid w:val="58440248"/>
    <w:rsid w:val="586C719E"/>
    <w:rsid w:val="58B98FE0"/>
    <w:rsid w:val="58C31B95"/>
    <w:rsid w:val="58E8E751"/>
    <w:rsid w:val="590B1749"/>
    <w:rsid w:val="591C8611"/>
    <w:rsid w:val="594740EA"/>
    <w:rsid w:val="59528D86"/>
    <w:rsid w:val="598B16D5"/>
    <w:rsid w:val="5A0B5769"/>
    <w:rsid w:val="5A0CF821"/>
    <w:rsid w:val="5A14E4EF"/>
    <w:rsid w:val="5A4C059E"/>
    <w:rsid w:val="5A6DE92F"/>
    <w:rsid w:val="5A74AFBC"/>
    <w:rsid w:val="5A7C5209"/>
    <w:rsid w:val="5A835138"/>
    <w:rsid w:val="5AC5E954"/>
    <w:rsid w:val="5B377ED0"/>
    <w:rsid w:val="5B40963F"/>
    <w:rsid w:val="5B5AD8DD"/>
    <w:rsid w:val="5B8A29A7"/>
    <w:rsid w:val="5BA5B267"/>
    <w:rsid w:val="5BB52358"/>
    <w:rsid w:val="5BD8797A"/>
    <w:rsid w:val="5C4331B8"/>
    <w:rsid w:val="5C4EAED1"/>
    <w:rsid w:val="5C570AA3"/>
    <w:rsid w:val="5C6CA630"/>
    <w:rsid w:val="5C885B46"/>
    <w:rsid w:val="5CA28D12"/>
    <w:rsid w:val="5CB5F040"/>
    <w:rsid w:val="5CD02A2F"/>
    <w:rsid w:val="5CD34F31"/>
    <w:rsid w:val="5CE006FA"/>
    <w:rsid w:val="5D21CB28"/>
    <w:rsid w:val="5D514D59"/>
    <w:rsid w:val="5DA1AC04"/>
    <w:rsid w:val="5DBAF1FA"/>
    <w:rsid w:val="5DE33E5C"/>
    <w:rsid w:val="5DE3A303"/>
    <w:rsid w:val="5E13E03C"/>
    <w:rsid w:val="5E2494ED"/>
    <w:rsid w:val="5E2AC501"/>
    <w:rsid w:val="5E4DB52D"/>
    <w:rsid w:val="5E525819"/>
    <w:rsid w:val="5E7CDBDD"/>
    <w:rsid w:val="5EA607BE"/>
    <w:rsid w:val="5EB3511E"/>
    <w:rsid w:val="5ED12A9B"/>
    <w:rsid w:val="5ED1E6DD"/>
    <w:rsid w:val="5F352EB1"/>
    <w:rsid w:val="5F41C6F0"/>
    <w:rsid w:val="5F4E7F77"/>
    <w:rsid w:val="5F511432"/>
    <w:rsid w:val="5F53B7F3"/>
    <w:rsid w:val="5FA8B6B9"/>
    <w:rsid w:val="5FB5A4EA"/>
    <w:rsid w:val="5FCFB556"/>
    <w:rsid w:val="5FE1B5FD"/>
    <w:rsid w:val="6000B99B"/>
    <w:rsid w:val="600C94B1"/>
    <w:rsid w:val="60146BC9"/>
    <w:rsid w:val="6016905A"/>
    <w:rsid w:val="602D4609"/>
    <w:rsid w:val="6090F140"/>
    <w:rsid w:val="60B2687A"/>
    <w:rsid w:val="60CC81F9"/>
    <w:rsid w:val="60DD2AB3"/>
    <w:rsid w:val="60FF8FC7"/>
    <w:rsid w:val="614B45B0"/>
    <w:rsid w:val="615AE877"/>
    <w:rsid w:val="617FAEB3"/>
    <w:rsid w:val="618E027F"/>
    <w:rsid w:val="619E0B8C"/>
    <w:rsid w:val="61A91585"/>
    <w:rsid w:val="61AEA70B"/>
    <w:rsid w:val="61B6B41C"/>
    <w:rsid w:val="61BDE47A"/>
    <w:rsid w:val="61D59CA8"/>
    <w:rsid w:val="62679563"/>
    <w:rsid w:val="62796D64"/>
    <w:rsid w:val="62E0577B"/>
    <w:rsid w:val="6310B7EC"/>
    <w:rsid w:val="6356FE7E"/>
    <w:rsid w:val="635A4EE5"/>
    <w:rsid w:val="6390FCFC"/>
    <w:rsid w:val="63947143"/>
    <w:rsid w:val="639578F5"/>
    <w:rsid w:val="63978B1F"/>
    <w:rsid w:val="63A0BF7F"/>
    <w:rsid w:val="63BC3663"/>
    <w:rsid w:val="641B152F"/>
    <w:rsid w:val="64273102"/>
    <w:rsid w:val="642A337E"/>
    <w:rsid w:val="642F148E"/>
    <w:rsid w:val="64332EA6"/>
    <w:rsid w:val="6444B689"/>
    <w:rsid w:val="6450D45F"/>
    <w:rsid w:val="648A2C74"/>
    <w:rsid w:val="64D1CC54"/>
    <w:rsid w:val="650BAD7A"/>
    <w:rsid w:val="6537D899"/>
    <w:rsid w:val="65445628"/>
    <w:rsid w:val="655DBE71"/>
    <w:rsid w:val="65646CFB"/>
    <w:rsid w:val="6583FC3D"/>
    <w:rsid w:val="65856CB3"/>
    <w:rsid w:val="65925007"/>
    <w:rsid w:val="659FF31C"/>
    <w:rsid w:val="65D98456"/>
    <w:rsid w:val="65E4EBCA"/>
    <w:rsid w:val="661A048B"/>
    <w:rsid w:val="665AA6C6"/>
    <w:rsid w:val="66605C40"/>
    <w:rsid w:val="66D90F47"/>
    <w:rsid w:val="670F5B15"/>
    <w:rsid w:val="67770BD9"/>
    <w:rsid w:val="677F59A6"/>
    <w:rsid w:val="677F891E"/>
    <w:rsid w:val="67CB9CAE"/>
    <w:rsid w:val="67CBA020"/>
    <w:rsid w:val="67F13330"/>
    <w:rsid w:val="6924DA9C"/>
    <w:rsid w:val="693DF561"/>
    <w:rsid w:val="69527E4B"/>
    <w:rsid w:val="69AC14A8"/>
    <w:rsid w:val="69BFB7F7"/>
    <w:rsid w:val="69C1FF55"/>
    <w:rsid w:val="69D32EE2"/>
    <w:rsid w:val="69E95A36"/>
    <w:rsid w:val="69EF05C4"/>
    <w:rsid w:val="6A3451B8"/>
    <w:rsid w:val="6A5C2757"/>
    <w:rsid w:val="6A65639A"/>
    <w:rsid w:val="6A6DE405"/>
    <w:rsid w:val="6A7F4912"/>
    <w:rsid w:val="6A969A8D"/>
    <w:rsid w:val="6AB2D8DA"/>
    <w:rsid w:val="6AC2D60C"/>
    <w:rsid w:val="6AD61D4E"/>
    <w:rsid w:val="6AE53EC4"/>
    <w:rsid w:val="6AE6A787"/>
    <w:rsid w:val="6AEF2033"/>
    <w:rsid w:val="6AF59E0E"/>
    <w:rsid w:val="6B045764"/>
    <w:rsid w:val="6B188077"/>
    <w:rsid w:val="6B8592BB"/>
    <w:rsid w:val="6B955E4F"/>
    <w:rsid w:val="6B99B45A"/>
    <w:rsid w:val="6BAB39EC"/>
    <w:rsid w:val="6BB10A05"/>
    <w:rsid w:val="6BB58EEF"/>
    <w:rsid w:val="6BB6197D"/>
    <w:rsid w:val="6BD14A39"/>
    <w:rsid w:val="6BEC110C"/>
    <w:rsid w:val="6BFBD31A"/>
    <w:rsid w:val="6C26AC8A"/>
    <w:rsid w:val="6C4B4F3C"/>
    <w:rsid w:val="6C84C4D9"/>
    <w:rsid w:val="6CD8945F"/>
    <w:rsid w:val="6CE1D813"/>
    <w:rsid w:val="6CFDCF4E"/>
    <w:rsid w:val="6D6625FC"/>
    <w:rsid w:val="6D8C2C99"/>
    <w:rsid w:val="6DAA608C"/>
    <w:rsid w:val="6DDF0041"/>
    <w:rsid w:val="6DF7E838"/>
    <w:rsid w:val="6E28C320"/>
    <w:rsid w:val="6E3005CD"/>
    <w:rsid w:val="6E5A14A6"/>
    <w:rsid w:val="6E5D8057"/>
    <w:rsid w:val="6E6CC84A"/>
    <w:rsid w:val="6E82BA71"/>
    <w:rsid w:val="6EA58AEA"/>
    <w:rsid w:val="6EAA5C4A"/>
    <w:rsid w:val="6ECE2608"/>
    <w:rsid w:val="6F049751"/>
    <w:rsid w:val="6F094C6B"/>
    <w:rsid w:val="6F6888F5"/>
    <w:rsid w:val="6F83289B"/>
    <w:rsid w:val="6F977C31"/>
    <w:rsid w:val="6FEEAE9C"/>
    <w:rsid w:val="7029E7E7"/>
    <w:rsid w:val="70303303"/>
    <w:rsid w:val="705F414C"/>
    <w:rsid w:val="7077E1E1"/>
    <w:rsid w:val="709DF98F"/>
    <w:rsid w:val="70B3EF2B"/>
    <w:rsid w:val="70C51AF1"/>
    <w:rsid w:val="70D76C8B"/>
    <w:rsid w:val="70D82D9F"/>
    <w:rsid w:val="70E66EBE"/>
    <w:rsid w:val="712D4442"/>
    <w:rsid w:val="71505168"/>
    <w:rsid w:val="717F4EA7"/>
    <w:rsid w:val="71BAF444"/>
    <w:rsid w:val="71DAFB31"/>
    <w:rsid w:val="71DBDD75"/>
    <w:rsid w:val="7212DE54"/>
    <w:rsid w:val="7214D39D"/>
    <w:rsid w:val="721BE0AF"/>
    <w:rsid w:val="7236970C"/>
    <w:rsid w:val="72784273"/>
    <w:rsid w:val="72C0C276"/>
    <w:rsid w:val="73258515"/>
    <w:rsid w:val="736141E1"/>
    <w:rsid w:val="73696BD5"/>
    <w:rsid w:val="7374ADE6"/>
    <w:rsid w:val="73815631"/>
    <w:rsid w:val="738C8F86"/>
    <w:rsid w:val="73AB69EE"/>
    <w:rsid w:val="73AEAEB5"/>
    <w:rsid w:val="73D2F425"/>
    <w:rsid w:val="73D535AA"/>
    <w:rsid w:val="73D794A8"/>
    <w:rsid w:val="7438F878"/>
    <w:rsid w:val="744FA386"/>
    <w:rsid w:val="748A27D1"/>
    <w:rsid w:val="74913A1C"/>
    <w:rsid w:val="752D15D3"/>
    <w:rsid w:val="754BF469"/>
    <w:rsid w:val="756CC996"/>
    <w:rsid w:val="759E634E"/>
    <w:rsid w:val="75A47725"/>
    <w:rsid w:val="763FE9DD"/>
    <w:rsid w:val="765A412A"/>
    <w:rsid w:val="76888827"/>
    <w:rsid w:val="76A7E158"/>
    <w:rsid w:val="76C806B2"/>
    <w:rsid w:val="76D5B5BD"/>
    <w:rsid w:val="76E22192"/>
    <w:rsid w:val="771160A7"/>
    <w:rsid w:val="7751E489"/>
    <w:rsid w:val="77990A8D"/>
    <w:rsid w:val="77BA7380"/>
    <w:rsid w:val="7815A369"/>
    <w:rsid w:val="78426E1A"/>
    <w:rsid w:val="7871741B"/>
    <w:rsid w:val="789A2D9E"/>
    <w:rsid w:val="78B7A06A"/>
    <w:rsid w:val="78C1C57F"/>
    <w:rsid w:val="78D635E6"/>
    <w:rsid w:val="790F4D9A"/>
    <w:rsid w:val="7916ABEB"/>
    <w:rsid w:val="796D18D6"/>
    <w:rsid w:val="798DE5DD"/>
    <w:rsid w:val="799E2F2D"/>
    <w:rsid w:val="79CB6CFB"/>
    <w:rsid w:val="79D4A204"/>
    <w:rsid w:val="79F6FF08"/>
    <w:rsid w:val="79F97550"/>
    <w:rsid w:val="79FADA91"/>
    <w:rsid w:val="7A108686"/>
    <w:rsid w:val="7A6F3F09"/>
    <w:rsid w:val="7A8E6B5F"/>
    <w:rsid w:val="7A99E324"/>
    <w:rsid w:val="7AA29099"/>
    <w:rsid w:val="7AC8557C"/>
    <w:rsid w:val="7AEDB69D"/>
    <w:rsid w:val="7B0E340D"/>
    <w:rsid w:val="7B10293A"/>
    <w:rsid w:val="7B370B31"/>
    <w:rsid w:val="7B3C394D"/>
    <w:rsid w:val="7B4D442B"/>
    <w:rsid w:val="7B6E6AAC"/>
    <w:rsid w:val="7B6F8CA6"/>
    <w:rsid w:val="7B8A3362"/>
    <w:rsid w:val="7B9527C3"/>
    <w:rsid w:val="7BCD9274"/>
    <w:rsid w:val="7BDFD351"/>
    <w:rsid w:val="7BE3D364"/>
    <w:rsid w:val="7BE3EF3F"/>
    <w:rsid w:val="7BE97960"/>
    <w:rsid w:val="7C0B4140"/>
    <w:rsid w:val="7C0DD6A8"/>
    <w:rsid w:val="7C27D8CC"/>
    <w:rsid w:val="7C2B8CDA"/>
    <w:rsid w:val="7C8F15D3"/>
    <w:rsid w:val="7CC6DD9B"/>
    <w:rsid w:val="7CD9DE83"/>
    <w:rsid w:val="7CF59A23"/>
    <w:rsid w:val="7D0CE984"/>
    <w:rsid w:val="7D32FDB4"/>
    <w:rsid w:val="7D368E02"/>
    <w:rsid w:val="7D3AB14F"/>
    <w:rsid w:val="7D630A7A"/>
    <w:rsid w:val="7D763077"/>
    <w:rsid w:val="7D9ADDCC"/>
    <w:rsid w:val="7DB9D867"/>
    <w:rsid w:val="7DCC570F"/>
    <w:rsid w:val="7DD1CABC"/>
    <w:rsid w:val="7DEE7BA0"/>
    <w:rsid w:val="7DF062B3"/>
    <w:rsid w:val="7E178D62"/>
    <w:rsid w:val="7E3217F6"/>
    <w:rsid w:val="7EFC0A70"/>
    <w:rsid w:val="7F4A664B"/>
    <w:rsid w:val="7F652214"/>
    <w:rsid w:val="7F88492B"/>
    <w:rsid w:val="7F9192D5"/>
    <w:rsid w:val="7FD0FD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65826"/>
  <w15:chartTrackingRefBased/>
  <w15:docId w15:val="{D71ABF46-D65E-6740-9BCE-64AFF7CA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6C2"/>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D5C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0B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0B0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3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qFormat/>
    <w:rsid w:val="00F13C3B"/>
    <w:rPr>
      <w:sz w:val="16"/>
      <w:szCs w:val="16"/>
    </w:rPr>
  </w:style>
  <w:style w:type="paragraph" w:styleId="CommentText">
    <w:name w:val="annotation text"/>
    <w:basedOn w:val="Normal"/>
    <w:link w:val="CommentTextChar"/>
    <w:uiPriority w:val="99"/>
    <w:unhideWhenUsed/>
    <w:qFormat/>
    <w:rsid w:val="00F13C3B"/>
    <w:pPr>
      <w:spacing w:after="160"/>
    </w:pPr>
    <w:rPr>
      <w:sz w:val="20"/>
      <w:szCs w:val="20"/>
    </w:rPr>
  </w:style>
  <w:style w:type="character" w:customStyle="1" w:styleId="CommentTextChar">
    <w:name w:val="Comment Text Char"/>
    <w:basedOn w:val="DefaultParagraphFont"/>
    <w:link w:val="CommentText"/>
    <w:uiPriority w:val="99"/>
    <w:rsid w:val="00F13C3B"/>
    <w:rPr>
      <w:sz w:val="20"/>
      <w:szCs w:val="20"/>
    </w:rPr>
  </w:style>
  <w:style w:type="paragraph" w:styleId="CommentSubject">
    <w:name w:val="annotation subject"/>
    <w:basedOn w:val="CommentText"/>
    <w:next w:val="CommentText"/>
    <w:link w:val="CommentSubjectChar"/>
    <w:uiPriority w:val="99"/>
    <w:semiHidden/>
    <w:unhideWhenUsed/>
    <w:rsid w:val="00B36818"/>
    <w:pPr>
      <w:spacing w:after="0"/>
    </w:pPr>
    <w:rPr>
      <w:b/>
      <w:bCs/>
    </w:rPr>
  </w:style>
  <w:style w:type="character" w:customStyle="1" w:styleId="CommentSubjectChar">
    <w:name w:val="Comment Subject Char"/>
    <w:basedOn w:val="CommentTextChar"/>
    <w:link w:val="CommentSubject"/>
    <w:uiPriority w:val="99"/>
    <w:semiHidden/>
    <w:rsid w:val="00B36818"/>
    <w:rPr>
      <w:b/>
      <w:bCs/>
      <w:sz w:val="20"/>
      <w:szCs w:val="20"/>
    </w:rPr>
  </w:style>
  <w:style w:type="paragraph" w:styleId="ListParagraph">
    <w:name w:val="List Paragraph"/>
    <w:basedOn w:val="Normal"/>
    <w:link w:val="ListParagraphChar"/>
    <w:uiPriority w:val="34"/>
    <w:qFormat/>
    <w:rsid w:val="00132EEC"/>
    <w:pPr>
      <w:ind w:left="720"/>
      <w:contextualSpacing/>
    </w:pPr>
  </w:style>
  <w:style w:type="character" w:styleId="Hyperlink">
    <w:name w:val="Hyperlink"/>
    <w:basedOn w:val="DefaultParagraphFont"/>
    <w:uiPriority w:val="99"/>
    <w:unhideWhenUsed/>
    <w:rsid w:val="001643B5"/>
    <w:rPr>
      <w:color w:val="0000FF"/>
      <w:u w:val="single"/>
    </w:rPr>
  </w:style>
  <w:style w:type="paragraph" w:customStyle="1" w:styleId="TableParagraph">
    <w:name w:val="Table Paragraph"/>
    <w:basedOn w:val="Normal"/>
    <w:uiPriority w:val="1"/>
    <w:qFormat/>
    <w:rsid w:val="005022CA"/>
    <w:pPr>
      <w:widowControl w:val="0"/>
      <w:autoSpaceDE w:val="0"/>
      <w:autoSpaceDN w:val="0"/>
      <w:ind w:left="383"/>
    </w:pPr>
    <w:rPr>
      <w:rFonts w:ascii="Arial" w:eastAsia="Arial" w:hAnsi="Arial" w:cs="Arial"/>
      <w:sz w:val="22"/>
      <w:szCs w:val="22"/>
      <w:lang w:val="en-US" w:eastAsia="en-US"/>
    </w:rPr>
  </w:style>
  <w:style w:type="character" w:styleId="UnresolvedMention">
    <w:name w:val="Unresolved Mention"/>
    <w:basedOn w:val="DefaultParagraphFont"/>
    <w:uiPriority w:val="99"/>
    <w:unhideWhenUsed/>
    <w:rsid w:val="00D3684F"/>
    <w:rPr>
      <w:color w:val="605E5C"/>
      <w:shd w:val="clear" w:color="auto" w:fill="E1DFDD"/>
    </w:rPr>
  </w:style>
  <w:style w:type="paragraph" w:styleId="Footer">
    <w:name w:val="footer"/>
    <w:basedOn w:val="Normal"/>
    <w:link w:val="FooterChar"/>
    <w:uiPriority w:val="99"/>
    <w:unhideWhenUsed/>
    <w:rsid w:val="00821A95"/>
    <w:pPr>
      <w:tabs>
        <w:tab w:val="center" w:pos="4513"/>
        <w:tab w:val="right" w:pos="9026"/>
      </w:tabs>
    </w:pPr>
  </w:style>
  <w:style w:type="character" w:customStyle="1" w:styleId="FooterChar">
    <w:name w:val="Footer Char"/>
    <w:basedOn w:val="DefaultParagraphFont"/>
    <w:link w:val="Footer"/>
    <w:uiPriority w:val="99"/>
    <w:rsid w:val="00821A95"/>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821A95"/>
  </w:style>
  <w:style w:type="paragraph" w:styleId="Header">
    <w:name w:val="header"/>
    <w:basedOn w:val="Normal"/>
    <w:link w:val="HeaderChar"/>
    <w:uiPriority w:val="99"/>
    <w:unhideWhenUsed/>
    <w:rsid w:val="00821A95"/>
    <w:pPr>
      <w:tabs>
        <w:tab w:val="center" w:pos="4513"/>
        <w:tab w:val="right" w:pos="9026"/>
      </w:tabs>
    </w:pPr>
  </w:style>
  <w:style w:type="character" w:customStyle="1" w:styleId="HeaderChar">
    <w:name w:val="Header Char"/>
    <w:basedOn w:val="DefaultParagraphFont"/>
    <w:link w:val="Header"/>
    <w:uiPriority w:val="99"/>
    <w:rsid w:val="00821A95"/>
    <w:rPr>
      <w:rFonts w:ascii="Times New Roman" w:eastAsia="Times New Roman" w:hAnsi="Times New Roman" w:cs="Times New Roman"/>
      <w:lang w:eastAsia="en-GB"/>
    </w:rPr>
  </w:style>
  <w:style w:type="character" w:styleId="Mention">
    <w:name w:val="Mention"/>
    <w:basedOn w:val="DefaultParagraphFont"/>
    <w:uiPriority w:val="99"/>
    <w:unhideWhenUsed/>
    <w:rsid w:val="0065727D"/>
    <w:rPr>
      <w:color w:val="2B579A"/>
      <w:shd w:val="clear" w:color="auto" w:fill="E1DFDD"/>
    </w:rPr>
  </w:style>
  <w:style w:type="paragraph" w:styleId="TOC1">
    <w:name w:val="toc 1"/>
    <w:basedOn w:val="Normal"/>
    <w:next w:val="Normal"/>
    <w:autoRedefine/>
    <w:uiPriority w:val="39"/>
    <w:unhideWhenUsed/>
    <w:rsid w:val="005A6B1E"/>
    <w:pPr>
      <w:tabs>
        <w:tab w:val="right" w:leader="dot" w:pos="9016"/>
      </w:tabs>
      <w:spacing w:before="120"/>
    </w:pPr>
    <w:rPr>
      <w:rFonts w:asciiTheme="minorHAnsi" w:hAnsiTheme="minorHAnsi" w:cstheme="minorHAnsi"/>
      <w:b/>
      <w:bCs/>
      <w:i/>
      <w:iCs/>
      <w:noProof/>
      <w:color w:val="2F5496" w:themeColor="accent1" w:themeShade="BF"/>
    </w:rPr>
  </w:style>
  <w:style w:type="paragraph" w:styleId="TOC2">
    <w:name w:val="toc 2"/>
    <w:basedOn w:val="Normal"/>
    <w:next w:val="Normal"/>
    <w:autoRedefine/>
    <w:uiPriority w:val="39"/>
    <w:unhideWhenUsed/>
    <w:rsid w:val="00893D91"/>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qFormat/>
    <w:rsid w:val="00893D91"/>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893D91"/>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93D91"/>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93D91"/>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93D91"/>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93D91"/>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93D91"/>
    <w:pPr>
      <w:ind w:left="1920"/>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5D5C8E"/>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5D5C8E"/>
    <w:pPr>
      <w:spacing w:before="480" w:line="276" w:lineRule="auto"/>
      <w:outlineLvl w:val="9"/>
    </w:pPr>
    <w:rPr>
      <w:b/>
      <w:bCs/>
      <w:sz w:val="28"/>
      <w:szCs w:val="28"/>
      <w:lang w:val="en-US" w:eastAsia="en-US"/>
    </w:rPr>
  </w:style>
  <w:style w:type="character" w:customStyle="1" w:styleId="Heading2Char">
    <w:name w:val="Heading 2 Char"/>
    <w:basedOn w:val="DefaultParagraphFont"/>
    <w:link w:val="Heading2"/>
    <w:uiPriority w:val="9"/>
    <w:rsid w:val="00180B0B"/>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180B0B"/>
    <w:rPr>
      <w:rFonts w:asciiTheme="majorHAnsi" w:eastAsiaTheme="majorEastAsia" w:hAnsiTheme="majorHAnsi" w:cstheme="majorBidi"/>
      <w:color w:val="1F3763" w:themeColor="accent1" w:themeShade="7F"/>
      <w:lang w:eastAsia="en-GB"/>
    </w:rPr>
  </w:style>
  <w:style w:type="character" w:customStyle="1" w:styleId="normaltextrun">
    <w:name w:val="normaltextrun"/>
    <w:basedOn w:val="DefaultParagraphFont"/>
    <w:rsid w:val="003B7F36"/>
  </w:style>
  <w:style w:type="character" w:customStyle="1" w:styleId="eop">
    <w:name w:val="eop"/>
    <w:basedOn w:val="DefaultParagraphFont"/>
    <w:rsid w:val="003B7F36"/>
  </w:style>
  <w:style w:type="paragraph" w:styleId="TableofFigures">
    <w:name w:val="table of figures"/>
    <w:basedOn w:val="Normal"/>
    <w:next w:val="Normal"/>
    <w:uiPriority w:val="99"/>
    <w:unhideWhenUsed/>
    <w:rsid w:val="00ED5666"/>
    <w:pPr>
      <w:ind w:left="480" w:hanging="480"/>
    </w:pPr>
    <w:rPr>
      <w:rFonts w:asciiTheme="minorHAnsi" w:hAnsiTheme="minorHAnsi" w:cstheme="minorHAnsi"/>
      <w:caps/>
      <w:sz w:val="20"/>
      <w:szCs w:val="20"/>
    </w:rPr>
  </w:style>
  <w:style w:type="paragraph" w:customStyle="1" w:styleId="HeadingLevel2">
    <w:name w:val="Heading Level 2"/>
    <w:basedOn w:val="Normal"/>
    <w:qFormat/>
    <w:rsid w:val="00624105"/>
    <w:pPr>
      <w:spacing w:line="480" w:lineRule="auto"/>
      <w:jc w:val="center"/>
    </w:pPr>
    <w:rPr>
      <w:rFonts w:ascii="Palatino Linotype" w:eastAsiaTheme="minorHAnsi" w:hAnsi="Palatino Linotype" w:cstheme="minorBidi"/>
      <w:b/>
      <w:bCs/>
      <w:lang w:eastAsia="en-US"/>
    </w:rPr>
  </w:style>
  <w:style w:type="paragraph" w:customStyle="1" w:styleId="FrontMaterial">
    <w:name w:val="FrontMaterial"/>
    <w:basedOn w:val="Normal"/>
    <w:qFormat/>
    <w:rsid w:val="00624105"/>
    <w:pPr>
      <w:spacing w:line="480" w:lineRule="auto"/>
      <w:jc w:val="center"/>
    </w:pPr>
    <w:rPr>
      <w:rFonts w:ascii="Palatino Linotype" w:eastAsiaTheme="minorHAnsi" w:hAnsi="Palatino Linotype" w:cstheme="minorBidi"/>
      <w:sz w:val="28"/>
      <w:szCs w:val="28"/>
      <w:lang w:eastAsia="en-US"/>
    </w:rPr>
  </w:style>
  <w:style w:type="paragraph" w:customStyle="1" w:styleId="Frontmaterial0">
    <w:name w:val="Front material"/>
    <w:basedOn w:val="Normal"/>
    <w:autoRedefine/>
    <w:qFormat/>
    <w:rsid w:val="00624105"/>
    <w:pPr>
      <w:spacing w:line="480" w:lineRule="auto"/>
      <w:jc w:val="center"/>
    </w:pPr>
    <w:rPr>
      <w:rFonts w:ascii="Palatino Linotype" w:eastAsiaTheme="minorHAnsi" w:hAnsi="Palatino Linotype" w:cstheme="minorBidi"/>
      <w:sz w:val="28"/>
      <w:szCs w:val="28"/>
      <w:lang w:eastAsia="en-US"/>
    </w:rPr>
  </w:style>
  <w:style w:type="paragraph" w:customStyle="1" w:styleId="EndNoteBibliographyTitle">
    <w:name w:val="EndNote Bibliography Title"/>
    <w:basedOn w:val="Normal"/>
    <w:link w:val="EndNoteBibliographyTitleChar"/>
    <w:rsid w:val="00624105"/>
    <w:pPr>
      <w:jc w:val="center"/>
    </w:pPr>
    <w:rPr>
      <w:lang w:val="en-US"/>
    </w:rPr>
  </w:style>
  <w:style w:type="character" w:customStyle="1" w:styleId="ListParagraphChar">
    <w:name w:val="List Paragraph Char"/>
    <w:basedOn w:val="DefaultParagraphFont"/>
    <w:link w:val="ListParagraph"/>
    <w:uiPriority w:val="34"/>
    <w:rsid w:val="00624105"/>
    <w:rPr>
      <w:rFonts w:ascii="Times New Roman" w:eastAsia="Times New Roman" w:hAnsi="Times New Roman" w:cs="Times New Roman"/>
      <w:lang w:eastAsia="en-GB"/>
    </w:rPr>
  </w:style>
  <w:style w:type="character" w:customStyle="1" w:styleId="EndNoteBibliographyTitleChar">
    <w:name w:val="EndNote Bibliography Title Char"/>
    <w:basedOn w:val="ListParagraphChar"/>
    <w:link w:val="EndNoteBibliographyTitle"/>
    <w:rsid w:val="00624105"/>
    <w:rPr>
      <w:rFonts w:ascii="Times New Roman" w:eastAsia="Times New Roman" w:hAnsi="Times New Roman" w:cs="Times New Roman"/>
      <w:lang w:val="en-US" w:eastAsia="en-GB"/>
    </w:rPr>
  </w:style>
  <w:style w:type="paragraph" w:customStyle="1" w:styleId="EndNoteBibliography">
    <w:name w:val="EndNote Bibliography"/>
    <w:basedOn w:val="Normal"/>
    <w:link w:val="EndNoteBibliographyChar"/>
    <w:rsid w:val="00624105"/>
    <w:rPr>
      <w:rFonts w:ascii="Calibri" w:hAnsi="Calibri" w:cs="Calibri"/>
      <w:lang w:val="en-US"/>
    </w:rPr>
  </w:style>
  <w:style w:type="character" w:customStyle="1" w:styleId="EndNoteBibliographyChar">
    <w:name w:val="EndNote Bibliography Char"/>
    <w:basedOn w:val="ListParagraphChar"/>
    <w:link w:val="EndNoteBibliography"/>
    <w:rsid w:val="00624105"/>
    <w:rPr>
      <w:rFonts w:ascii="Calibri" w:eastAsia="Times New Roman" w:hAnsi="Calibri" w:cs="Calibri"/>
      <w:lang w:val="en-US" w:eastAsia="en-GB"/>
    </w:rPr>
  </w:style>
  <w:style w:type="character" w:customStyle="1" w:styleId="UnresolvedMention1">
    <w:name w:val="Unresolved Mention1"/>
    <w:basedOn w:val="DefaultParagraphFont"/>
    <w:uiPriority w:val="99"/>
    <w:semiHidden/>
    <w:unhideWhenUsed/>
    <w:rsid w:val="00624105"/>
    <w:rPr>
      <w:color w:val="605E5C"/>
      <w:shd w:val="clear" w:color="auto" w:fill="E1DFDD"/>
    </w:rPr>
  </w:style>
  <w:style w:type="paragraph" w:styleId="BalloonText">
    <w:name w:val="Balloon Text"/>
    <w:basedOn w:val="Normal"/>
    <w:link w:val="BalloonTextChar"/>
    <w:uiPriority w:val="99"/>
    <w:semiHidden/>
    <w:unhideWhenUsed/>
    <w:rsid w:val="00624105"/>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624105"/>
    <w:rPr>
      <w:rFonts w:ascii="Lucida Grande" w:hAnsi="Lucida Grande" w:cs="Lucida Grande"/>
      <w:sz w:val="18"/>
      <w:szCs w:val="18"/>
    </w:rPr>
  </w:style>
  <w:style w:type="paragraph" w:styleId="Revision">
    <w:name w:val="Revision"/>
    <w:hidden/>
    <w:uiPriority w:val="99"/>
    <w:semiHidden/>
    <w:rsid w:val="00624105"/>
  </w:style>
  <w:style w:type="paragraph" w:styleId="Caption">
    <w:name w:val="caption"/>
    <w:basedOn w:val="Normal"/>
    <w:next w:val="Normal"/>
    <w:uiPriority w:val="35"/>
    <w:semiHidden/>
    <w:unhideWhenUsed/>
    <w:qFormat/>
    <w:rsid w:val="00624105"/>
    <w:pPr>
      <w:spacing w:after="200"/>
    </w:pPr>
    <w:rPr>
      <w:rFonts w:asciiTheme="minorHAnsi" w:eastAsiaTheme="minorHAnsi" w:hAnsiTheme="minorHAnsi" w:cstheme="minorBidi"/>
      <w:i/>
      <w:iCs/>
      <w:color w:val="44546A" w:themeColor="text2"/>
      <w:sz w:val="18"/>
      <w:szCs w:val="18"/>
      <w:lang w:eastAsia="en-US"/>
    </w:rPr>
  </w:style>
  <w:style w:type="character" w:styleId="FollowedHyperlink">
    <w:name w:val="FollowedHyperlink"/>
    <w:basedOn w:val="DefaultParagraphFont"/>
    <w:uiPriority w:val="99"/>
    <w:semiHidden/>
    <w:unhideWhenUsed/>
    <w:rsid w:val="00624105"/>
    <w:rPr>
      <w:color w:val="954F72" w:themeColor="followedHyperlink"/>
      <w:u w:val="single"/>
    </w:rPr>
  </w:style>
  <w:style w:type="character" w:styleId="Strong">
    <w:name w:val="Strong"/>
    <w:basedOn w:val="DefaultParagraphFont"/>
    <w:uiPriority w:val="22"/>
    <w:qFormat/>
    <w:rsid w:val="00602BBB"/>
    <w:rPr>
      <w:b/>
      <w:bCs/>
    </w:rPr>
  </w:style>
  <w:style w:type="character" w:customStyle="1" w:styleId="author">
    <w:name w:val="author"/>
    <w:basedOn w:val="DefaultParagraphFont"/>
    <w:rsid w:val="0093280F"/>
  </w:style>
  <w:style w:type="character" w:customStyle="1" w:styleId="pubyear">
    <w:name w:val="pubyear"/>
    <w:basedOn w:val="DefaultParagraphFont"/>
    <w:rsid w:val="0093280F"/>
  </w:style>
  <w:style w:type="character" w:customStyle="1" w:styleId="articletitle">
    <w:name w:val="articletitle"/>
    <w:basedOn w:val="DefaultParagraphFont"/>
    <w:rsid w:val="0093280F"/>
  </w:style>
  <w:style w:type="character" w:customStyle="1" w:styleId="journaltitle">
    <w:name w:val="journaltitle"/>
    <w:basedOn w:val="DefaultParagraphFont"/>
    <w:rsid w:val="0093280F"/>
  </w:style>
  <w:style w:type="character" w:customStyle="1" w:styleId="vol">
    <w:name w:val="vol"/>
    <w:basedOn w:val="DefaultParagraphFont"/>
    <w:rsid w:val="0093280F"/>
  </w:style>
  <w:style w:type="character" w:customStyle="1" w:styleId="pagefirst">
    <w:name w:val="pagefirst"/>
    <w:basedOn w:val="DefaultParagraphFont"/>
    <w:rsid w:val="0093280F"/>
  </w:style>
  <w:style w:type="character" w:customStyle="1" w:styleId="pagelast">
    <w:name w:val="pagelast"/>
    <w:basedOn w:val="DefaultParagraphFont"/>
    <w:rsid w:val="0093280F"/>
  </w:style>
  <w:style w:type="character" w:customStyle="1" w:styleId="apple-converted-space">
    <w:name w:val="apple-converted-space"/>
    <w:basedOn w:val="DefaultParagraphFont"/>
    <w:rsid w:val="007106C2"/>
  </w:style>
  <w:style w:type="table" w:styleId="GridTable5Dark-Accent1">
    <w:name w:val="Grid Table 5 Dark Accent 1"/>
    <w:basedOn w:val="TableNormal"/>
    <w:uiPriority w:val="50"/>
    <w:rsid w:val="007106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numbering" w:customStyle="1" w:styleId="CurrentList1">
    <w:name w:val="Current List1"/>
    <w:uiPriority w:val="99"/>
    <w:rsid w:val="007106C2"/>
    <w:pPr>
      <w:numPr>
        <w:numId w:val="34"/>
      </w:numPr>
    </w:pPr>
  </w:style>
  <w:style w:type="paragraph" w:styleId="Title">
    <w:name w:val="Title"/>
    <w:basedOn w:val="Normal"/>
    <w:next w:val="Normal"/>
    <w:link w:val="TitleChar"/>
    <w:uiPriority w:val="10"/>
    <w:qFormat/>
    <w:rsid w:val="001D7478"/>
    <w:pPr>
      <w:spacing w:before="240"/>
      <w:contextualSpacing/>
      <w:jc w:val="both"/>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D7478"/>
    <w:rPr>
      <w:rFonts w:asciiTheme="majorHAnsi" w:eastAsiaTheme="majorEastAsia" w:hAnsiTheme="majorHAnsi" w:cstheme="majorBidi"/>
      <w:spacing w:val="-10"/>
      <w:kern w:val="28"/>
      <w:sz w:val="56"/>
      <w:szCs w:val="56"/>
    </w:rPr>
  </w:style>
  <w:style w:type="paragraph" w:customStyle="1" w:styleId="Body">
    <w:name w:val="Body"/>
    <w:link w:val="BodyChar"/>
    <w:qFormat/>
    <w:rsid w:val="000B7AAF"/>
    <w:pPr>
      <w:spacing w:after="120" w:line="280" w:lineRule="atLeast"/>
    </w:pPr>
    <w:rPr>
      <w:rFonts w:ascii="VIC" w:eastAsia="Times" w:hAnsi="VIC" w:cstheme="minorHAnsi"/>
      <w:sz w:val="22"/>
      <w:szCs w:val="20"/>
    </w:rPr>
  </w:style>
  <w:style w:type="character" w:customStyle="1" w:styleId="BodyChar">
    <w:name w:val="Body Char"/>
    <w:basedOn w:val="DefaultParagraphFont"/>
    <w:link w:val="Body"/>
    <w:rsid w:val="000B7AAF"/>
    <w:rPr>
      <w:rFonts w:ascii="VIC" w:eastAsia="Times" w:hAnsi="VIC" w:cstheme="minorHAnsi"/>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2492">
      <w:bodyDiv w:val="1"/>
      <w:marLeft w:val="0"/>
      <w:marRight w:val="0"/>
      <w:marTop w:val="0"/>
      <w:marBottom w:val="0"/>
      <w:divBdr>
        <w:top w:val="none" w:sz="0" w:space="0" w:color="auto"/>
        <w:left w:val="none" w:sz="0" w:space="0" w:color="auto"/>
        <w:bottom w:val="none" w:sz="0" w:space="0" w:color="auto"/>
        <w:right w:val="none" w:sz="0" w:space="0" w:color="auto"/>
      </w:divBdr>
    </w:div>
    <w:div w:id="104274643">
      <w:bodyDiv w:val="1"/>
      <w:marLeft w:val="0"/>
      <w:marRight w:val="0"/>
      <w:marTop w:val="0"/>
      <w:marBottom w:val="0"/>
      <w:divBdr>
        <w:top w:val="none" w:sz="0" w:space="0" w:color="auto"/>
        <w:left w:val="none" w:sz="0" w:space="0" w:color="auto"/>
        <w:bottom w:val="none" w:sz="0" w:space="0" w:color="auto"/>
        <w:right w:val="none" w:sz="0" w:space="0" w:color="auto"/>
      </w:divBdr>
    </w:div>
    <w:div w:id="401026094">
      <w:bodyDiv w:val="1"/>
      <w:marLeft w:val="0"/>
      <w:marRight w:val="0"/>
      <w:marTop w:val="0"/>
      <w:marBottom w:val="0"/>
      <w:divBdr>
        <w:top w:val="none" w:sz="0" w:space="0" w:color="auto"/>
        <w:left w:val="none" w:sz="0" w:space="0" w:color="auto"/>
        <w:bottom w:val="none" w:sz="0" w:space="0" w:color="auto"/>
        <w:right w:val="none" w:sz="0" w:space="0" w:color="auto"/>
      </w:divBdr>
    </w:div>
    <w:div w:id="514616055">
      <w:bodyDiv w:val="1"/>
      <w:marLeft w:val="0"/>
      <w:marRight w:val="0"/>
      <w:marTop w:val="0"/>
      <w:marBottom w:val="0"/>
      <w:divBdr>
        <w:top w:val="none" w:sz="0" w:space="0" w:color="auto"/>
        <w:left w:val="none" w:sz="0" w:space="0" w:color="auto"/>
        <w:bottom w:val="none" w:sz="0" w:space="0" w:color="auto"/>
        <w:right w:val="none" w:sz="0" w:space="0" w:color="auto"/>
      </w:divBdr>
    </w:div>
    <w:div w:id="654266367">
      <w:bodyDiv w:val="1"/>
      <w:marLeft w:val="0"/>
      <w:marRight w:val="0"/>
      <w:marTop w:val="0"/>
      <w:marBottom w:val="0"/>
      <w:divBdr>
        <w:top w:val="none" w:sz="0" w:space="0" w:color="auto"/>
        <w:left w:val="none" w:sz="0" w:space="0" w:color="auto"/>
        <w:bottom w:val="none" w:sz="0" w:space="0" w:color="auto"/>
        <w:right w:val="none" w:sz="0" w:space="0" w:color="auto"/>
      </w:divBdr>
    </w:div>
    <w:div w:id="856387038">
      <w:bodyDiv w:val="1"/>
      <w:marLeft w:val="0"/>
      <w:marRight w:val="0"/>
      <w:marTop w:val="0"/>
      <w:marBottom w:val="0"/>
      <w:divBdr>
        <w:top w:val="none" w:sz="0" w:space="0" w:color="auto"/>
        <w:left w:val="none" w:sz="0" w:space="0" w:color="auto"/>
        <w:bottom w:val="none" w:sz="0" w:space="0" w:color="auto"/>
        <w:right w:val="none" w:sz="0" w:space="0" w:color="auto"/>
      </w:divBdr>
    </w:div>
    <w:div w:id="1015964828">
      <w:bodyDiv w:val="1"/>
      <w:marLeft w:val="0"/>
      <w:marRight w:val="0"/>
      <w:marTop w:val="0"/>
      <w:marBottom w:val="0"/>
      <w:divBdr>
        <w:top w:val="none" w:sz="0" w:space="0" w:color="auto"/>
        <w:left w:val="none" w:sz="0" w:space="0" w:color="auto"/>
        <w:bottom w:val="none" w:sz="0" w:space="0" w:color="auto"/>
        <w:right w:val="none" w:sz="0" w:space="0" w:color="auto"/>
      </w:divBdr>
    </w:div>
    <w:div w:id="1047686602">
      <w:bodyDiv w:val="1"/>
      <w:marLeft w:val="0"/>
      <w:marRight w:val="0"/>
      <w:marTop w:val="0"/>
      <w:marBottom w:val="0"/>
      <w:divBdr>
        <w:top w:val="none" w:sz="0" w:space="0" w:color="auto"/>
        <w:left w:val="none" w:sz="0" w:space="0" w:color="auto"/>
        <w:bottom w:val="none" w:sz="0" w:space="0" w:color="auto"/>
        <w:right w:val="none" w:sz="0" w:space="0" w:color="auto"/>
      </w:divBdr>
    </w:div>
    <w:div w:id="1175145340">
      <w:bodyDiv w:val="1"/>
      <w:marLeft w:val="0"/>
      <w:marRight w:val="0"/>
      <w:marTop w:val="0"/>
      <w:marBottom w:val="0"/>
      <w:divBdr>
        <w:top w:val="none" w:sz="0" w:space="0" w:color="auto"/>
        <w:left w:val="none" w:sz="0" w:space="0" w:color="auto"/>
        <w:bottom w:val="none" w:sz="0" w:space="0" w:color="auto"/>
        <w:right w:val="none" w:sz="0" w:space="0" w:color="auto"/>
      </w:divBdr>
    </w:div>
    <w:div w:id="1227498567">
      <w:bodyDiv w:val="1"/>
      <w:marLeft w:val="0"/>
      <w:marRight w:val="0"/>
      <w:marTop w:val="0"/>
      <w:marBottom w:val="0"/>
      <w:divBdr>
        <w:top w:val="none" w:sz="0" w:space="0" w:color="auto"/>
        <w:left w:val="none" w:sz="0" w:space="0" w:color="auto"/>
        <w:bottom w:val="none" w:sz="0" w:space="0" w:color="auto"/>
        <w:right w:val="none" w:sz="0" w:space="0" w:color="auto"/>
      </w:divBdr>
    </w:div>
    <w:div w:id="1308053802">
      <w:bodyDiv w:val="1"/>
      <w:marLeft w:val="0"/>
      <w:marRight w:val="0"/>
      <w:marTop w:val="0"/>
      <w:marBottom w:val="0"/>
      <w:divBdr>
        <w:top w:val="none" w:sz="0" w:space="0" w:color="auto"/>
        <w:left w:val="none" w:sz="0" w:space="0" w:color="auto"/>
        <w:bottom w:val="none" w:sz="0" w:space="0" w:color="auto"/>
        <w:right w:val="none" w:sz="0" w:space="0" w:color="auto"/>
      </w:divBdr>
    </w:div>
    <w:div w:id="1702975360">
      <w:bodyDiv w:val="1"/>
      <w:marLeft w:val="0"/>
      <w:marRight w:val="0"/>
      <w:marTop w:val="0"/>
      <w:marBottom w:val="0"/>
      <w:divBdr>
        <w:top w:val="none" w:sz="0" w:space="0" w:color="auto"/>
        <w:left w:val="none" w:sz="0" w:space="0" w:color="auto"/>
        <w:bottom w:val="none" w:sz="0" w:space="0" w:color="auto"/>
        <w:right w:val="none" w:sz="0" w:space="0" w:color="auto"/>
      </w:divBdr>
    </w:div>
    <w:div w:id="1771899658">
      <w:bodyDiv w:val="1"/>
      <w:marLeft w:val="0"/>
      <w:marRight w:val="0"/>
      <w:marTop w:val="0"/>
      <w:marBottom w:val="0"/>
      <w:divBdr>
        <w:top w:val="none" w:sz="0" w:space="0" w:color="auto"/>
        <w:left w:val="none" w:sz="0" w:space="0" w:color="auto"/>
        <w:bottom w:val="none" w:sz="0" w:space="0" w:color="auto"/>
        <w:right w:val="none" w:sz="0" w:space="0" w:color="auto"/>
      </w:divBdr>
    </w:div>
    <w:div w:id="1901088022">
      <w:bodyDiv w:val="1"/>
      <w:marLeft w:val="0"/>
      <w:marRight w:val="0"/>
      <w:marTop w:val="0"/>
      <w:marBottom w:val="0"/>
      <w:divBdr>
        <w:top w:val="none" w:sz="0" w:space="0" w:color="auto"/>
        <w:left w:val="none" w:sz="0" w:space="0" w:color="auto"/>
        <w:bottom w:val="none" w:sz="0" w:space="0" w:color="auto"/>
        <w:right w:val="none" w:sz="0" w:space="0" w:color="auto"/>
      </w:divBdr>
    </w:div>
    <w:div w:id="1918519601">
      <w:bodyDiv w:val="1"/>
      <w:marLeft w:val="0"/>
      <w:marRight w:val="0"/>
      <w:marTop w:val="0"/>
      <w:marBottom w:val="0"/>
      <w:divBdr>
        <w:top w:val="none" w:sz="0" w:space="0" w:color="auto"/>
        <w:left w:val="none" w:sz="0" w:space="0" w:color="auto"/>
        <w:bottom w:val="none" w:sz="0" w:space="0" w:color="auto"/>
        <w:right w:val="none" w:sz="0" w:space="0" w:color="auto"/>
      </w:divBdr>
    </w:div>
    <w:div w:id="210633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9637214211013775" TargetMode="External"/><Relationship Id="rId117" Type="http://schemas.openxmlformats.org/officeDocument/2006/relationships/image" Target="media/image7.png"/><Relationship Id="rId21" Type="http://schemas.openxmlformats.org/officeDocument/2006/relationships/diagramData" Target="diagrams/data1.xml"/><Relationship Id="rId42" Type="http://schemas.openxmlformats.org/officeDocument/2006/relationships/header" Target="header9.xml"/><Relationship Id="rId47" Type="http://schemas.openxmlformats.org/officeDocument/2006/relationships/hyperlink" Target="http://doi.apa.org/getdoi.cfm?doi=10.1037/rev0000209" TargetMode="External"/><Relationship Id="rId63" Type="http://schemas.openxmlformats.org/officeDocument/2006/relationships/hyperlink" Target="https://www.proquest.com/docview/2451091754?accountid=12372&amp;bdid=10814&amp;_bd=HM2vQb5ZILDEcqrevFNEIgYxrbk%3D" TargetMode="External"/><Relationship Id="rId68" Type="http://schemas.openxmlformats.org/officeDocument/2006/relationships/hyperlink" Target="https://www.proquest.com/docview/2413905292?accountid=12372&amp;bdid=10814&amp;_bd=8a20935iBtKzFmpQ7v1cIwJGGj0%3D" TargetMode="External"/><Relationship Id="rId84" Type="http://schemas.openxmlformats.org/officeDocument/2006/relationships/hyperlink" Target="https://www.proquest.com/docview/2550243213?accountid=12372&amp;bdid=10814&amp;_bd=31uoL%2F9moHX%2BfrT6T11UDPONxGo%3D" TargetMode="External"/><Relationship Id="rId89" Type="http://schemas.openxmlformats.org/officeDocument/2006/relationships/hyperlink" Target="http://dx.doi.org/10.1080/13668803.2018.1487828" TargetMode="External"/><Relationship Id="rId112" Type="http://schemas.openxmlformats.org/officeDocument/2006/relationships/hyperlink" Target="https://www.legislation.vic.gov.au/in-force/acts/crimes-act-1958/294" TargetMode="External"/><Relationship Id="rId133" Type="http://schemas.openxmlformats.org/officeDocument/2006/relationships/header" Target="header21.xml"/><Relationship Id="rId138" Type="http://schemas.openxmlformats.org/officeDocument/2006/relationships/hyperlink" Target="https://www.linkedin.com/in/melanie-mcgrath-3a9aa5117/?originalSubdomain=au" TargetMode="External"/><Relationship Id="rId16" Type="http://schemas.openxmlformats.org/officeDocument/2006/relationships/header" Target="header2.xml"/><Relationship Id="rId107" Type="http://schemas.openxmlformats.org/officeDocument/2006/relationships/diagramLayout" Target="diagrams/layout2.xml"/><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doi.org/10.5465/257057" TargetMode="External"/><Relationship Id="rId53" Type="http://schemas.openxmlformats.org/officeDocument/2006/relationships/hyperlink" Target="https://stats.oecd.org/index.aspx?queryid=54757" TargetMode="External"/><Relationship Id="rId58" Type="http://schemas.openxmlformats.org/officeDocument/2006/relationships/hyperlink" Target="http://dx.doi.org/10.1111/gwao.12240" TargetMode="External"/><Relationship Id="rId74" Type="http://schemas.openxmlformats.org/officeDocument/2006/relationships/hyperlink" Target="https://www.proquest.com/docview/1967711071?accountid=12372&amp;bdid=10814&amp;_bd=MRGSFRlG8ACWi9MGZsFVLFNKKuo%3D" TargetMode="External"/><Relationship Id="rId79" Type="http://schemas.openxmlformats.org/officeDocument/2006/relationships/hyperlink" Target="https://www.proquest.com/docview/2533981406?accountid=12372&amp;bdid=10814&amp;_bd=PghKRqJDuq%2F6RUW2uAVSycnEOro%3D" TargetMode="External"/><Relationship Id="rId102" Type="http://schemas.openxmlformats.org/officeDocument/2006/relationships/header" Target="header11.xml"/><Relationship Id="rId123" Type="http://schemas.openxmlformats.org/officeDocument/2006/relationships/header" Target="header17.xml"/><Relationship Id="rId128" Type="http://schemas.openxmlformats.org/officeDocument/2006/relationships/hyperlink" Target="https://www.unimelb.edu.au/pathways-to-politics" TargetMode="External"/><Relationship Id="rId144" Type="http://schemas.openxmlformats.org/officeDocument/2006/relationships/header" Target="header22.xml"/><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proquest.com/docview/578106480?accountid=12372&amp;bdid=10814&amp;_bd=E7RGoGs4w4RZ8KNlCHGszDle%2FYI%3D&#160;" TargetMode="External"/><Relationship Id="rId95" Type="http://schemas.openxmlformats.org/officeDocument/2006/relationships/hyperlink" Target="https://www.proquest.com/docview/2540518821?accountid=12372&amp;bdid=10814&amp;_bd=lnYIPmYjyngauzUSx1qcHXwx%2BU0%3D" TargetMode="External"/><Relationship Id="rId22" Type="http://schemas.openxmlformats.org/officeDocument/2006/relationships/diagramLayout" Target="diagrams/layout1.xml"/><Relationship Id="rId27" Type="http://schemas.openxmlformats.org/officeDocument/2006/relationships/header" Target="header4.xml"/><Relationship Id="rId43" Type="http://schemas.openxmlformats.org/officeDocument/2006/relationships/image" Target="media/image5.png"/><Relationship Id="rId48" Type="http://schemas.openxmlformats.org/officeDocument/2006/relationships/hyperlink" Target="http://www.jstor.org/stable/10.7758/9781610441384" TargetMode="External"/><Relationship Id="rId64" Type="http://schemas.openxmlformats.org/officeDocument/2006/relationships/hyperlink" Target="https://www.proquest.com/docview/1022965792?accountid=12372&amp;bdid=10814&amp;_bd=%2FnqbOiwCDvDXwdWgLyTmpoB6CbY%3D" TargetMode="External"/><Relationship Id="rId69" Type="http://schemas.openxmlformats.org/officeDocument/2006/relationships/hyperlink" Target="https://www.proquest.com/docview/2210376921?accountid=12372&amp;bdid=10814&amp;_bd=m%2FgllmdxEKLIhZxBsrKMtSmvbnc%3D" TargetMode="External"/><Relationship Id="rId113" Type="http://schemas.openxmlformats.org/officeDocument/2006/relationships/header" Target="header13.xml"/><Relationship Id="rId118" Type="http://schemas.openxmlformats.org/officeDocument/2006/relationships/hyperlink" Target="https://www.kcl.ac.uk/giwl/assets/bridging-the-gap-full-report.pdf" TargetMode="External"/><Relationship Id="rId134" Type="http://schemas.openxmlformats.org/officeDocument/2006/relationships/hyperlink" Target="https://findanexpert.unimelb.edu.au/profile/219639-victor-sojo-monzon" TargetMode="External"/><Relationship Id="rId139" Type="http://schemas.openxmlformats.org/officeDocument/2006/relationships/hyperlink" Target="https://giwl.anu.edu.au/people/dr-miriam-glennie" TargetMode="External"/><Relationship Id="rId80" Type="http://schemas.openxmlformats.org/officeDocument/2006/relationships/hyperlink" Target="https://www.proquest.com/docview/222714636?accountid=12372&amp;bdid=10814&amp;_bd=jySHbXMccDmcvYJJQV0D9fKW1qc%3D" TargetMode="External"/><Relationship Id="rId85" Type="http://schemas.openxmlformats.org/officeDocument/2006/relationships/hyperlink" Target="https://www.proquest.com/docview/2118139795?accountid=12372&amp;bdid=10814&amp;_bd=ITU2lwLJsDNW8qFHroE8gd3530o%3D" TargetMode="External"/><Relationship Id="rId15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microsoft.com/office/2007/relationships/diagramDrawing" Target="diagrams/drawing1.xml"/><Relationship Id="rId33" Type="http://schemas.openxmlformats.org/officeDocument/2006/relationships/hyperlink" Target="https://doi.org/https://doi.org/10.1016/j.hrmr.2021.100832" TargetMode="External"/><Relationship Id="rId38" Type="http://schemas.openxmlformats.org/officeDocument/2006/relationships/hyperlink" Target="https://www.vic.gov.au/recruit-smarter" TargetMode="External"/><Relationship Id="rId46" Type="http://schemas.openxmlformats.org/officeDocument/2006/relationships/hyperlink" Target="https://vpsc.vic.gov.au/resources/flexible-work-policy-and-resources/" TargetMode="External"/><Relationship Id="rId59" Type="http://schemas.openxmlformats.org/officeDocument/2006/relationships/hyperlink" Target="http://dx.doi.org/10.1177/09500170122118940" TargetMode="External"/><Relationship Id="rId67" Type="http://schemas.openxmlformats.org/officeDocument/2006/relationships/hyperlink" Target="https://www.proquest.com/docview/1514766135?accountid=12372&amp;bdid=10814&amp;_bd=9H54ozsL6zGoYYV5z3o1TLa7k9g%3D" TargetMode="External"/><Relationship Id="rId103" Type="http://schemas.openxmlformats.org/officeDocument/2006/relationships/footer" Target="footer7.xml"/><Relationship Id="rId108" Type="http://schemas.openxmlformats.org/officeDocument/2006/relationships/diagramQuickStyle" Target="diagrams/quickStyle2.xml"/><Relationship Id="rId116" Type="http://schemas.openxmlformats.org/officeDocument/2006/relationships/header" Target="header15.xml"/><Relationship Id="rId124" Type="http://schemas.openxmlformats.org/officeDocument/2006/relationships/footer" Target="footer9.xml"/><Relationship Id="rId129" Type="http://schemas.openxmlformats.org/officeDocument/2006/relationships/header" Target="header19.xml"/><Relationship Id="rId137" Type="http://schemas.openxmlformats.org/officeDocument/2006/relationships/hyperlink" Target="https://www.swinburne.edu.au/research/our-research/access-our-research/find-a-researcher-or-supervisor/researcher-profile/?id=mwheeler" TargetMode="External"/><Relationship Id="rId20" Type="http://schemas.openxmlformats.org/officeDocument/2006/relationships/footer" Target="footer3.xml"/><Relationship Id="rId41" Type="http://schemas.openxmlformats.org/officeDocument/2006/relationships/footer" Target="footer6.xml"/><Relationship Id="rId54" Type="http://schemas.openxmlformats.org/officeDocument/2006/relationships/hyperlink" Target="https://doi.org/10.1177%2F0018726717733313" TargetMode="External"/><Relationship Id="rId62" Type="http://schemas.openxmlformats.org/officeDocument/2006/relationships/hyperlink" Target="https://www.proquest.com/docview/219764717?accountid=12372&amp;bdid=10814&amp;_bd=%2BnuLtvzHErAgXr3czW%2BwI7eHr98%3D" TargetMode="External"/><Relationship Id="rId70" Type="http://schemas.openxmlformats.org/officeDocument/2006/relationships/hyperlink" Target="http://dx.doi.org/10.1080/1366880022000041801" TargetMode="External"/><Relationship Id="rId75" Type="http://schemas.openxmlformats.org/officeDocument/2006/relationships/hyperlink" Target="https://www.proquest.com/docview/2343561068?accountid=12372&amp;bdid=10814&amp;_bd=sWcDtgIS3C%2FDHVTyydecNtHBVrs%3D" TargetMode="External"/><Relationship Id="rId83" Type="http://schemas.openxmlformats.org/officeDocument/2006/relationships/hyperlink" Target="http://dx.doi.org/10.1057/jphp.2010.24" TargetMode="External"/><Relationship Id="rId88" Type="http://schemas.openxmlformats.org/officeDocument/2006/relationships/hyperlink" Target="https://www.proquest.com/docview/2164144596?accountid=12372&amp;bdid=10814&amp;_bd=KBB3Odq6JVeb%2FTaawiPdgIXJ1E8%3D" TargetMode="External"/><Relationship Id="rId91" Type="http://schemas.openxmlformats.org/officeDocument/2006/relationships/hyperlink" Target="https://atrium.lib.uoguelph.ca/xmlui/handle/10214/23073" TargetMode="External"/><Relationship Id="rId96" Type="http://schemas.openxmlformats.org/officeDocument/2006/relationships/hyperlink" Target="https://www.proquest.com/docview/2523961389?accountid=12372&amp;bdid=10814&amp;_bd=b82okCKNFI9%2Fd5%2BuS2OsqSS7Zqg%3D" TargetMode="External"/><Relationship Id="rId111" Type="http://schemas.openxmlformats.org/officeDocument/2006/relationships/hyperlink" Target="http://www.jstor.org/stable/10.7758/9781610441384" TargetMode="External"/><Relationship Id="rId132" Type="http://schemas.openxmlformats.org/officeDocument/2006/relationships/footer" Target="footer11.xml"/><Relationship Id="rId140" Type="http://schemas.openxmlformats.org/officeDocument/2006/relationships/hyperlink" Target="https://findanexpert.unimelb.edu.au/profile/354660-victoria-roberts" TargetMode="External"/><Relationship Id="rId14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diagramQuickStyle" Target="diagrams/quickStyle1.xml"/><Relationship Id="rId28" Type="http://schemas.openxmlformats.org/officeDocument/2006/relationships/header" Target="header5.xml"/><Relationship Id="rId36" Type="http://schemas.openxmlformats.org/officeDocument/2006/relationships/hyperlink" Target="http://hdl.handle.net/11343/225853" TargetMode="External"/><Relationship Id="rId49" Type="http://schemas.openxmlformats.org/officeDocument/2006/relationships/hyperlink" Target="https://doi.org/10.1111/jftr.12363" TargetMode="External"/><Relationship Id="rId57" Type="http://schemas.openxmlformats.org/officeDocument/2006/relationships/hyperlink" Target="https://www.proquest.com/docview/229866211?accountid=12372&amp;bdid=10814&amp;_bd=i7NnNJ9S%2BXuMJQ5h6dlCiZQ4FwI%3D" TargetMode="External"/><Relationship Id="rId106" Type="http://schemas.openxmlformats.org/officeDocument/2006/relationships/diagramData" Target="diagrams/data2.xml"/><Relationship Id="rId114" Type="http://schemas.openxmlformats.org/officeDocument/2006/relationships/header" Target="header14.xml"/><Relationship Id="rId119" Type="http://schemas.openxmlformats.org/officeDocument/2006/relationships/hyperlink" Target="https://giwl.anu.edu.au/sites/default/files/docs/2021/10/Gender%20pay%20gap%20reporting%20in%20Australia%20-%20time%20for%20an%20upgrade.pdf" TargetMode="External"/><Relationship Id="rId127" Type="http://schemas.openxmlformats.org/officeDocument/2006/relationships/hyperlink" Target="https://djpr.vic.gov.au/__data/assets/pdf_file/0007/1925305/Women-in-STEM-Map.pdf"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yperlink" Target="https://www.wgea.gov.au/flexible-work" TargetMode="External"/><Relationship Id="rId52" Type="http://schemas.openxmlformats.org/officeDocument/2006/relationships/hyperlink" Target="https://doi.org/10.1371/journal.pmed.1000097&#160;" TargetMode="External"/><Relationship Id="rId60" Type="http://schemas.openxmlformats.org/officeDocument/2006/relationships/hyperlink" Target="http://dx.doi.org/10.1177/0038026118809002" TargetMode="External"/><Relationship Id="rId65" Type="http://schemas.openxmlformats.org/officeDocument/2006/relationships/hyperlink" Target="https://www.proquest.com/docview/2331603492?accountid=12372&amp;bdid=10814&amp;_bd=xgWL7A5bnf8FW71DQBkX0S%2FxLa8%3D" TargetMode="External"/><Relationship Id="rId73" Type="http://schemas.openxmlformats.org/officeDocument/2006/relationships/hyperlink" Target="http://dx.doi.org/10.1080/13668803.2018.1527756" TargetMode="External"/><Relationship Id="rId78" Type="http://schemas.openxmlformats.org/officeDocument/2006/relationships/hyperlink" Target="http://dx.doi.org/10.1080/13668803.2018.1428174" TargetMode="External"/><Relationship Id="rId81" Type="http://schemas.openxmlformats.org/officeDocument/2006/relationships/hyperlink" Target="https://www.proquest.com/docview/2422941759?accountid=12372&amp;bdid=10814&amp;_bd=3xrqK58Cjr2SkJaFKuyOAauAldc%3D" TargetMode="External"/><Relationship Id="rId86" Type="http://schemas.openxmlformats.org/officeDocument/2006/relationships/hyperlink" Target="http://dx.doi.org/10.3149/fth.0803.300" TargetMode="External"/><Relationship Id="rId94" Type="http://schemas.openxmlformats.org/officeDocument/2006/relationships/hyperlink" Target="http://dx.doi.org/10.1080/13668803.2019.1608157" TargetMode="External"/><Relationship Id="rId99" Type="http://schemas.openxmlformats.org/officeDocument/2006/relationships/hyperlink" Target="https://www.proquest.com/docview/220175734?accountid=12372&amp;bdid=10814&amp;_bd=DavAfBPozyDKnUlRYsBrdyKDL%2BM%3D" TargetMode="External"/><Relationship Id="rId101" Type="http://schemas.openxmlformats.org/officeDocument/2006/relationships/header" Target="header10.xml"/><Relationship Id="rId122" Type="http://schemas.openxmlformats.org/officeDocument/2006/relationships/header" Target="header16.xml"/><Relationship Id="rId130" Type="http://schemas.openxmlformats.org/officeDocument/2006/relationships/header" Target="header20.xml"/><Relationship Id="rId135" Type="http://schemas.openxmlformats.org/officeDocument/2006/relationships/hyperlink" Target="https://giwl.anu.edu.au/people/professor-michelle-ryan" TargetMode="External"/><Relationship Id="rId143" Type="http://schemas.openxmlformats.org/officeDocument/2006/relationships/hyperlink" Target="https://psychology.anu.edu.au/people/students/kate-western-0"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eader" Target="header7.xml"/><Relationship Id="rId109" Type="http://schemas.openxmlformats.org/officeDocument/2006/relationships/diagramColors" Target="diagrams/colors2.xml"/><Relationship Id="rId34" Type="http://schemas.openxmlformats.org/officeDocument/2006/relationships/hyperlink" Target="http://www.jstor.org/stable/10.7758/9781610441384" TargetMode="External"/><Relationship Id="rId50" Type="http://schemas.openxmlformats.org/officeDocument/2006/relationships/hyperlink" Target="https://doi.org/10.1080/09585190601167441" TargetMode="External"/><Relationship Id="rId55" Type="http://schemas.openxmlformats.org/officeDocument/2006/relationships/hyperlink" Target="https://doi.org/10.1111/josi.12012" TargetMode="External"/><Relationship Id="rId76" Type="http://schemas.openxmlformats.org/officeDocument/2006/relationships/hyperlink" Target="https://www.proquest.com/docview/2529608689?accountid=12372&amp;bdid=10814&amp;_bd=gYXmKd94BwSySB2WlXkzeUOe4cA%3D" TargetMode="External"/><Relationship Id="rId97" Type="http://schemas.openxmlformats.org/officeDocument/2006/relationships/hyperlink" Target="https://www.proquest.com/docview/2550245776?accountid=12372&amp;bdid=10814&amp;_bd=LNloKTHa0FXCIhVAv4k9D%2Fu1VTI%3D" TargetMode="External"/><Relationship Id="rId104" Type="http://schemas.openxmlformats.org/officeDocument/2006/relationships/header" Target="header12.xml"/><Relationship Id="rId120" Type="http://schemas.openxmlformats.org/officeDocument/2006/relationships/hyperlink" Target="https://www.wgea.gov.au/publications/australias-gender-equality-scorecard" TargetMode="External"/><Relationship Id="rId125" Type="http://schemas.openxmlformats.org/officeDocument/2006/relationships/header" Target="header18.xml"/><Relationship Id="rId141" Type="http://schemas.openxmlformats.org/officeDocument/2006/relationships/hyperlink" Target="https://www.linkedin.com/in/lindsiecatherine/?originalSubdomain=au" TargetMode="External"/><Relationship Id="rId14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yperlink" Target="http://dx.doi.org/10.1080/13668803.2018.1495616" TargetMode="External"/><Relationship Id="rId92" Type="http://schemas.openxmlformats.org/officeDocument/2006/relationships/hyperlink" Target="https://www.proquest.com/docview/2565791754?accountid=12372&amp;bdid=10814&amp;_bd=gTRB7kYRreN3F%2Boq%2FN4oFFGgdaw%3D"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diagramColors" Target="diagrams/colors1.xml"/><Relationship Id="rId40" Type="http://schemas.openxmlformats.org/officeDocument/2006/relationships/header" Target="header8.xml"/><Relationship Id="rId45" Type="http://schemas.openxmlformats.org/officeDocument/2006/relationships/hyperlink" Target="https://workfamilyhealthnetwork.org/" TargetMode="External"/><Relationship Id="rId66" Type="http://schemas.openxmlformats.org/officeDocument/2006/relationships/hyperlink" Target="http://dx.doi.org/10.1007/s11199-012-0142-6" TargetMode="External"/><Relationship Id="rId87" Type="http://schemas.openxmlformats.org/officeDocument/2006/relationships/hyperlink" Target="http://dx.doi.org/10.3389/fpsyg.2017.01508" TargetMode="External"/><Relationship Id="rId110" Type="http://schemas.microsoft.com/office/2007/relationships/diagramDrawing" Target="diagrams/drawing2.xml"/><Relationship Id="rId115" Type="http://schemas.openxmlformats.org/officeDocument/2006/relationships/footer" Target="footer8.xml"/><Relationship Id="rId131" Type="http://schemas.openxmlformats.org/officeDocument/2006/relationships/footer" Target="footer10.xml"/><Relationship Id="rId136" Type="http://schemas.openxmlformats.org/officeDocument/2006/relationships/hyperlink" Target="https://findanexpert.unimelb.edu.au/profile/126041-cordelia-fine" TargetMode="External"/><Relationship Id="rId61" Type="http://schemas.openxmlformats.org/officeDocument/2006/relationships/hyperlink" Target="https://www.proquest.com/docview/2503244189?accountid=12372&amp;bdid=10814&amp;_bd=pzYT80tmxJ3hXC1Y8s7RW%2BTYzLk%3D" TargetMode="External"/><Relationship Id="rId82" Type="http://schemas.openxmlformats.org/officeDocument/2006/relationships/hyperlink" Target="http://dx.doi.org/10.3149/fth.1003.337" TargetMode="External"/><Relationship Id="rId19" Type="http://schemas.openxmlformats.org/officeDocument/2006/relationships/header" Target="header3.xml"/><Relationship Id="rId14" Type="http://schemas.openxmlformats.org/officeDocument/2006/relationships/hyperlink" Target="https://www.legislation.vic.gov.au/as-made/acts/gender-equality-act-2020" TargetMode="External"/><Relationship Id="rId30" Type="http://schemas.openxmlformats.org/officeDocument/2006/relationships/header" Target="header6.xml"/><Relationship Id="rId35" Type="http://schemas.openxmlformats.org/officeDocument/2006/relationships/hyperlink" Target="https://doi.org/10.1177/09637214211013775" TargetMode="External"/><Relationship Id="rId56" Type="http://schemas.openxmlformats.org/officeDocument/2006/relationships/hyperlink" Target="http://dx.doi.org/10.1007/s11199-020-01165-7" TargetMode="External"/><Relationship Id="rId77" Type="http://schemas.openxmlformats.org/officeDocument/2006/relationships/hyperlink" Target="http://dx.doi.org/10.1080/13668803.2017.1346586" TargetMode="External"/><Relationship Id="rId100" Type="http://schemas.openxmlformats.org/officeDocument/2006/relationships/hyperlink" Target="http://dx.doi.org/10.1080/13668800701575002" TargetMode="External"/><Relationship Id="rId105" Type="http://schemas.openxmlformats.org/officeDocument/2006/relationships/image" Target="media/image6.png"/><Relationship Id="rId126" Type="http://schemas.openxmlformats.org/officeDocument/2006/relationships/image" Target="media/image8.png"/><Relationship Id="rId147"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hyperlink" Target="https://doi.org/10.1177/0002716209334435" TargetMode="External"/><Relationship Id="rId72" Type="http://schemas.openxmlformats.org/officeDocument/2006/relationships/hyperlink" Target="http://dx.doi.org/10.1080/13668803.2011.571398" TargetMode="External"/><Relationship Id="rId93" Type="http://schemas.openxmlformats.org/officeDocument/2006/relationships/hyperlink" Target="https://www.proquest.com/docview/1910837511?accountid=12372&amp;bdid=10814&amp;_bd=O1Z1XvL4wmzdYVD9T7%2FQwdFLpRo%3D" TargetMode="External"/><Relationship Id="rId98" Type="http://schemas.openxmlformats.org/officeDocument/2006/relationships/hyperlink" Target="https://www.proquest.com/docview/2112444716?accountid=12372&amp;bdid=10814&amp;_bd=cx7lH0FadRNmlGMMiwcX9BDT8p8%3D" TargetMode="External"/><Relationship Id="rId121" Type="http://schemas.openxmlformats.org/officeDocument/2006/relationships/hyperlink" Target="https://home.kpmg/content/dam/kpmg/au/pdf/2019/gender-pay-gap-economics-full-report-2019.pdf" TargetMode="External"/><Relationship Id="rId142" Type="http://schemas.openxmlformats.org/officeDocument/2006/relationships/hyperlink" Target="https://www.linkedin.com/in/rachaelhadoux/?originalSubdomain=au"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9854FF-F576-43D4-B51C-2F67E375F338}" type="doc">
      <dgm:prSet loTypeId="urn:microsoft.com/office/officeart/2005/8/layout/orgChart1" loCatId="hierarchy" qsTypeId="urn:microsoft.com/office/officeart/2005/8/quickstyle/simple1" qsCatId="simple" csTypeId="urn:microsoft.com/office/officeart/2005/8/colors/accent1_4" csCatId="accent1" phldr="1"/>
      <dgm:spPr/>
      <dgm:t>
        <a:bodyPr/>
        <a:lstStyle/>
        <a:p>
          <a:endParaRPr lang="en-AU"/>
        </a:p>
      </dgm:t>
    </dgm:pt>
    <dgm:pt modelId="{B9FF475B-0BC1-4C36-A56C-61627303030E}">
      <dgm:prSet phldrT="[Text]"/>
      <dgm:spPr/>
      <dgm:t>
        <a:bodyPr/>
        <a:lstStyle/>
        <a:p>
          <a:r>
            <a:rPr lang="en-AU"/>
            <a:t>Gender Pay Gap</a:t>
          </a:r>
        </a:p>
      </dgm:t>
      <dgm:extLst>
        <a:ext uri="{E40237B7-FDA0-4F09-8148-C483321AD2D9}">
          <dgm14:cNvPr xmlns:dgm14="http://schemas.microsoft.com/office/drawing/2010/diagram" id="0" name="" descr="Gender Pay Gap&#10; Individual gender factors&#10;  Average differences in values / preferences&#10; Non-organisational gender factors&#10;  Intrahousehold income inequality&#10;  Gendered educational choices&#10;  Inadequate child care provision&#10; Organisational gender factors&#10;  Gender bias in performance evaluation&#10;  Undervaluing of female dominated jobs&#10;  Disproportionate penality for career interruption&#10;"/>
        </a:ext>
      </dgm:extLst>
    </dgm:pt>
    <dgm:pt modelId="{F52B0A78-C515-45A8-A6FC-14EC9431C0B5}" type="parTrans" cxnId="{ECB3EB52-AD02-4D21-AE88-48066B25A2CE}">
      <dgm:prSet/>
      <dgm:spPr/>
      <dgm:t>
        <a:bodyPr/>
        <a:lstStyle/>
        <a:p>
          <a:endParaRPr lang="en-AU"/>
        </a:p>
      </dgm:t>
    </dgm:pt>
    <dgm:pt modelId="{2A910BA2-8815-4512-8754-CE8BBFEA13AF}" type="sibTrans" cxnId="{ECB3EB52-AD02-4D21-AE88-48066B25A2CE}">
      <dgm:prSet/>
      <dgm:spPr/>
      <dgm:t>
        <a:bodyPr/>
        <a:lstStyle/>
        <a:p>
          <a:endParaRPr lang="en-AU"/>
        </a:p>
      </dgm:t>
    </dgm:pt>
    <dgm:pt modelId="{66A697BD-A17C-4A30-91D4-1AD9F6401CB0}">
      <dgm:prSet phldrT="[Text]"/>
      <dgm:spPr/>
      <dgm:t>
        <a:bodyPr/>
        <a:lstStyle/>
        <a:p>
          <a:r>
            <a:rPr lang="en-AU"/>
            <a:t>Individual gender factors</a:t>
          </a:r>
        </a:p>
      </dgm:t>
      <dgm:extLst>
        <a:ext uri="{E40237B7-FDA0-4F09-8148-C483321AD2D9}">
          <dgm14:cNvPr xmlns:dgm14="http://schemas.microsoft.com/office/drawing/2010/diagram" id="0" name="" descr="Gender Pay Gap&#10; Individual gender factors&#10;  Average differences in values / preferences&#10; Non-organisational gender factors&#10;  Intrahousehold income inequality&#10;  Gendered educational choices&#10;  Inadequate child care provision&#10; Organisational gender factors&#10;  Gender bias in performance evaluation&#10;  Undervaluing of female dominated jobs&#10;  Disproportionate penality for career interruption&#10;"/>
        </a:ext>
      </dgm:extLst>
    </dgm:pt>
    <dgm:pt modelId="{519E05AA-255C-4365-B9CA-1B7531A85BB8}" type="parTrans" cxnId="{24A942CF-FC30-4241-9E72-8D783A43BF67}">
      <dgm:prSet/>
      <dgm:spPr/>
      <dgm:t>
        <a:bodyPr/>
        <a:lstStyle/>
        <a:p>
          <a:endParaRPr lang="en-AU"/>
        </a:p>
      </dgm:t>
    </dgm:pt>
    <dgm:pt modelId="{7260419D-8EF9-4A35-9AA9-3A86A079C8EF}" type="sibTrans" cxnId="{24A942CF-FC30-4241-9E72-8D783A43BF67}">
      <dgm:prSet/>
      <dgm:spPr/>
      <dgm:t>
        <a:bodyPr/>
        <a:lstStyle/>
        <a:p>
          <a:endParaRPr lang="en-AU"/>
        </a:p>
      </dgm:t>
    </dgm:pt>
    <dgm:pt modelId="{ED3286BC-B653-446D-A44B-3B76FAD71D3E}">
      <dgm:prSet phldrT="[Text]"/>
      <dgm:spPr/>
      <dgm:t>
        <a:bodyPr/>
        <a:lstStyle/>
        <a:p>
          <a:r>
            <a:rPr lang="en-AU"/>
            <a:t>Average differences in values / preferences</a:t>
          </a:r>
        </a:p>
      </dgm:t>
      <dgm:extLst>
        <a:ext uri="{E40237B7-FDA0-4F09-8148-C483321AD2D9}">
          <dgm14:cNvPr xmlns:dgm14="http://schemas.microsoft.com/office/drawing/2010/diagram" id="0" name="" descr="Gender Pay Gap&#10; Individual gender factors&#10;  Average differences in values / preferences&#10; Non-organisational gender factors&#10;  Intrahousehold income inequality&#10;  Gendered educational choices&#10;  Inadequate child care provision&#10; Organisational gender factors&#10;  Gender bias in performance evaluation&#10;  Undervaluing of female dominated jobs&#10;  Disproportionate penality for career interruption&#10;"/>
        </a:ext>
      </dgm:extLst>
    </dgm:pt>
    <dgm:pt modelId="{4C64E446-E072-4D3C-856C-50462FAC3EC9}" type="parTrans" cxnId="{9E8F0897-0933-4360-A157-7D55D345DC83}">
      <dgm:prSet/>
      <dgm:spPr/>
      <dgm:t>
        <a:bodyPr/>
        <a:lstStyle/>
        <a:p>
          <a:endParaRPr lang="en-AU"/>
        </a:p>
      </dgm:t>
    </dgm:pt>
    <dgm:pt modelId="{37822457-5D59-4FCF-A102-940884A18034}" type="sibTrans" cxnId="{9E8F0897-0933-4360-A157-7D55D345DC83}">
      <dgm:prSet/>
      <dgm:spPr/>
      <dgm:t>
        <a:bodyPr/>
        <a:lstStyle/>
        <a:p>
          <a:endParaRPr lang="en-AU"/>
        </a:p>
      </dgm:t>
    </dgm:pt>
    <dgm:pt modelId="{6A1C7856-BCF9-4232-A0F0-6246D28121F7}">
      <dgm:prSet phldrT="[Text]"/>
      <dgm:spPr/>
      <dgm:t>
        <a:bodyPr/>
        <a:lstStyle/>
        <a:p>
          <a:r>
            <a:rPr lang="en-AU"/>
            <a:t>Non-organisational gender factors</a:t>
          </a:r>
        </a:p>
      </dgm:t>
    </dgm:pt>
    <dgm:pt modelId="{9EBF86B8-71DE-4F8A-BBBB-4F20D6A6A09E}" type="parTrans" cxnId="{C092590D-4303-4D21-AA9E-9F1D5541FB9D}">
      <dgm:prSet/>
      <dgm:spPr/>
      <dgm:t>
        <a:bodyPr/>
        <a:lstStyle/>
        <a:p>
          <a:endParaRPr lang="en-AU"/>
        </a:p>
      </dgm:t>
    </dgm:pt>
    <dgm:pt modelId="{9346166C-106B-43B8-8EBD-F8EFC9353140}" type="sibTrans" cxnId="{C092590D-4303-4D21-AA9E-9F1D5541FB9D}">
      <dgm:prSet/>
      <dgm:spPr/>
      <dgm:t>
        <a:bodyPr/>
        <a:lstStyle/>
        <a:p>
          <a:endParaRPr lang="en-AU"/>
        </a:p>
      </dgm:t>
    </dgm:pt>
    <dgm:pt modelId="{236A7C4F-CE0E-4023-A9F3-EF06DF74ED7E}">
      <dgm:prSet phldrT="[Text]"/>
      <dgm:spPr/>
      <dgm:t>
        <a:bodyPr/>
        <a:lstStyle/>
        <a:p>
          <a:r>
            <a:rPr lang="en-AU"/>
            <a:t>Gender bias in performance evaluation</a:t>
          </a:r>
        </a:p>
      </dgm:t>
      <dgm:extLst>
        <a:ext uri="{E40237B7-FDA0-4F09-8148-C483321AD2D9}">
          <dgm14:cNvPr xmlns:dgm14="http://schemas.microsoft.com/office/drawing/2010/diagram" id="0" name="" descr="Gender Pay Gap&#10; Individual gender factors&#10;  Average differences in values / preferences&#10; Non-organisational gender factors&#10;  Intrahousehold income inequality&#10;  Gendered educational choices&#10;  Inadequate child care provision&#10; Organisational gender factors&#10;  Gender bias in performance evaluation&#10;  Undervaluing of female dominated jobs&#10;  Disproportionate penality for career interruption&#10;"/>
        </a:ext>
      </dgm:extLst>
    </dgm:pt>
    <dgm:pt modelId="{4D28741A-1952-4933-8033-AD2D71B1DC08}" type="parTrans" cxnId="{59B22E4D-464F-42EF-B729-EA09785C7272}">
      <dgm:prSet/>
      <dgm:spPr/>
      <dgm:t>
        <a:bodyPr/>
        <a:lstStyle/>
        <a:p>
          <a:endParaRPr lang="en-AU"/>
        </a:p>
      </dgm:t>
    </dgm:pt>
    <dgm:pt modelId="{3C53A10D-59BC-4507-9D78-9537B45D991C}" type="sibTrans" cxnId="{59B22E4D-464F-42EF-B729-EA09785C7272}">
      <dgm:prSet/>
      <dgm:spPr/>
      <dgm:t>
        <a:bodyPr/>
        <a:lstStyle/>
        <a:p>
          <a:endParaRPr lang="en-AU"/>
        </a:p>
      </dgm:t>
    </dgm:pt>
    <dgm:pt modelId="{3CB1AC34-FB58-4212-B460-D43DB0954909}">
      <dgm:prSet phldrT="[Text]"/>
      <dgm:spPr/>
      <dgm:t>
        <a:bodyPr/>
        <a:lstStyle/>
        <a:p>
          <a:r>
            <a:rPr lang="en-AU"/>
            <a:t>Organisational gender factors</a:t>
          </a:r>
        </a:p>
      </dgm:t>
      <dgm:extLst>
        <a:ext uri="{E40237B7-FDA0-4F09-8148-C483321AD2D9}">
          <dgm14:cNvPr xmlns:dgm14="http://schemas.microsoft.com/office/drawing/2010/diagram" id="0" name="" descr="Flow chart showing hierarchy of possible reasons for gender Gender Pay Gap, including three streams. This includes individual gender factors, under which is average differences in values / preferences. Non-organisational gender factors, which includes intrahousehold income inequality,  gendered educational choices, inadequate child care provision. Organisational gender factors, which includes gender bias in performance evaluation, undervaluing of female dominated jobs, disproportionate penalty for career interruption&#10;"/>
        </a:ext>
      </dgm:extLst>
    </dgm:pt>
    <dgm:pt modelId="{EF59E513-BEE1-4D93-965F-80214C8E7575}" type="parTrans" cxnId="{01D83F20-0B6C-4E02-A80C-F3A35FD67A1A}">
      <dgm:prSet/>
      <dgm:spPr/>
      <dgm:t>
        <a:bodyPr/>
        <a:lstStyle/>
        <a:p>
          <a:endParaRPr lang="en-AU"/>
        </a:p>
      </dgm:t>
    </dgm:pt>
    <dgm:pt modelId="{04868F48-A05B-488D-8E63-3EE599C018E5}" type="sibTrans" cxnId="{01D83F20-0B6C-4E02-A80C-F3A35FD67A1A}">
      <dgm:prSet/>
      <dgm:spPr/>
      <dgm:t>
        <a:bodyPr/>
        <a:lstStyle/>
        <a:p>
          <a:endParaRPr lang="en-AU"/>
        </a:p>
      </dgm:t>
    </dgm:pt>
    <dgm:pt modelId="{3B80BA34-0F83-4089-B8BC-4A3FCEEFBF9C}">
      <dgm:prSet phldrT="[Text]"/>
      <dgm:spPr/>
      <dgm:t>
        <a:bodyPr/>
        <a:lstStyle/>
        <a:p>
          <a:r>
            <a:rPr lang="en-AU"/>
            <a:t>Undervaluing of female dominated jobs</a:t>
          </a:r>
        </a:p>
      </dgm:t>
      <dgm:extLst>
        <a:ext uri="{E40237B7-FDA0-4F09-8148-C483321AD2D9}">
          <dgm14:cNvPr xmlns:dgm14="http://schemas.microsoft.com/office/drawing/2010/diagram" id="0" name="" descr="Gender Pay Gap&#10; Individual gender factors&#10;  Average differences in values / preferences&#10; Non-organisational gender factors&#10;  Intrahousehold income inequality&#10;  Gendered educational choices&#10;  Inadequate child care provision&#10; Organisational gender factors&#10;  Gender bias in performance evaluation&#10;  Undervaluing of female dominated jobs&#10;  Disproportionate penality for career interruption&#10;"/>
        </a:ext>
      </dgm:extLst>
    </dgm:pt>
    <dgm:pt modelId="{B108281D-0C9D-45C9-8771-5EEED999DBA9}" type="parTrans" cxnId="{8B3CBDFE-E389-474F-B6E6-1450DE92ABB0}">
      <dgm:prSet/>
      <dgm:spPr/>
      <dgm:t>
        <a:bodyPr/>
        <a:lstStyle/>
        <a:p>
          <a:endParaRPr lang="en-AU"/>
        </a:p>
      </dgm:t>
    </dgm:pt>
    <dgm:pt modelId="{AA93E289-3C99-469E-AE06-7F810A0E6171}" type="sibTrans" cxnId="{8B3CBDFE-E389-474F-B6E6-1450DE92ABB0}">
      <dgm:prSet/>
      <dgm:spPr/>
      <dgm:t>
        <a:bodyPr/>
        <a:lstStyle/>
        <a:p>
          <a:endParaRPr lang="en-AU"/>
        </a:p>
      </dgm:t>
    </dgm:pt>
    <dgm:pt modelId="{522D04CB-400C-46A6-8B0C-764C5EC4EABE}">
      <dgm:prSet phldrT="[Text]"/>
      <dgm:spPr/>
      <dgm:t>
        <a:bodyPr/>
        <a:lstStyle/>
        <a:p>
          <a:r>
            <a:rPr lang="en-AU"/>
            <a:t>Disproportionate penalty for career interruption</a:t>
          </a:r>
        </a:p>
      </dgm:t>
      <dgm:extLst>
        <a:ext uri="{E40237B7-FDA0-4F09-8148-C483321AD2D9}">
          <dgm14:cNvPr xmlns:dgm14="http://schemas.microsoft.com/office/drawing/2010/diagram" id="0" name="" descr="Gender Pay Gap&#10; Individual gender factors&#10;  Average differences in values / preferences&#10; Non-organisational gender factors&#10;  Intrahousehold income inequality&#10;  Gendered educational choices&#10;  Inadequate child care provision&#10; Organisational gender factors&#10;  Gender bias in performance evaluation&#10;  Undervaluing of female dominated jobs&#10;  Disproportionate penality for career interruption&#10;"/>
        </a:ext>
      </dgm:extLst>
    </dgm:pt>
    <dgm:pt modelId="{22A481B2-9C36-4333-8535-6DE7107CCC46}" type="parTrans" cxnId="{D7C869CD-B1C9-4E96-8EE2-8D1041340F87}">
      <dgm:prSet/>
      <dgm:spPr/>
      <dgm:t>
        <a:bodyPr/>
        <a:lstStyle/>
        <a:p>
          <a:endParaRPr lang="en-AU"/>
        </a:p>
      </dgm:t>
    </dgm:pt>
    <dgm:pt modelId="{519DD5B1-AE6E-48C2-957C-869D0F8E9089}" type="sibTrans" cxnId="{D7C869CD-B1C9-4E96-8EE2-8D1041340F87}">
      <dgm:prSet/>
      <dgm:spPr/>
      <dgm:t>
        <a:bodyPr/>
        <a:lstStyle/>
        <a:p>
          <a:endParaRPr lang="en-AU"/>
        </a:p>
      </dgm:t>
    </dgm:pt>
    <dgm:pt modelId="{26879CA4-815B-4EAC-BD8C-3159D707FE53}">
      <dgm:prSet phldrT="[Text]"/>
      <dgm:spPr/>
      <dgm:t>
        <a:bodyPr/>
        <a:lstStyle/>
        <a:p>
          <a:r>
            <a:rPr lang="en-AU"/>
            <a:t>Intrahousehold income inequality</a:t>
          </a:r>
        </a:p>
      </dgm:t>
      <dgm:extLst>
        <a:ext uri="{E40237B7-FDA0-4F09-8148-C483321AD2D9}">
          <dgm14:cNvPr xmlns:dgm14="http://schemas.microsoft.com/office/drawing/2010/diagram" id="0" name="" descr="Gender Pay Gap&#10; Individual gender factors&#10;  Average differences in values / preferences&#10; Non-organisational gender factors&#10;  Intrahousehold income inequality&#10;  Gendered educational choices&#10;  Inadequate child care provision&#10; Organisational gender factors&#10;  Gender bias in performance evaluation&#10;  Undervaluing of female dominated jobs&#10;  Disproportionate penality for career interruption&#10;"/>
        </a:ext>
      </dgm:extLst>
    </dgm:pt>
    <dgm:pt modelId="{2E5FBA7E-DEB3-408F-8AE9-8ADD52D9179E}" type="parTrans" cxnId="{6805AF2F-EB76-44DD-9EB3-C24AE146D8ED}">
      <dgm:prSet/>
      <dgm:spPr/>
      <dgm:t>
        <a:bodyPr/>
        <a:lstStyle/>
        <a:p>
          <a:endParaRPr lang="en-AU"/>
        </a:p>
      </dgm:t>
    </dgm:pt>
    <dgm:pt modelId="{B8064718-3940-427A-89B7-56CBC56A94BD}" type="sibTrans" cxnId="{6805AF2F-EB76-44DD-9EB3-C24AE146D8ED}">
      <dgm:prSet/>
      <dgm:spPr/>
      <dgm:t>
        <a:bodyPr/>
        <a:lstStyle/>
        <a:p>
          <a:endParaRPr lang="en-AU"/>
        </a:p>
      </dgm:t>
    </dgm:pt>
    <dgm:pt modelId="{DA99FAAE-E9F6-46F5-AD01-C065B950A607}">
      <dgm:prSet phldrT="[Text]"/>
      <dgm:spPr/>
      <dgm:t>
        <a:bodyPr/>
        <a:lstStyle/>
        <a:p>
          <a:r>
            <a:rPr lang="en-AU"/>
            <a:t>Gendered educational choices</a:t>
          </a:r>
        </a:p>
      </dgm:t>
      <dgm:extLst>
        <a:ext uri="{E40237B7-FDA0-4F09-8148-C483321AD2D9}">
          <dgm14:cNvPr xmlns:dgm14="http://schemas.microsoft.com/office/drawing/2010/diagram" id="0" name="" descr="Gender Pay Gap&#10; Individual gender factors&#10;  Average differences in values / preferences&#10; Non-organisational gender factors&#10;  Intrahousehold income inequality&#10;  Gendered educational choices&#10;  Inadequate child care provision&#10; Organisational gender factors&#10;  Gender bias in performance evaluation&#10;  Undervaluing of female dominated jobs&#10;  Disproportionate penality for career interruption&#10;"/>
        </a:ext>
      </dgm:extLst>
    </dgm:pt>
    <dgm:pt modelId="{AD2AA59F-63B8-4311-8E09-CA5B92A8C05A}" type="parTrans" cxnId="{1490F726-6114-4B63-87E9-3BCDF9BD5969}">
      <dgm:prSet/>
      <dgm:spPr/>
      <dgm:t>
        <a:bodyPr/>
        <a:lstStyle/>
        <a:p>
          <a:endParaRPr lang="en-AU"/>
        </a:p>
      </dgm:t>
    </dgm:pt>
    <dgm:pt modelId="{CE7068B0-D895-4299-88DB-8454921EDBF5}" type="sibTrans" cxnId="{1490F726-6114-4B63-87E9-3BCDF9BD5969}">
      <dgm:prSet/>
      <dgm:spPr/>
      <dgm:t>
        <a:bodyPr/>
        <a:lstStyle/>
        <a:p>
          <a:endParaRPr lang="en-AU"/>
        </a:p>
      </dgm:t>
    </dgm:pt>
    <dgm:pt modelId="{2E313AB8-EAAF-4B39-9003-3C8E1831D7E2}">
      <dgm:prSet phldrT="[Text]"/>
      <dgm:spPr/>
      <dgm:t>
        <a:bodyPr/>
        <a:lstStyle/>
        <a:p>
          <a:r>
            <a:rPr lang="en-AU"/>
            <a:t>Inadequate child care provision</a:t>
          </a:r>
        </a:p>
      </dgm:t>
      <dgm:extLst>
        <a:ext uri="{E40237B7-FDA0-4F09-8148-C483321AD2D9}">
          <dgm14:cNvPr xmlns:dgm14="http://schemas.microsoft.com/office/drawing/2010/diagram" id="0" name="" descr="Gender Pay Gap&#10; Individual gender factors&#10;  Average differences in values / preferences&#10; Non-organisational gender factors&#10;  Intrahousehold income inequality&#10;  Gendered educational choices&#10;  Inadequate child care provision&#10; Organisational gender factors&#10;  Gender bias in performance evaluation&#10;  Undervaluing of female dominated jobs&#10;  Disproportionate penality for career interruption&#10;"/>
        </a:ext>
      </dgm:extLst>
    </dgm:pt>
    <dgm:pt modelId="{B920FE65-EC6F-4257-8C61-024EB2FEF668}" type="parTrans" cxnId="{26BE2A1B-5B31-4B38-9993-B8D96C79E460}">
      <dgm:prSet/>
      <dgm:spPr/>
      <dgm:t>
        <a:bodyPr/>
        <a:lstStyle/>
        <a:p>
          <a:endParaRPr lang="en-AU"/>
        </a:p>
      </dgm:t>
    </dgm:pt>
    <dgm:pt modelId="{2044CFF5-E7B4-466A-B456-98FB0B8CC87F}" type="sibTrans" cxnId="{26BE2A1B-5B31-4B38-9993-B8D96C79E460}">
      <dgm:prSet/>
      <dgm:spPr/>
      <dgm:t>
        <a:bodyPr/>
        <a:lstStyle/>
        <a:p>
          <a:endParaRPr lang="en-AU"/>
        </a:p>
      </dgm:t>
    </dgm:pt>
    <dgm:pt modelId="{CA54C3C6-DB2A-4250-9542-7CD4C0A015CB}" type="pres">
      <dgm:prSet presAssocID="{1A9854FF-F576-43D4-B51C-2F67E375F338}" presName="hierChild1" presStyleCnt="0">
        <dgm:presLayoutVars>
          <dgm:orgChart val="1"/>
          <dgm:chPref val="1"/>
          <dgm:dir/>
          <dgm:animOne val="branch"/>
          <dgm:animLvl val="lvl"/>
          <dgm:resizeHandles/>
        </dgm:presLayoutVars>
      </dgm:prSet>
      <dgm:spPr/>
    </dgm:pt>
    <dgm:pt modelId="{86B634BC-1700-4233-9D45-333E56EA1695}" type="pres">
      <dgm:prSet presAssocID="{B9FF475B-0BC1-4C36-A56C-61627303030E}" presName="hierRoot1" presStyleCnt="0">
        <dgm:presLayoutVars>
          <dgm:hierBranch val="init"/>
        </dgm:presLayoutVars>
      </dgm:prSet>
      <dgm:spPr/>
    </dgm:pt>
    <dgm:pt modelId="{D1979EB0-5E27-46E8-AAE9-BE08633A93D5}" type="pres">
      <dgm:prSet presAssocID="{B9FF475B-0BC1-4C36-A56C-61627303030E}" presName="rootComposite1" presStyleCnt="0"/>
      <dgm:spPr/>
    </dgm:pt>
    <dgm:pt modelId="{8D1EB0C1-25CE-4FC1-BCD5-1A33CB967299}" type="pres">
      <dgm:prSet presAssocID="{B9FF475B-0BC1-4C36-A56C-61627303030E}" presName="rootText1" presStyleLbl="node0" presStyleIdx="0" presStyleCnt="1">
        <dgm:presLayoutVars>
          <dgm:chPref val="3"/>
        </dgm:presLayoutVars>
      </dgm:prSet>
      <dgm:spPr/>
    </dgm:pt>
    <dgm:pt modelId="{55EA17BC-F61B-4E35-963C-6157307129BA}" type="pres">
      <dgm:prSet presAssocID="{B9FF475B-0BC1-4C36-A56C-61627303030E}" presName="rootConnector1" presStyleLbl="node1" presStyleIdx="0" presStyleCnt="0"/>
      <dgm:spPr/>
    </dgm:pt>
    <dgm:pt modelId="{76BE52E0-BC23-46EB-82E6-9A050AC0FD7F}" type="pres">
      <dgm:prSet presAssocID="{B9FF475B-0BC1-4C36-A56C-61627303030E}" presName="hierChild2" presStyleCnt="0"/>
      <dgm:spPr/>
    </dgm:pt>
    <dgm:pt modelId="{8F6D6F8D-BD9C-4BC9-9F04-765DC6F08CFF}" type="pres">
      <dgm:prSet presAssocID="{519E05AA-255C-4365-B9CA-1B7531A85BB8}" presName="Name37" presStyleLbl="parChTrans1D2" presStyleIdx="0" presStyleCnt="3"/>
      <dgm:spPr/>
    </dgm:pt>
    <dgm:pt modelId="{820CBD23-742B-4D49-B2CD-63FB42EF217C}" type="pres">
      <dgm:prSet presAssocID="{66A697BD-A17C-4A30-91D4-1AD9F6401CB0}" presName="hierRoot2" presStyleCnt="0">
        <dgm:presLayoutVars>
          <dgm:hierBranch val="init"/>
        </dgm:presLayoutVars>
      </dgm:prSet>
      <dgm:spPr/>
    </dgm:pt>
    <dgm:pt modelId="{D89FA4DD-2B68-44B6-87F4-985B2782EB7F}" type="pres">
      <dgm:prSet presAssocID="{66A697BD-A17C-4A30-91D4-1AD9F6401CB0}" presName="rootComposite" presStyleCnt="0"/>
      <dgm:spPr/>
    </dgm:pt>
    <dgm:pt modelId="{793E4E17-64D0-4C7B-AD42-25F5CC7B1416}" type="pres">
      <dgm:prSet presAssocID="{66A697BD-A17C-4A30-91D4-1AD9F6401CB0}" presName="rootText" presStyleLbl="node2" presStyleIdx="0" presStyleCnt="3">
        <dgm:presLayoutVars>
          <dgm:chPref val="3"/>
        </dgm:presLayoutVars>
      </dgm:prSet>
      <dgm:spPr/>
    </dgm:pt>
    <dgm:pt modelId="{7F620165-E213-40F5-87D2-853EBC973275}" type="pres">
      <dgm:prSet presAssocID="{66A697BD-A17C-4A30-91D4-1AD9F6401CB0}" presName="rootConnector" presStyleLbl="node2" presStyleIdx="0" presStyleCnt="3"/>
      <dgm:spPr/>
    </dgm:pt>
    <dgm:pt modelId="{12C2E00F-89AE-4C7D-B93F-FA8A52470555}" type="pres">
      <dgm:prSet presAssocID="{66A697BD-A17C-4A30-91D4-1AD9F6401CB0}" presName="hierChild4" presStyleCnt="0"/>
      <dgm:spPr/>
    </dgm:pt>
    <dgm:pt modelId="{993062B8-69F9-493E-8B7F-6CD48B9EC087}" type="pres">
      <dgm:prSet presAssocID="{4C64E446-E072-4D3C-856C-50462FAC3EC9}" presName="Name37" presStyleLbl="parChTrans1D3" presStyleIdx="0" presStyleCnt="7"/>
      <dgm:spPr/>
    </dgm:pt>
    <dgm:pt modelId="{62C46927-983D-4F6D-AF18-83D64FD728FC}" type="pres">
      <dgm:prSet presAssocID="{ED3286BC-B653-446D-A44B-3B76FAD71D3E}" presName="hierRoot2" presStyleCnt="0">
        <dgm:presLayoutVars>
          <dgm:hierBranch val="init"/>
        </dgm:presLayoutVars>
      </dgm:prSet>
      <dgm:spPr/>
    </dgm:pt>
    <dgm:pt modelId="{1F073D9C-F7C0-4321-AC50-56960D66F1DD}" type="pres">
      <dgm:prSet presAssocID="{ED3286BC-B653-446D-A44B-3B76FAD71D3E}" presName="rootComposite" presStyleCnt="0"/>
      <dgm:spPr/>
    </dgm:pt>
    <dgm:pt modelId="{1AC7C032-2D1D-4A85-A815-9D81E919BC9D}" type="pres">
      <dgm:prSet presAssocID="{ED3286BC-B653-446D-A44B-3B76FAD71D3E}" presName="rootText" presStyleLbl="node3" presStyleIdx="0" presStyleCnt="7">
        <dgm:presLayoutVars>
          <dgm:chPref val="3"/>
        </dgm:presLayoutVars>
      </dgm:prSet>
      <dgm:spPr/>
    </dgm:pt>
    <dgm:pt modelId="{CAE033AE-0E2A-40D7-BD3C-48E7E249A6AF}" type="pres">
      <dgm:prSet presAssocID="{ED3286BC-B653-446D-A44B-3B76FAD71D3E}" presName="rootConnector" presStyleLbl="node3" presStyleIdx="0" presStyleCnt="7"/>
      <dgm:spPr/>
    </dgm:pt>
    <dgm:pt modelId="{42B860C6-A867-4BA2-A711-CF1BE6196058}" type="pres">
      <dgm:prSet presAssocID="{ED3286BC-B653-446D-A44B-3B76FAD71D3E}" presName="hierChild4" presStyleCnt="0"/>
      <dgm:spPr/>
    </dgm:pt>
    <dgm:pt modelId="{053D8C30-1414-484C-8F9D-A2B2DDBD1F8F}" type="pres">
      <dgm:prSet presAssocID="{ED3286BC-B653-446D-A44B-3B76FAD71D3E}" presName="hierChild5" presStyleCnt="0"/>
      <dgm:spPr/>
    </dgm:pt>
    <dgm:pt modelId="{6B1924F0-4E3A-45FA-BEA7-CC0C037737F0}" type="pres">
      <dgm:prSet presAssocID="{66A697BD-A17C-4A30-91D4-1AD9F6401CB0}" presName="hierChild5" presStyleCnt="0"/>
      <dgm:spPr/>
    </dgm:pt>
    <dgm:pt modelId="{3C17A603-97FF-4E76-9200-0CC02E3104C7}" type="pres">
      <dgm:prSet presAssocID="{9EBF86B8-71DE-4F8A-BBBB-4F20D6A6A09E}" presName="Name37" presStyleLbl="parChTrans1D2" presStyleIdx="1" presStyleCnt="3"/>
      <dgm:spPr/>
    </dgm:pt>
    <dgm:pt modelId="{6A32F518-BA15-415B-B515-408DD52098DB}" type="pres">
      <dgm:prSet presAssocID="{6A1C7856-BCF9-4232-A0F0-6246D28121F7}" presName="hierRoot2" presStyleCnt="0">
        <dgm:presLayoutVars>
          <dgm:hierBranch val="init"/>
        </dgm:presLayoutVars>
      </dgm:prSet>
      <dgm:spPr/>
    </dgm:pt>
    <dgm:pt modelId="{C45ED6B0-6B97-420E-99B0-74CF93566B71}" type="pres">
      <dgm:prSet presAssocID="{6A1C7856-BCF9-4232-A0F0-6246D28121F7}" presName="rootComposite" presStyleCnt="0"/>
      <dgm:spPr/>
    </dgm:pt>
    <dgm:pt modelId="{AC908437-B6C7-4B5A-95E5-530966B60C96}" type="pres">
      <dgm:prSet presAssocID="{6A1C7856-BCF9-4232-A0F0-6246D28121F7}" presName="rootText" presStyleLbl="node2" presStyleIdx="1" presStyleCnt="3">
        <dgm:presLayoutVars>
          <dgm:chPref val="3"/>
        </dgm:presLayoutVars>
      </dgm:prSet>
      <dgm:spPr/>
    </dgm:pt>
    <dgm:pt modelId="{55EE778A-8221-4E08-BA83-21FE9B73E882}" type="pres">
      <dgm:prSet presAssocID="{6A1C7856-BCF9-4232-A0F0-6246D28121F7}" presName="rootConnector" presStyleLbl="node2" presStyleIdx="1" presStyleCnt="3"/>
      <dgm:spPr/>
    </dgm:pt>
    <dgm:pt modelId="{C2D130EE-D841-4DEA-9194-7E1D43630441}" type="pres">
      <dgm:prSet presAssocID="{6A1C7856-BCF9-4232-A0F0-6246D28121F7}" presName="hierChild4" presStyleCnt="0"/>
      <dgm:spPr/>
    </dgm:pt>
    <dgm:pt modelId="{800B39AD-0DF0-4D47-9DB0-C0F70CB099D8}" type="pres">
      <dgm:prSet presAssocID="{2E5FBA7E-DEB3-408F-8AE9-8ADD52D9179E}" presName="Name37" presStyleLbl="parChTrans1D3" presStyleIdx="1" presStyleCnt="7"/>
      <dgm:spPr/>
    </dgm:pt>
    <dgm:pt modelId="{EB49AE17-2FB7-4425-B7FD-40C903C0BECC}" type="pres">
      <dgm:prSet presAssocID="{26879CA4-815B-4EAC-BD8C-3159D707FE53}" presName="hierRoot2" presStyleCnt="0">
        <dgm:presLayoutVars>
          <dgm:hierBranch val="init"/>
        </dgm:presLayoutVars>
      </dgm:prSet>
      <dgm:spPr/>
    </dgm:pt>
    <dgm:pt modelId="{AE5E46AB-F65C-4091-874C-EB206D8879A8}" type="pres">
      <dgm:prSet presAssocID="{26879CA4-815B-4EAC-BD8C-3159D707FE53}" presName="rootComposite" presStyleCnt="0"/>
      <dgm:spPr/>
    </dgm:pt>
    <dgm:pt modelId="{62424A62-80D1-40DB-AB81-E265AAEA534E}" type="pres">
      <dgm:prSet presAssocID="{26879CA4-815B-4EAC-BD8C-3159D707FE53}" presName="rootText" presStyleLbl="node3" presStyleIdx="1" presStyleCnt="7">
        <dgm:presLayoutVars>
          <dgm:chPref val="3"/>
        </dgm:presLayoutVars>
      </dgm:prSet>
      <dgm:spPr/>
    </dgm:pt>
    <dgm:pt modelId="{3787E8B4-19B2-4375-86C9-C309C8EA0731}" type="pres">
      <dgm:prSet presAssocID="{26879CA4-815B-4EAC-BD8C-3159D707FE53}" presName="rootConnector" presStyleLbl="node3" presStyleIdx="1" presStyleCnt="7"/>
      <dgm:spPr/>
    </dgm:pt>
    <dgm:pt modelId="{680477E1-BB5D-4F29-859F-7BF4646E378B}" type="pres">
      <dgm:prSet presAssocID="{26879CA4-815B-4EAC-BD8C-3159D707FE53}" presName="hierChild4" presStyleCnt="0"/>
      <dgm:spPr/>
    </dgm:pt>
    <dgm:pt modelId="{EC45F0FB-7125-47D3-AF24-3431D19EBA54}" type="pres">
      <dgm:prSet presAssocID="{26879CA4-815B-4EAC-BD8C-3159D707FE53}" presName="hierChild5" presStyleCnt="0"/>
      <dgm:spPr/>
    </dgm:pt>
    <dgm:pt modelId="{C629A2BC-4232-4D75-A265-F9F8D2937FE8}" type="pres">
      <dgm:prSet presAssocID="{AD2AA59F-63B8-4311-8E09-CA5B92A8C05A}" presName="Name37" presStyleLbl="parChTrans1D3" presStyleIdx="2" presStyleCnt="7"/>
      <dgm:spPr/>
    </dgm:pt>
    <dgm:pt modelId="{A0C9D70C-237B-420C-ACCC-4CFEAD61D32C}" type="pres">
      <dgm:prSet presAssocID="{DA99FAAE-E9F6-46F5-AD01-C065B950A607}" presName="hierRoot2" presStyleCnt="0">
        <dgm:presLayoutVars>
          <dgm:hierBranch val="init"/>
        </dgm:presLayoutVars>
      </dgm:prSet>
      <dgm:spPr/>
    </dgm:pt>
    <dgm:pt modelId="{11666465-5513-46D7-A0D7-16E6F842A29B}" type="pres">
      <dgm:prSet presAssocID="{DA99FAAE-E9F6-46F5-AD01-C065B950A607}" presName="rootComposite" presStyleCnt="0"/>
      <dgm:spPr/>
    </dgm:pt>
    <dgm:pt modelId="{27D1F82C-8B0E-4020-B867-14199B1E9C5D}" type="pres">
      <dgm:prSet presAssocID="{DA99FAAE-E9F6-46F5-AD01-C065B950A607}" presName="rootText" presStyleLbl="node3" presStyleIdx="2" presStyleCnt="7">
        <dgm:presLayoutVars>
          <dgm:chPref val="3"/>
        </dgm:presLayoutVars>
      </dgm:prSet>
      <dgm:spPr/>
    </dgm:pt>
    <dgm:pt modelId="{35395447-0DC3-4F0D-B410-976046EDE706}" type="pres">
      <dgm:prSet presAssocID="{DA99FAAE-E9F6-46F5-AD01-C065B950A607}" presName="rootConnector" presStyleLbl="node3" presStyleIdx="2" presStyleCnt="7"/>
      <dgm:spPr/>
    </dgm:pt>
    <dgm:pt modelId="{D582FA48-B170-4645-AEAD-E36529BC7D9F}" type="pres">
      <dgm:prSet presAssocID="{DA99FAAE-E9F6-46F5-AD01-C065B950A607}" presName="hierChild4" presStyleCnt="0"/>
      <dgm:spPr/>
    </dgm:pt>
    <dgm:pt modelId="{37CDB789-BFA2-4D9C-B5F4-A96FD535D7D8}" type="pres">
      <dgm:prSet presAssocID="{DA99FAAE-E9F6-46F5-AD01-C065B950A607}" presName="hierChild5" presStyleCnt="0"/>
      <dgm:spPr/>
    </dgm:pt>
    <dgm:pt modelId="{A61D066D-AB88-4913-B535-B19DE65251B9}" type="pres">
      <dgm:prSet presAssocID="{B920FE65-EC6F-4257-8C61-024EB2FEF668}" presName="Name37" presStyleLbl="parChTrans1D3" presStyleIdx="3" presStyleCnt="7"/>
      <dgm:spPr/>
    </dgm:pt>
    <dgm:pt modelId="{AC82DF39-46B8-4C66-89C9-A10CE8E686A2}" type="pres">
      <dgm:prSet presAssocID="{2E313AB8-EAAF-4B39-9003-3C8E1831D7E2}" presName="hierRoot2" presStyleCnt="0">
        <dgm:presLayoutVars>
          <dgm:hierBranch val="init"/>
        </dgm:presLayoutVars>
      </dgm:prSet>
      <dgm:spPr/>
    </dgm:pt>
    <dgm:pt modelId="{3B450EC8-42A6-4D1B-96B2-F1A71DAE8C8E}" type="pres">
      <dgm:prSet presAssocID="{2E313AB8-EAAF-4B39-9003-3C8E1831D7E2}" presName="rootComposite" presStyleCnt="0"/>
      <dgm:spPr/>
    </dgm:pt>
    <dgm:pt modelId="{71E14895-0B45-4C36-ABBD-A40E8791BE8D}" type="pres">
      <dgm:prSet presAssocID="{2E313AB8-EAAF-4B39-9003-3C8E1831D7E2}" presName="rootText" presStyleLbl="node3" presStyleIdx="3" presStyleCnt="7">
        <dgm:presLayoutVars>
          <dgm:chPref val="3"/>
        </dgm:presLayoutVars>
      </dgm:prSet>
      <dgm:spPr/>
    </dgm:pt>
    <dgm:pt modelId="{F9E17755-1B8A-4BDD-A99F-E25C438B9045}" type="pres">
      <dgm:prSet presAssocID="{2E313AB8-EAAF-4B39-9003-3C8E1831D7E2}" presName="rootConnector" presStyleLbl="node3" presStyleIdx="3" presStyleCnt="7"/>
      <dgm:spPr/>
    </dgm:pt>
    <dgm:pt modelId="{21B4B1CC-322E-45C2-817B-BAE54773847A}" type="pres">
      <dgm:prSet presAssocID="{2E313AB8-EAAF-4B39-9003-3C8E1831D7E2}" presName="hierChild4" presStyleCnt="0"/>
      <dgm:spPr/>
    </dgm:pt>
    <dgm:pt modelId="{71D4A078-36DD-45A0-9BB1-9F5DDCB2ACA7}" type="pres">
      <dgm:prSet presAssocID="{2E313AB8-EAAF-4B39-9003-3C8E1831D7E2}" presName="hierChild5" presStyleCnt="0"/>
      <dgm:spPr/>
    </dgm:pt>
    <dgm:pt modelId="{0A4A3DAF-83A4-4B75-8E5E-A80C83BA3CD9}" type="pres">
      <dgm:prSet presAssocID="{6A1C7856-BCF9-4232-A0F0-6246D28121F7}" presName="hierChild5" presStyleCnt="0"/>
      <dgm:spPr/>
    </dgm:pt>
    <dgm:pt modelId="{763CE9A5-1CC2-49BE-97BD-D1FD1966CC86}" type="pres">
      <dgm:prSet presAssocID="{EF59E513-BEE1-4D93-965F-80214C8E7575}" presName="Name37" presStyleLbl="parChTrans1D2" presStyleIdx="2" presStyleCnt="3"/>
      <dgm:spPr/>
    </dgm:pt>
    <dgm:pt modelId="{4F64BD50-B171-4BE1-9BBA-69C577BE089B}" type="pres">
      <dgm:prSet presAssocID="{3CB1AC34-FB58-4212-B460-D43DB0954909}" presName="hierRoot2" presStyleCnt="0">
        <dgm:presLayoutVars>
          <dgm:hierBranch val="init"/>
        </dgm:presLayoutVars>
      </dgm:prSet>
      <dgm:spPr/>
    </dgm:pt>
    <dgm:pt modelId="{AF3179CE-BA35-410F-A92B-AF5DE5A865E3}" type="pres">
      <dgm:prSet presAssocID="{3CB1AC34-FB58-4212-B460-D43DB0954909}" presName="rootComposite" presStyleCnt="0"/>
      <dgm:spPr/>
    </dgm:pt>
    <dgm:pt modelId="{450F7DCB-E2C7-4C25-9F7C-5714FB28C100}" type="pres">
      <dgm:prSet presAssocID="{3CB1AC34-FB58-4212-B460-D43DB0954909}" presName="rootText" presStyleLbl="node2" presStyleIdx="2" presStyleCnt="3">
        <dgm:presLayoutVars>
          <dgm:chPref val="3"/>
        </dgm:presLayoutVars>
      </dgm:prSet>
      <dgm:spPr/>
    </dgm:pt>
    <dgm:pt modelId="{B765E8FA-B0C2-4EF2-A10D-5065E56DCC3A}" type="pres">
      <dgm:prSet presAssocID="{3CB1AC34-FB58-4212-B460-D43DB0954909}" presName="rootConnector" presStyleLbl="node2" presStyleIdx="2" presStyleCnt="3"/>
      <dgm:spPr/>
    </dgm:pt>
    <dgm:pt modelId="{859CC1DE-32C2-4149-B348-211E273951C4}" type="pres">
      <dgm:prSet presAssocID="{3CB1AC34-FB58-4212-B460-D43DB0954909}" presName="hierChild4" presStyleCnt="0"/>
      <dgm:spPr/>
    </dgm:pt>
    <dgm:pt modelId="{62262698-DBEA-43E3-AFD8-3FEC57EB3B58}" type="pres">
      <dgm:prSet presAssocID="{4D28741A-1952-4933-8033-AD2D71B1DC08}" presName="Name37" presStyleLbl="parChTrans1D3" presStyleIdx="4" presStyleCnt="7"/>
      <dgm:spPr/>
    </dgm:pt>
    <dgm:pt modelId="{244DF0F1-6E9F-4A12-B9CC-B5B9816915BC}" type="pres">
      <dgm:prSet presAssocID="{236A7C4F-CE0E-4023-A9F3-EF06DF74ED7E}" presName="hierRoot2" presStyleCnt="0">
        <dgm:presLayoutVars>
          <dgm:hierBranch val="init"/>
        </dgm:presLayoutVars>
      </dgm:prSet>
      <dgm:spPr/>
    </dgm:pt>
    <dgm:pt modelId="{87A781F7-A8BE-4BAB-B87A-DDBD3BB589B1}" type="pres">
      <dgm:prSet presAssocID="{236A7C4F-CE0E-4023-A9F3-EF06DF74ED7E}" presName="rootComposite" presStyleCnt="0"/>
      <dgm:spPr/>
    </dgm:pt>
    <dgm:pt modelId="{3C484519-FC29-4198-A34E-55F3F6F1EB9C}" type="pres">
      <dgm:prSet presAssocID="{236A7C4F-CE0E-4023-A9F3-EF06DF74ED7E}" presName="rootText" presStyleLbl="node3" presStyleIdx="4" presStyleCnt="7">
        <dgm:presLayoutVars>
          <dgm:chPref val="3"/>
        </dgm:presLayoutVars>
      </dgm:prSet>
      <dgm:spPr/>
    </dgm:pt>
    <dgm:pt modelId="{1B6ADA63-7EE1-4F72-86C2-CB4EF51CAA22}" type="pres">
      <dgm:prSet presAssocID="{236A7C4F-CE0E-4023-A9F3-EF06DF74ED7E}" presName="rootConnector" presStyleLbl="node3" presStyleIdx="4" presStyleCnt="7"/>
      <dgm:spPr/>
    </dgm:pt>
    <dgm:pt modelId="{D32BDF79-BE17-43C1-AAF3-F3A98496DB1E}" type="pres">
      <dgm:prSet presAssocID="{236A7C4F-CE0E-4023-A9F3-EF06DF74ED7E}" presName="hierChild4" presStyleCnt="0"/>
      <dgm:spPr/>
    </dgm:pt>
    <dgm:pt modelId="{F59A160D-030D-4D08-AD34-537915F912F3}" type="pres">
      <dgm:prSet presAssocID="{236A7C4F-CE0E-4023-A9F3-EF06DF74ED7E}" presName="hierChild5" presStyleCnt="0"/>
      <dgm:spPr/>
    </dgm:pt>
    <dgm:pt modelId="{E8F19DB9-5776-4EC3-B9E8-57CA0B863086}" type="pres">
      <dgm:prSet presAssocID="{B108281D-0C9D-45C9-8771-5EEED999DBA9}" presName="Name37" presStyleLbl="parChTrans1D3" presStyleIdx="5" presStyleCnt="7"/>
      <dgm:spPr/>
    </dgm:pt>
    <dgm:pt modelId="{16AF7B27-3E50-4C36-A236-0AB15F6DA0DF}" type="pres">
      <dgm:prSet presAssocID="{3B80BA34-0F83-4089-B8BC-4A3FCEEFBF9C}" presName="hierRoot2" presStyleCnt="0">
        <dgm:presLayoutVars>
          <dgm:hierBranch val="init"/>
        </dgm:presLayoutVars>
      </dgm:prSet>
      <dgm:spPr/>
    </dgm:pt>
    <dgm:pt modelId="{86832A30-8DBC-49C0-A294-32583065979B}" type="pres">
      <dgm:prSet presAssocID="{3B80BA34-0F83-4089-B8BC-4A3FCEEFBF9C}" presName="rootComposite" presStyleCnt="0"/>
      <dgm:spPr/>
    </dgm:pt>
    <dgm:pt modelId="{91FF5746-7D4F-4A3B-B2A0-42886D7A0920}" type="pres">
      <dgm:prSet presAssocID="{3B80BA34-0F83-4089-B8BC-4A3FCEEFBF9C}" presName="rootText" presStyleLbl="node3" presStyleIdx="5" presStyleCnt="7">
        <dgm:presLayoutVars>
          <dgm:chPref val="3"/>
        </dgm:presLayoutVars>
      </dgm:prSet>
      <dgm:spPr/>
    </dgm:pt>
    <dgm:pt modelId="{48CA1452-5FE6-44BD-A045-52DC65348925}" type="pres">
      <dgm:prSet presAssocID="{3B80BA34-0F83-4089-B8BC-4A3FCEEFBF9C}" presName="rootConnector" presStyleLbl="node3" presStyleIdx="5" presStyleCnt="7"/>
      <dgm:spPr/>
    </dgm:pt>
    <dgm:pt modelId="{94761420-59DE-4416-A1CC-2C5DE29CB849}" type="pres">
      <dgm:prSet presAssocID="{3B80BA34-0F83-4089-B8BC-4A3FCEEFBF9C}" presName="hierChild4" presStyleCnt="0"/>
      <dgm:spPr/>
    </dgm:pt>
    <dgm:pt modelId="{1E570F34-5341-4034-B40C-370F74C0A958}" type="pres">
      <dgm:prSet presAssocID="{3B80BA34-0F83-4089-B8BC-4A3FCEEFBF9C}" presName="hierChild5" presStyleCnt="0"/>
      <dgm:spPr/>
    </dgm:pt>
    <dgm:pt modelId="{683FE1E7-576E-4F09-A05B-19F1B24AD614}" type="pres">
      <dgm:prSet presAssocID="{22A481B2-9C36-4333-8535-6DE7107CCC46}" presName="Name37" presStyleLbl="parChTrans1D3" presStyleIdx="6" presStyleCnt="7"/>
      <dgm:spPr/>
    </dgm:pt>
    <dgm:pt modelId="{1CD43F23-4E88-46C9-9F25-3BF44CA8841D}" type="pres">
      <dgm:prSet presAssocID="{522D04CB-400C-46A6-8B0C-764C5EC4EABE}" presName="hierRoot2" presStyleCnt="0">
        <dgm:presLayoutVars>
          <dgm:hierBranch val="init"/>
        </dgm:presLayoutVars>
      </dgm:prSet>
      <dgm:spPr/>
    </dgm:pt>
    <dgm:pt modelId="{10E1B152-6D30-4A9A-9AFC-3036F41E2F9F}" type="pres">
      <dgm:prSet presAssocID="{522D04CB-400C-46A6-8B0C-764C5EC4EABE}" presName="rootComposite" presStyleCnt="0"/>
      <dgm:spPr/>
    </dgm:pt>
    <dgm:pt modelId="{FB8B9420-3B10-436D-A781-EFD66698C813}" type="pres">
      <dgm:prSet presAssocID="{522D04CB-400C-46A6-8B0C-764C5EC4EABE}" presName="rootText" presStyleLbl="node3" presStyleIdx="6" presStyleCnt="7">
        <dgm:presLayoutVars>
          <dgm:chPref val="3"/>
        </dgm:presLayoutVars>
      </dgm:prSet>
      <dgm:spPr/>
    </dgm:pt>
    <dgm:pt modelId="{B6EF57E6-5BCF-4172-87C3-ED580383A56D}" type="pres">
      <dgm:prSet presAssocID="{522D04CB-400C-46A6-8B0C-764C5EC4EABE}" presName="rootConnector" presStyleLbl="node3" presStyleIdx="6" presStyleCnt="7"/>
      <dgm:spPr/>
    </dgm:pt>
    <dgm:pt modelId="{D3DBB096-8E30-4A2D-8FF6-17B2942E2552}" type="pres">
      <dgm:prSet presAssocID="{522D04CB-400C-46A6-8B0C-764C5EC4EABE}" presName="hierChild4" presStyleCnt="0"/>
      <dgm:spPr/>
    </dgm:pt>
    <dgm:pt modelId="{4AFE4778-C8F8-4ED9-8C8C-7AC330900E46}" type="pres">
      <dgm:prSet presAssocID="{522D04CB-400C-46A6-8B0C-764C5EC4EABE}" presName="hierChild5" presStyleCnt="0"/>
      <dgm:spPr/>
    </dgm:pt>
    <dgm:pt modelId="{2C91B1BF-9ED7-4BB6-ACFA-F685497131A0}" type="pres">
      <dgm:prSet presAssocID="{3CB1AC34-FB58-4212-B460-D43DB0954909}" presName="hierChild5" presStyleCnt="0"/>
      <dgm:spPr/>
    </dgm:pt>
    <dgm:pt modelId="{2581CA0C-46A4-4CCE-B1A9-DF5A368DE783}" type="pres">
      <dgm:prSet presAssocID="{B9FF475B-0BC1-4C36-A56C-61627303030E}" presName="hierChild3" presStyleCnt="0"/>
      <dgm:spPr/>
    </dgm:pt>
  </dgm:ptLst>
  <dgm:cxnLst>
    <dgm:cxn modelId="{FD101806-A2AB-4478-A647-EF8F73569FC3}" type="presOf" srcId="{522D04CB-400C-46A6-8B0C-764C5EC4EABE}" destId="{B6EF57E6-5BCF-4172-87C3-ED580383A56D}" srcOrd="1" destOrd="0" presId="urn:microsoft.com/office/officeart/2005/8/layout/orgChart1"/>
    <dgm:cxn modelId="{C092590D-4303-4D21-AA9E-9F1D5541FB9D}" srcId="{B9FF475B-0BC1-4C36-A56C-61627303030E}" destId="{6A1C7856-BCF9-4232-A0F0-6246D28121F7}" srcOrd="1" destOrd="0" parTransId="{9EBF86B8-71DE-4F8A-BBBB-4F20D6A6A09E}" sibTransId="{9346166C-106B-43B8-8EBD-F8EFC9353140}"/>
    <dgm:cxn modelId="{26BE2A1B-5B31-4B38-9993-B8D96C79E460}" srcId="{6A1C7856-BCF9-4232-A0F0-6246D28121F7}" destId="{2E313AB8-EAAF-4B39-9003-3C8E1831D7E2}" srcOrd="2" destOrd="0" parTransId="{B920FE65-EC6F-4257-8C61-024EB2FEF668}" sibTransId="{2044CFF5-E7B4-466A-B456-98FB0B8CC87F}"/>
    <dgm:cxn modelId="{B30B7F1D-1F47-4055-9BC0-27BC7E8BACD6}" type="presOf" srcId="{22A481B2-9C36-4333-8535-6DE7107CCC46}" destId="{683FE1E7-576E-4F09-A05B-19F1B24AD614}" srcOrd="0" destOrd="0" presId="urn:microsoft.com/office/officeart/2005/8/layout/orgChart1"/>
    <dgm:cxn modelId="{01D83F20-0B6C-4E02-A80C-F3A35FD67A1A}" srcId="{B9FF475B-0BC1-4C36-A56C-61627303030E}" destId="{3CB1AC34-FB58-4212-B460-D43DB0954909}" srcOrd="2" destOrd="0" parTransId="{EF59E513-BEE1-4D93-965F-80214C8E7575}" sibTransId="{04868F48-A05B-488D-8E63-3EE599C018E5}"/>
    <dgm:cxn modelId="{58F4C120-A6A5-4407-A96C-B51C8496E095}" type="presOf" srcId="{3B80BA34-0F83-4089-B8BC-4A3FCEEFBF9C}" destId="{91FF5746-7D4F-4A3B-B2A0-42886D7A0920}" srcOrd="0" destOrd="0" presId="urn:microsoft.com/office/officeart/2005/8/layout/orgChart1"/>
    <dgm:cxn modelId="{1490F726-6114-4B63-87E9-3BCDF9BD5969}" srcId="{6A1C7856-BCF9-4232-A0F0-6246D28121F7}" destId="{DA99FAAE-E9F6-46F5-AD01-C065B950A607}" srcOrd="1" destOrd="0" parTransId="{AD2AA59F-63B8-4311-8E09-CA5B92A8C05A}" sibTransId="{CE7068B0-D895-4299-88DB-8454921EDBF5}"/>
    <dgm:cxn modelId="{6805AF2F-EB76-44DD-9EB3-C24AE146D8ED}" srcId="{6A1C7856-BCF9-4232-A0F0-6246D28121F7}" destId="{26879CA4-815B-4EAC-BD8C-3159D707FE53}" srcOrd="0" destOrd="0" parTransId="{2E5FBA7E-DEB3-408F-8AE9-8ADD52D9179E}" sibTransId="{B8064718-3940-427A-89B7-56CBC56A94BD}"/>
    <dgm:cxn modelId="{2157913F-9472-4EAB-A348-1BB8F6160A9D}" type="presOf" srcId="{ED3286BC-B653-446D-A44B-3B76FAD71D3E}" destId="{1AC7C032-2D1D-4A85-A815-9D81E919BC9D}" srcOrd="0" destOrd="0" presId="urn:microsoft.com/office/officeart/2005/8/layout/orgChart1"/>
    <dgm:cxn modelId="{6F43F15B-C726-4CCD-A133-98F45A81C165}" type="presOf" srcId="{DA99FAAE-E9F6-46F5-AD01-C065B950A607}" destId="{35395447-0DC3-4F0D-B410-976046EDE706}" srcOrd="1" destOrd="0" presId="urn:microsoft.com/office/officeart/2005/8/layout/orgChart1"/>
    <dgm:cxn modelId="{30F7E55F-9541-4A44-AA8C-A1E90F903C0A}" type="presOf" srcId="{3CB1AC34-FB58-4212-B460-D43DB0954909}" destId="{450F7DCB-E2C7-4C25-9F7C-5714FB28C100}" srcOrd="0" destOrd="0" presId="urn:microsoft.com/office/officeart/2005/8/layout/orgChart1"/>
    <dgm:cxn modelId="{A7324947-ECB5-4075-9BA2-7C9F6DF661E3}" type="presOf" srcId="{519E05AA-255C-4365-B9CA-1B7531A85BB8}" destId="{8F6D6F8D-BD9C-4BC9-9F04-765DC6F08CFF}" srcOrd="0" destOrd="0" presId="urn:microsoft.com/office/officeart/2005/8/layout/orgChart1"/>
    <dgm:cxn modelId="{59B22E4D-464F-42EF-B729-EA09785C7272}" srcId="{3CB1AC34-FB58-4212-B460-D43DB0954909}" destId="{236A7C4F-CE0E-4023-A9F3-EF06DF74ED7E}" srcOrd="0" destOrd="0" parTransId="{4D28741A-1952-4933-8033-AD2D71B1DC08}" sibTransId="{3C53A10D-59BC-4507-9D78-9537B45D991C}"/>
    <dgm:cxn modelId="{EC20B64D-5CE7-4EDE-BB76-298188D52D3E}" type="presOf" srcId="{66A697BD-A17C-4A30-91D4-1AD9F6401CB0}" destId="{793E4E17-64D0-4C7B-AD42-25F5CC7B1416}" srcOrd="0" destOrd="0" presId="urn:microsoft.com/office/officeart/2005/8/layout/orgChart1"/>
    <dgm:cxn modelId="{F49EC551-9A0E-4BC0-88C3-E628283FC5B3}" type="presOf" srcId="{B9FF475B-0BC1-4C36-A56C-61627303030E}" destId="{8D1EB0C1-25CE-4FC1-BCD5-1A33CB967299}" srcOrd="0" destOrd="0" presId="urn:microsoft.com/office/officeart/2005/8/layout/orgChart1"/>
    <dgm:cxn modelId="{ECB3EB52-AD02-4D21-AE88-48066B25A2CE}" srcId="{1A9854FF-F576-43D4-B51C-2F67E375F338}" destId="{B9FF475B-0BC1-4C36-A56C-61627303030E}" srcOrd="0" destOrd="0" parTransId="{F52B0A78-C515-45A8-A6FC-14EC9431C0B5}" sibTransId="{2A910BA2-8815-4512-8754-CE8BBFEA13AF}"/>
    <dgm:cxn modelId="{E8316054-C362-49EA-8015-E34E3AAA2EC5}" type="presOf" srcId="{26879CA4-815B-4EAC-BD8C-3159D707FE53}" destId="{3787E8B4-19B2-4375-86C9-C309C8EA0731}" srcOrd="1" destOrd="0" presId="urn:microsoft.com/office/officeart/2005/8/layout/orgChart1"/>
    <dgm:cxn modelId="{907D0878-7749-4BD1-A12B-F1524C67C4D3}" type="presOf" srcId="{EF59E513-BEE1-4D93-965F-80214C8E7575}" destId="{763CE9A5-1CC2-49BE-97BD-D1FD1966CC86}" srcOrd="0" destOrd="0" presId="urn:microsoft.com/office/officeart/2005/8/layout/orgChart1"/>
    <dgm:cxn modelId="{D921647C-5161-4627-911A-2E3A06D743FD}" type="presOf" srcId="{3CB1AC34-FB58-4212-B460-D43DB0954909}" destId="{B765E8FA-B0C2-4EF2-A10D-5065E56DCC3A}" srcOrd="1" destOrd="0" presId="urn:microsoft.com/office/officeart/2005/8/layout/orgChart1"/>
    <dgm:cxn modelId="{FC66E17C-A422-439A-B891-245FCE57FF74}" type="presOf" srcId="{6A1C7856-BCF9-4232-A0F0-6246D28121F7}" destId="{55EE778A-8221-4E08-BA83-21FE9B73E882}" srcOrd="1" destOrd="0" presId="urn:microsoft.com/office/officeart/2005/8/layout/orgChart1"/>
    <dgm:cxn modelId="{2E683383-C52C-4972-B063-6A559AE7D207}" type="presOf" srcId="{4D28741A-1952-4933-8033-AD2D71B1DC08}" destId="{62262698-DBEA-43E3-AFD8-3FEC57EB3B58}" srcOrd="0" destOrd="0" presId="urn:microsoft.com/office/officeart/2005/8/layout/orgChart1"/>
    <dgm:cxn modelId="{AE72778F-3708-429C-BD2B-37DDA61822E3}" type="presOf" srcId="{B9FF475B-0BC1-4C36-A56C-61627303030E}" destId="{55EA17BC-F61B-4E35-963C-6157307129BA}" srcOrd="1" destOrd="0" presId="urn:microsoft.com/office/officeart/2005/8/layout/orgChart1"/>
    <dgm:cxn modelId="{702A8395-FDAC-414C-9CCA-C34DA57EFFEA}" type="presOf" srcId="{2E5FBA7E-DEB3-408F-8AE9-8ADD52D9179E}" destId="{800B39AD-0DF0-4D47-9DB0-C0F70CB099D8}" srcOrd="0" destOrd="0" presId="urn:microsoft.com/office/officeart/2005/8/layout/orgChart1"/>
    <dgm:cxn modelId="{9E8F0897-0933-4360-A157-7D55D345DC83}" srcId="{66A697BD-A17C-4A30-91D4-1AD9F6401CB0}" destId="{ED3286BC-B653-446D-A44B-3B76FAD71D3E}" srcOrd="0" destOrd="0" parTransId="{4C64E446-E072-4D3C-856C-50462FAC3EC9}" sibTransId="{37822457-5D59-4FCF-A102-940884A18034}"/>
    <dgm:cxn modelId="{AF6C6397-7F3F-4870-B14E-E8596166EB9D}" type="presOf" srcId="{9EBF86B8-71DE-4F8A-BBBB-4F20D6A6A09E}" destId="{3C17A603-97FF-4E76-9200-0CC02E3104C7}" srcOrd="0" destOrd="0" presId="urn:microsoft.com/office/officeart/2005/8/layout/orgChart1"/>
    <dgm:cxn modelId="{4A5AF5A3-DA6A-4C87-8DA6-BA519CD4E506}" type="presOf" srcId="{3B80BA34-0F83-4089-B8BC-4A3FCEEFBF9C}" destId="{48CA1452-5FE6-44BD-A045-52DC65348925}" srcOrd="1" destOrd="0" presId="urn:microsoft.com/office/officeart/2005/8/layout/orgChart1"/>
    <dgm:cxn modelId="{093643A7-587D-4E99-A861-50A95358B895}" type="presOf" srcId="{522D04CB-400C-46A6-8B0C-764C5EC4EABE}" destId="{FB8B9420-3B10-436D-A781-EFD66698C813}" srcOrd="0" destOrd="0" presId="urn:microsoft.com/office/officeart/2005/8/layout/orgChart1"/>
    <dgm:cxn modelId="{722D23B0-5988-4979-8B8B-7E7D4F09A8FD}" type="presOf" srcId="{1A9854FF-F576-43D4-B51C-2F67E375F338}" destId="{CA54C3C6-DB2A-4250-9542-7CD4C0A015CB}" srcOrd="0" destOrd="0" presId="urn:microsoft.com/office/officeart/2005/8/layout/orgChart1"/>
    <dgm:cxn modelId="{881639B1-1619-4D5B-B070-3C5D97302102}" type="presOf" srcId="{2E313AB8-EAAF-4B39-9003-3C8E1831D7E2}" destId="{F9E17755-1B8A-4BDD-A99F-E25C438B9045}" srcOrd="1" destOrd="0" presId="urn:microsoft.com/office/officeart/2005/8/layout/orgChart1"/>
    <dgm:cxn modelId="{2372AEBA-9AC2-4CF5-8006-C61883A0C9BF}" type="presOf" srcId="{236A7C4F-CE0E-4023-A9F3-EF06DF74ED7E}" destId="{3C484519-FC29-4198-A34E-55F3F6F1EB9C}" srcOrd="0" destOrd="0" presId="urn:microsoft.com/office/officeart/2005/8/layout/orgChart1"/>
    <dgm:cxn modelId="{D00F70BC-76B0-411E-B608-CC009915C661}" type="presOf" srcId="{B108281D-0C9D-45C9-8771-5EEED999DBA9}" destId="{E8F19DB9-5776-4EC3-B9E8-57CA0B863086}" srcOrd="0" destOrd="0" presId="urn:microsoft.com/office/officeart/2005/8/layout/orgChart1"/>
    <dgm:cxn modelId="{44E39DBC-2E05-4219-B378-16AB7D976F2F}" type="presOf" srcId="{AD2AA59F-63B8-4311-8E09-CA5B92A8C05A}" destId="{C629A2BC-4232-4D75-A265-F9F8D2937FE8}" srcOrd="0" destOrd="0" presId="urn:microsoft.com/office/officeart/2005/8/layout/orgChart1"/>
    <dgm:cxn modelId="{D7C869CD-B1C9-4E96-8EE2-8D1041340F87}" srcId="{3CB1AC34-FB58-4212-B460-D43DB0954909}" destId="{522D04CB-400C-46A6-8B0C-764C5EC4EABE}" srcOrd="2" destOrd="0" parTransId="{22A481B2-9C36-4333-8535-6DE7107CCC46}" sibTransId="{519DD5B1-AE6E-48C2-957C-869D0F8E9089}"/>
    <dgm:cxn modelId="{7E1D20CE-74D2-41F3-85D7-4F095584833E}" type="presOf" srcId="{66A697BD-A17C-4A30-91D4-1AD9F6401CB0}" destId="{7F620165-E213-40F5-87D2-853EBC973275}" srcOrd="1" destOrd="0" presId="urn:microsoft.com/office/officeart/2005/8/layout/orgChart1"/>
    <dgm:cxn modelId="{24A942CF-FC30-4241-9E72-8D783A43BF67}" srcId="{B9FF475B-0BC1-4C36-A56C-61627303030E}" destId="{66A697BD-A17C-4A30-91D4-1AD9F6401CB0}" srcOrd="0" destOrd="0" parTransId="{519E05AA-255C-4365-B9CA-1B7531A85BB8}" sibTransId="{7260419D-8EF9-4A35-9AA9-3A86A079C8EF}"/>
    <dgm:cxn modelId="{5AD1F1D0-5844-46B6-B01F-8CE285342DF3}" type="presOf" srcId="{26879CA4-815B-4EAC-BD8C-3159D707FE53}" destId="{62424A62-80D1-40DB-AB81-E265AAEA534E}" srcOrd="0" destOrd="0" presId="urn:microsoft.com/office/officeart/2005/8/layout/orgChart1"/>
    <dgm:cxn modelId="{FC6E1BD5-50F2-4E9B-892D-EC0BEC092C98}" type="presOf" srcId="{ED3286BC-B653-446D-A44B-3B76FAD71D3E}" destId="{CAE033AE-0E2A-40D7-BD3C-48E7E249A6AF}" srcOrd="1" destOrd="0" presId="urn:microsoft.com/office/officeart/2005/8/layout/orgChart1"/>
    <dgm:cxn modelId="{EA135ADD-9DA7-487A-A6F7-F6DD767EE209}" type="presOf" srcId="{2E313AB8-EAAF-4B39-9003-3C8E1831D7E2}" destId="{71E14895-0B45-4C36-ABBD-A40E8791BE8D}" srcOrd="0" destOrd="0" presId="urn:microsoft.com/office/officeart/2005/8/layout/orgChart1"/>
    <dgm:cxn modelId="{E426B6E7-F852-4627-AE92-6B1AE5E715BC}" type="presOf" srcId="{4C64E446-E072-4D3C-856C-50462FAC3EC9}" destId="{993062B8-69F9-493E-8B7F-6CD48B9EC087}" srcOrd="0" destOrd="0" presId="urn:microsoft.com/office/officeart/2005/8/layout/orgChart1"/>
    <dgm:cxn modelId="{A5CAEDE9-886B-4813-81C4-F2672CE8CEE2}" type="presOf" srcId="{DA99FAAE-E9F6-46F5-AD01-C065B950A607}" destId="{27D1F82C-8B0E-4020-B867-14199B1E9C5D}" srcOrd="0" destOrd="0" presId="urn:microsoft.com/office/officeart/2005/8/layout/orgChart1"/>
    <dgm:cxn modelId="{2CABDAED-1CD7-4B36-9F76-70F235DD2921}" type="presOf" srcId="{6A1C7856-BCF9-4232-A0F0-6246D28121F7}" destId="{AC908437-B6C7-4B5A-95E5-530966B60C96}" srcOrd="0" destOrd="0" presId="urn:microsoft.com/office/officeart/2005/8/layout/orgChart1"/>
    <dgm:cxn modelId="{9E954BEE-5FF4-4A34-A3D3-45644D28C9AF}" type="presOf" srcId="{B920FE65-EC6F-4257-8C61-024EB2FEF668}" destId="{A61D066D-AB88-4913-B535-B19DE65251B9}" srcOrd="0" destOrd="0" presId="urn:microsoft.com/office/officeart/2005/8/layout/orgChart1"/>
    <dgm:cxn modelId="{B1D412FC-9BEA-4592-A9F2-75B8EC606BA4}" type="presOf" srcId="{236A7C4F-CE0E-4023-A9F3-EF06DF74ED7E}" destId="{1B6ADA63-7EE1-4F72-86C2-CB4EF51CAA22}" srcOrd="1" destOrd="0" presId="urn:microsoft.com/office/officeart/2005/8/layout/orgChart1"/>
    <dgm:cxn modelId="{8B3CBDFE-E389-474F-B6E6-1450DE92ABB0}" srcId="{3CB1AC34-FB58-4212-B460-D43DB0954909}" destId="{3B80BA34-0F83-4089-B8BC-4A3FCEEFBF9C}" srcOrd="1" destOrd="0" parTransId="{B108281D-0C9D-45C9-8771-5EEED999DBA9}" sibTransId="{AA93E289-3C99-469E-AE06-7F810A0E6171}"/>
    <dgm:cxn modelId="{86D5029C-616B-4BCA-A0DC-100724558CF8}" type="presParOf" srcId="{CA54C3C6-DB2A-4250-9542-7CD4C0A015CB}" destId="{86B634BC-1700-4233-9D45-333E56EA1695}" srcOrd="0" destOrd="0" presId="urn:microsoft.com/office/officeart/2005/8/layout/orgChart1"/>
    <dgm:cxn modelId="{2F8F59CE-1F51-4B29-918A-7E67E31A82FF}" type="presParOf" srcId="{86B634BC-1700-4233-9D45-333E56EA1695}" destId="{D1979EB0-5E27-46E8-AAE9-BE08633A93D5}" srcOrd="0" destOrd="0" presId="urn:microsoft.com/office/officeart/2005/8/layout/orgChart1"/>
    <dgm:cxn modelId="{DFF2977D-542A-45E6-81A8-5FF0D5E6B134}" type="presParOf" srcId="{D1979EB0-5E27-46E8-AAE9-BE08633A93D5}" destId="{8D1EB0C1-25CE-4FC1-BCD5-1A33CB967299}" srcOrd="0" destOrd="0" presId="urn:microsoft.com/office/officeart/2005/8/layout/orgChart1"/>
    <dgm:cxn modelId="{21ED3E5A-FC91-4AC9-AF0C-FB2B39298D8D}" type="presParOf" srcId="{D1979EB0-5E27-46E8-AAE9-BE08633A93D5}" destId="{55EA17BC-F61B-4E35-963C-6157307129BA}" srcOrd="1" destOrd="0" presId="urn:microsoft.com/office/officeart/2005/8/layout/orgChart1"/>
    <dgm:cxn modelId="{497D969E-D03B-427F-ABAE-AF482880CF69}" type="presParOf" srcId="{86B634BC-1700-4233-9D45-333E56EA1695}" destId="{76BE52E0-BC23-46EB-82E6-9A050AC0FD7F}" srcOrd="1" destOrd="0" presId="urn:microsoft.com/office/officeart/2005/8/layout/orgChart1"/>
    <dgm:cxn modelId="{0F31BE1B-C73B-46B2-9027-B40E0F3FA524}" type="presParOf" srcId="{76BE52E0-BC23-46EB-82E6-9A050AC0FD7F}" destId="{8F6D6F8D-BD9C-4BC9-9F04-765DC6F08CFF}" srcOrd="0" destOrd="0" presId="urn:microsoft.com/office/officeart/2005/8/layout/orgChart1"/>
    <dgm:cxn modelId="{3599CC6B-37A0-40A7-BB67-06D57338ACEB}" type="presParOf" srcId="{76BE52E0-BC23-46EB-82E6-9A050AC0FD7F}" destId="{820CBD23-742B-4D49-B2CD-63FB42EF217C}" srcOrd="1" destOrd="0" presId="urn:microsoft.com/office/officeart/2005/8/layout/orgChart1"/>
    <dgm:cxn modelId="{A1BFE153-DA54-4F7F-8325-B03909375E92}" type="presParOf" srcId="{820CBD23-742B-4D49-B2CD-63FB42EF217C}" destId="{D89FA4DD-2B68-44B6-87F4-985B2782EB7F}" srcOrd="0" destOrd="0" presId="urn:microsoft.com/office/officeart/2005/8/layout/orgChart1"/>
    <dgm:cxn modelId="{F0511DFE-24A2-4D03-A69B-C9C0EFC2F272}" type="presParOf" srcId="{D89FA4DD-2B68-44B6-87F4-985B2782EB7F}" destId="{793E4E17-64D0-4C7B-AD42-25F5CC7B1416}" srcOrd="0" destOrd="0" presId="urn:microsoft.com/office/officeart/2005/8/layout/orgChart1"/>
    <dgm:cxn modelId="{1E3370A4-D28A-48B2-B6B7-A4A8C79C766C}" type="presParOf" srcId="{D89FA4DD-2B68-44B6-87F4-985B2782EB7F}" destId="{7F620165-E213-40F5-87D2-853EBC973275}" srcOrd="1" destOrd="0" presId="urn:microsoft.com/office/officeart/2005/8/layout/orgChart1"/>
    <dgm:cxn modelId="{9B7805C0-ABF3-4804-8220-F34A23E4DCB7}" type="presParOf" srcId="{820CBD23-742B-4D49-B2CD-63FB42EF217C}" destId="{12C2E00F-89AE-4C7D-B93F-FA8A52470555}" srcOrd="1" destOrd="0" presId="urn:microsoft.com/office/officeart/2005/8/layout/orgChart1"/>
    <dgm:cxn modelId="{B6FEFFA8-39EB-4CC9-B43F-F59F820AD109}" type="presParOf" srcId="{12C2E00F-89AE-4C7D-B93F-FA8A52470555}" destId="{993062B8-69F9-493E-8B7F-6CD48B9EC087}" srcOrd="0" destOrd="0" presId="urn:microsoft.com/office/officeart/2005/8/layout/orgChart1"/>
    <dgm:cxn modelId="{70B26158-5C9A-41D5-A397-DB3466C38D95}" type="presParOf" srcId="{12C2E00F-89AE-4C7D-B93F-FA8A52470555}" destId="{62C46927-983D-4F6D-AF18-83D64FD728FC}" srcOrd="1" destOrd="0" presId="urn:microsoft.com/office/officeart/2005/8/layout/orgChart1"/>
    <dgm:cxn modelId="{62C27295-31F0-4AE4-878F-0C5EAD849619}" type="presParOf" srcId="{62C46927-983D-4F6D-AF18-83D64FD728FC}" destId="{1F073D9C-F7C0-4321-AC50-56960D66F1DD}" srcOrd="0" destOrd="0" presId="urn:microsoft.com/office/officeart/2005/8/layout/orgChart1"/>
    <dgm:cxn modelId="{8EB2439B-0462-43E0-A3EA-CFBFE2AAE1B8}" type="presParOf" srcId="{1F073D9C-F7C0-4321-AC50-56960D66F1DD}" destId="{1AC7C032-2D1D-4A85-A815-9D81E919BC9D}" srcOrd="0" destOrd="0" presId="urn:microsoft.com/office/officeart/2005/8/layout/orgChart1"/>
    <dgm:cxn modelId="{5EB89615-4E24-4FBF-B4EF-3A33FEC1B807}" type="presParOf" srcId="{1F073D9C-F7C0-4321-AC50-56960D66F1DD}" destId="{CAE033AE-0E2A-40D7-BD3C-48E7E249A6AF}" srcOrd="1" destOrd="0" presId="urn:microsoft.com/office/officeart/2005/8/layout/orgChart1"/>
    <dgm:cxn modelId="{4E9A0537-F6F8-469E-A6A7-5AE1C389B522}" type="presParOf" srcId="{62C46927-983D-4F6D-AF18-83D64FD728FC}" destId="{42B860C6-A867-4BA2-A711-CF1BE6196058}" srcOrd="1" destOrd="0" presId="urn:microsoft.com/office/officeart/2005/8/layout/orgChart1"/>
    <dgm:cxn modelId="{A9C66BBF-6AEB-4CD6-991B-6A8E76867C34}" type="presParOf" srcId="{62C46927-983D-4F6D-AF18-83D64FD728FC}" destId="{053D8C30-1414-484C-8F9D-A2B2DDBD1F8F}" srcOrd="2" destOrd="0" presId="urn:microsoft.com/office/officeart/2005/8/layout/orgChart1"/>
    <dgm:cxn modelId="{C8B4FF87-F7C4-470A-BB66-F207404B51BC}" type="presParOf" srcId="{820CBD23-742B-4D49-B2CD-63FB42EF217C}" destId="{6B1924F0-4E3A-45FA-BEA7-CC0C037737F0}" srcOrd="2" destOrd="0" presId="urn:microsoft.com/office/officeart/2005/8/layout/orgChart1"/>
    <dgm:cxn modelId="{F019A849-08C8-45CA-9E6B-85DC9939E6C7}" type="presParOf" srcId="{76BE52E0-BC23-46EB-82E6-9A050AC0FD7F}" destId="{3C17A603-97FF-4E76-9200-0CC02E3104C7}" srcOrd="2" destOrd="0" presId="urn:microsoft.com/office/officeart/2005/8/layout/orgChart1"/>
    <dgm:cxn modelId="{4DE5A8F1-E111-4063-8135-EB38FEBE6012}" type="presParOf" srcId="{76BE52E0-BC23-46EB-82E6-9A050AC0FD7F}" destId="{6A32F518-BA15-415B-B515-408DD52098DB}" srcOrd="3" destOrd="0" presId="urn:microsoft.com/office/officeart/2005/8/layout/orgChart1"/>
    <dgm:cxn modelId="{6637DF8A-181D-418A-B589-1337224BBC33}" type="presParOf" srcId="{6A32F518-BA15-415B-B515-408DD52098DB}" destId="{C45ED6B0-6B97-420E-99B0-74CF93566B71}" srcOrd="0" destOrd="0" presId="urn:microsoft.com/office/officeart/2005/8/layout/orgChart1"/>
    <dgm:cxn modelId="{4F08F774-7B30-45F0-83F5-B765EBFD16D3}" type="presParOf" srcId="{C45ED6B0-6B97-420E-99B0-74CF93566B71}" destId="{AC908437-B6C7-4B5A-95E5-530966B60C96}" srcOrd="0" destOrd="0" presId="urn:microsoft.com/office/officeart/2005/8/layout/orgChart1"/>
    <dgm:cxn modelId="{67477E49-4924-4CAD-BE1B-884CC9C1CBBB}" type="presParOf" srcId="{C45ED6B0-6B97-420E-99B0-74CF93566B71}" destId="{55EE778A-8221-4E08-BA83-21FE9B73E882}" srcOrd="1" destOrd="0" presId="urn:microsoft.com/office/officeart/2005/8/layout/orgChart1"/>
    <dgm:cxn modelId="{04388377-FB08-4C70-A8A0-61605939B43D}" type="presParOf" srcId="{6A32F518-BA15-415B-B515-408DD52098DB}" destId="{C2D130EE-D841-4DEA-9194-7E1D43630441}" srcOrd="1" destOrd="0" presId="urn:microsoft.com/office/officeart/2005/8/layout/orgChart1"/>
    <dgm:cxn modelId="{E430C575-34C0-4A81-A807-21BCE50A61B3}" type="presParOf" srcId="{C2D130EE-D841-4DEA-9194-7E1D43630441}" destId="{800B39AD-0DF0-4D47-9DB0-C0F70CB099D8}" srcOrd="0" destOrd="0" presId="urn:microsoft.com/office/officeart/2005/8/layout/orgChart1"/>
    <dgm:cxn modelId="{92AC8CFD-E142-468A-BDEA-95C997D77A9B}" type="presParOf" srcId="{C2D130EE-D841-4DEA-9194-7E1D43630441}" destId="{EB49AE17-2FB7-4425-B7FD-40C903C0BECC}" srcOrd="1" destOrd="0" presId="urn:microsoft.com/office/officeart/2005/8/layout/orgChart1"/>
    <dgm:cxn modelId="{FD66A853-674F-404D-B799-9D25AEB68A4A}" type="presParOf" srcId="{EB49AE17-2FB7-4425-B7FD-40C903C0BECC}" destId="{AE5E46AB-F65C-4091-874C-EB206D8879A8}" srcOrd="0" destOrd="0" presId="urn:microsoft.com/office/officeart/2005/8/layout/orgChart1"/>
    <dgm:cxn modelId="{B7AFC278-876D-4C44-A465-C3CD52BDDB6D}" type="presParOf" srcId="{AE5E46AB-F65C-4091-874C-EB206D8879A8}" destId="{62424A62-80D1-40DB-AB81-E265AAEA534E}" srcOrd="0" destOrd="0" presId="urn:microsoft.com/office/officeart/2005/8/layout/orgChart1"/>
    <dgm:cxn modelId="{A8D98B76-C6B6-4093-946D-D15317C34C26}" type="presParOf" srcId="{AE5E46AB-F65C-4091-874C-EB206D8879A8}" destId="{3787E8B4-19B2-4375-86C9-C309C8EA0731}" srcOrd="1" destOrd="0" presId="urn:microsoft.com/office/officeart/2005/8/layout/orgChart1"/>
    <dgm:cxn modelId="{45D52689-44F9-4604-B057-43AB00DA5A77}" type="presParOf" srcId="{EB49AE17-2FB7-4425-B7FD-40C903C0BECC}" destId="{680477E1-BB5D-4F29-859F-7BF4646E378B}" srcOrd="1" destOrd="0" presId="urn:microsoft.com/office/officeart/2005/8/layout/orgChart1"/>
    <dgm:cxn modelId="{CD3558DD-A38F-453A-9E2E-DABAE148DB6E}" type="presParOf" srcId="{EB49AE17-2FB7-4425-B7FD-40C903C0BECC}" destId="{EC45F0FB-7125-47D3-AF24-3431D19EBA54}" srcOrd="2" destOrd="0" presId="urn:microsoft.com/office/officeart/2005/8/layout/orgChart1"/>
    <dgm:cxn modelId="{9BF543D2-3D7E-4260-A906-DBA815F65F4B}" type="presParOf" srcId="{C2D130EE-D841-4DEA-9194-7E1D43630441}" destId="{C629A2BC-4232-4D75-A265-F9F8D2937FE8}" srcOrd="2" destOrd="0" presId="urn:microsoft.com/office/officeart/2005/8/layout/orgChart1"/>
    <dgm:cxn modelId="{B25219C8-92AB-4BB1-B319-85657AB40AD2}" type="presParOf" srcId="{C2D130EE-D841-4DEA-9194-7E1D43630441}" destId="{A0C9D70C-237B-420C-ACCC-4CFEAD61D32C}" srcOrd="3" destOrd="0" presId="urn:microsoft.com/office/officeart/2005/8/layout/orgChart1"/>
    <dgm:cxn modelId="{348F2840-2C08-4442-B39A-B664A89F9339}" type="presParOf" srcId="{A0C9D70C-237B-420C-ACCC-4CFEAD61D32C}" destId="{11666465-5513-46D7-A0D7-16E6F842A29B}" srcOrd="0" destOrd="0" presId="urn:microsoft.com/office/officeart/2005/8/layout/orgChart1"/>
    <dgm:cxn modelId="{A999D6CA-5FF2-40CE-A0D0-B4207CD3DF49}" type="presParOf" srcId="{11666465-5513-46D7-A0D7-16E6F842A29B}" destId="{27D1F82C-8B0E-4020-B867-14199B1E9C5D}" srcOrd="0" destOrd="0" presId="urn:microsoft.com/office/officeart/2005/8/layout/orgChart1"/>
    <dgm:cxn modelId="{7B986BE5-9802-47A0-B7E6-0BA70339A153}" type="presParOf" srcId="{11666465-5513-46D7-A0D7-16E6F842A29B}" destId="{35395447-0DC3-4F0D-B410-976046EDE706}" srcOrd="1" destOrd="0" presId="urn:microsoft.com/office/officeart/2005/8/layout/orgChart1"/>
    <dgm:cxn modelId="{D9A6D854-227A-411E-B3A1-7F6A56CA468F}" type="presParOf" srcId="{A0C9D70C-237B-420C-ACCC-4CFEAD61D32C}" destId="{D582FA48-B170-4645-AEAD-E36529BC7D9F}" srcOrd="1" destOrd="0" presId="urn:microsoft.com/office/officeart/2005/8/layout/orgChart1"/>
    <dgm:cxn modelId="{8A4F697A-3570-4FFE-ACE7-9EDDFFF16F24}" type="presParOf" srcId="{A0C9D70C-237B-420C-ACCC-4CFEAD61D32C}" destId="{37CDB789-BFA2-4D9C-B5F4-A96FD535D7D8}" srcOrd="2" destOrd="0" presId="urn:microsoft.com/office/officeart/2005/8/layout/orgChart1"/>
    <dgm:cxn modelId="{ECD64CC5-1D97-47B0-9EF4-9228296F7775}" type="presParOf" srcId="{C2D130EE-D841-4DEA-9194-7E1D43630441}" destId="{A61D066D-AB88-4913-B535-B19DE65251B9}" srcOrd="4" destOrd="0" presId="urn:microsoft.com/office/officeart/2005/8/layout/orgChart1"/>
    <dgm:cxn modelId="{F3E4E176-7535-4D9E-9B5A-D8E1FEA0B2C4}" type="presParOf" srcId="{C2D130EE-D841-4DEA-9194-7E1D43630441}" destId="{AC82DF39-46B8-4C66-89C9-A10CE8E686A2}" srcOrd="5" destOrd="0" presId="urn:microsoft.com/office/officeart/2005/8/layout/orgChart1"/>
    <dgm:cxn modelId="{B6CE81AE-2023-4764-8C57-4A8753151438}" type="presParOf" srcId="{AC82DF39-46B8-4C66-89C9-A10CE8E686A2}" destId="{3B450EC8-42A6-4D1B-96B2-F1A71DAE8C8E}" srcOrd="0" destOrd="0" presId="urn:microsoft.com/office/officeart/2005/8/layout/orgChart1"/>
    <dgm:cxn modelId="{2BE58F11-F97E-4DBF-8576-F1DAF43733C1}" type="presParOf" srcId="{3B450EC8-42A6-4D1B-96B2-F1A71DAE8C8E}" destId="{71E14895-0B45-4C36-ABBD-A40E8791BE8D}" srcOrd="0" destOrd="0" presId="urn:microsoft.com/office/officeart/2005/8/layout/orgChart1"/>
    <dgm:cxn modelId="{635BBCB7-BA57-4197-9D16-151F4F0D6334}" type="presParOf" srcId="{3B450EC8-42A6-4D1B-96B2-F1A71DAE8C8E}" destId="{F9E17755-1B8A-4BDD-A99F-E25C438B9045}" srcOrd="1" destOrd="0" presId="urn:microsoft.com/office/officeart/2005/8/layout/orgChart1"/>
    <dgm:cxn modelId="{8CC76D06-858D-4802-9076-FC335A09B9C6}" type="presParOf" srcId="{AC82DF39-46B8-4C66-89C9-A10CE8E686A2}" destId="{21B4B1CC-322E-45C2-817B-BAE54773847A}" srcOrd="1" destOrd="0" presId="urn:microsoft.com/office/officeart/2005/8/layout/orgChart1"/>
    <dgm:cxn modelId="{B348C76F-FCAA-4805-9C5F-ADC0730A9A02}" type="presParOf" srcId="{AC82DF39-46B8-4C66-89C9-A10CE8E686A2}" destId="{71D4A078-36DD-45A0-9BB1-9F5DDCB2ACA7}" srcOrd="2" destOrd="0" presId="urn:microsoft.com/office/officeart/2005/8/layout/orgChart1"/>
    <dgm:cxn modelId="{8F2DA06B-6A9F-4B36-AF14-22163F4443DE}" type="presParOf" srcId="{6A32F518-BA15-415B-B515-408DD52098DB}" destId="{0A4A3DAF-83A4-4B75-8E5E-A80C83BA3CD9}" srcOrd="2" destOrd="0" presId="urn:microsoft.com/office/officeart/2005/8/layout/orgChart1"/>
    <dgm:cxn modelId="{603A56A9-89BE-4DD4-8DD0-4C708B9243CF}" type="presParOf" srcId="{76BE52E0-BC23-46EB-82E6-9A050AC0FD7F}" destId="{763CE9A5-1CC2-49BE-97BD-D1FD1966CC86}" srcOrd="4" destOrd="0" presId="urn:microsoft.com/office/officeart/2005/8/layout/orgChart1"/>
    <dgm:cxn modelId="{ECC47472-7311-4224-8413-3D7D05B6DC73}" type="presParOf" srcId="{76BE52E0-BC23-46EB-82E6-9A050AC0FD7F}" destId="{4F64BD50-B171-4BE1-9BBA-69C577BE089B}" srcOrd="5" destOrd="0" presId="urn:microsoft.com/office/officeart/2005/8/layout/orgChart1"/>
    <dgm:cxn modelId="{F2E26119-6BC7-45D6-B711-280248439CF4}" type="presParOf" srcId="{4F64BD50-B171-4BE1-9BBA-69C577BE089B}" destId="{AF3179CE-BA35-410F-A92B-AF5DE5A865E3}" srcOrd="0" destOrd="0" presId="urn:microsoft.com/office/officeart/2005/8/layout/orgChart1"/>
    <dgm:cxn modelId="{CA7DBACF-5F00-4154-86D9-1A977BCFE96A}" type="presParOf" srcId="{AF3179CE-BA35-410F-A92B-AF5DE5A865E3}" destId="{450F7DCB-E2C7-4C25-9F7C-5714FB28C100}" srcOrd="0" destOrd="0" presId="urn:microsoft.com/office/officeart/2005/8/layout/orgChart1"/>
    <dgm:cxn modelId="{1F56FEA6-0620-43D9-BE6E-1483495B0173}" type="presParOf" srcId="{AF3179CE-BA35-410F-A92B-AF5DE5A865E3}" destId="{B765E8FA-B0C2-4EF2-A10D-5065E56DCC3A}" srcOrd="1" destOrd="0" presId="urn:microsoft.com/office/officeart/2005/8/layout/orgChart1"/>
    <dgm:cxn modelId="{F2BE5467-60F6-4ACA-A364-2844CB00673E}" type="presParOf" srcId="{4F64BD50-B171-4BE1-9BBA-69C577BE089B}" destId="{859CC1DE-32C2-4149-B348-211E273951C4}" srcOrd="1" destOrd="0" presId="urn:microsoft.com/office/officeart/2005/8/layout/orgChart1"/>
    <dgm:cxn modelId="{1909C7F4-D736-4438-8C63-EF2AA67E661F}" type="presParOf" srcId="{859CC1DE-32C2-4149-B348-211E273951C4}" destId="{62262698-DBEA-43E3-AFD8-3FEC57EB3B58}" srcOrd="0" destOrd="0" presId="urn:microsoft.com/office/officeart/2005/8/layout/orgChart1"/>
    <dgm:cxn modelId="{A19ED71A-E672-41CC-94D1-B0FA17D433B8}" type="presParOf" srcId="{859CC1DE-32C2-4149-B348-211E273951C4}" destId="{244DF0F1-6E9F-4A12-B9CC-B5B9816915BC}" srcOrd="1" destOrd="0" presId="urn:microsoft.com/office/officeart/2005/8/layout/orgChart1"/>
    <dgm:cxn modelId="{54838A6D-E143-4E38-A0BE-F3513CFE64C2}" type="presParOf" srcId="{244DF0F1-6E9F-4A12-B9CC-B5B9816915BC}" destId="{87A781F7-A8BE-4BAB-B87A-DDBD3BB589B1}" srcOrd="0" destOrd="0" presId="urn:microsoft.com/office/officeart/2005/8/layout/orgChart1"/>
    <dgm:cxn modelId="{86CC2014-F92E-4743-ABAA-C366C4B02246}" type="presParOf" srcId="{87A781F7-A8BE-4BAB-B87A-DDBD3BB589B1}" destId="{3C484519-FC29-4198-A34E-55F3F6F1EB9C}" srcOrd="0" destOrd="0" presId="urn:microsoft.com/office/officeart/2005/8/layout/orgChart1"/>
    <dgm:cxn modelId="{0230E665-4C5B-4711-83BA-0CF21B7747D1}" type="presParOf" srcId="{87A781F7-A8BE-4BAB-B87A-DDBD3BB589B1}" destId="{1B6ADA63-7EE1-4F72-86C2-CB4EF51CAA22}" srcOrd="1" destOrd="0" presId="urn:microsoft.com/office/officeart/2005/8/layout/orgChart1"/>
    <dgm:cxn modelId="{815C6428-2D7A-4F2A-9E04-C719EEC7C639}" type="presParOf" srcId="{244DF0F1-6E9F-4A12-B9CC-B5B9816915BC}" destId="{D32BDF79-BE17-43C1-AAF3-F3A98496DB1E}" srcOrd="1" destOrd="0" presId="urn:microsoft.com/office/officeart/2005/8/layout/orgChart1"/>
    <dgm:cxn modelId="{BF1562F2-F39B-400F-88DC-A087A4B5D9F5}" type="presParOf" srcId="{244DF0F1-6E9F-4A12-B9CC-B5B9816915BC}" destId="{F59A160D-030D-4D08-AD34-537915F912F3}" srcOrd="2" destOrd="0" presId="urn:microsoft.com/office/officeart/2005/8/layout/orgChart1"/>
    <dgm:cxn modelId="{1B869758-BB96-4307-AF6A-80E188021B5A}" type="presParOf" srcId="{859CC1DE-32C2-4149-B348-211E273951C4}" destId="{E8F19DB9-5776-4EC3-B9E8-57CA0B863086}" srcOrd="2" destOrd="0" presId="urn:microsoft.com/office/officeart/2005/8/layout/orgChart1"/>
    <dgm:cxn modelId="{6C4E9A9A-857E-4A5A-A916-6B0A122253DB}" type="presParOf" srcId="{859CC1DE-32C2-4149-B348-211E273951C4}" destId="{16AF7B27-3E50-4C36-A236-0AB15F6DA0DF}" srcOrd="3" destOrd="0" presId="urn:microsoft.com/office/officeart/2005/8/layout/orgChart1"/>
    <dgm:cxn modelId="{8EDFD223-4ABB-4A01-94AC-2596F35A5DFE}" type="presParOf" srcId="{16AF7B27-3E50-4C36-A236-0AB15F6DA0DF}" destId="{86832A30-8DBC-49C0-A294-32583065979B}" srcOrd="0" destOrd="0" presId="urn:microsoft.com/office/officeart/2005/8/layout/orgChart1"/>
    <dgm:cxn modelId="{23ABD0F9-E8B3-42AB-BA44-4EC5EFE9CCC6}" type="presParOf" srcId="{86832A30-8DBC-49C0-A294-32583065979B}" destId="{91FF5746-7D4F-4A3B-B2A0-42886D7A0920}" srcOrd="0" destOrd="0" presId="urn:microsoft.com/office/officeart/2005/8/layout/orgChart1"/>
    <dgm:cxn modelId="{4DD1F2BB-FE19-4BA7-8497-1C28F29B752B}" type="presParOf" srcId="{86832A30-8DBC-49C0-A294-32583065979B}" destId="{48CA1452-5FE6-44BD-A045-52DC65348925}" srcOrd="1" destOrd="0" presId="urn:microsoft.com/office/officeart/2005/8/layout/orgChart1"/>
    <dgm:cxn modelId="{B19F957D-F3F9-4FCE-AA8D-37F483B2CD71}" type="presParOf" srcId="{16AF7B27-3E50-4C36-A236-0AB15F6DA0DF}" destId="{94761420-59DE-4416-A1CC-2C5DE29CB849}" srcOrd="1" destOrd="0" presId="urn:microsoft.com/office/officeart/2005/8/layout/orgChart1"/>
    <dgm:cxn modelId="{56BB46AE-65F0-4322-B86A-A8BCB27947BD}" type="presParOf" srcId="{16AF7B27-3E50-4C36-A236-0AB15F6DA0DF}" destId="{1E570F34-5341-4034-B40C-370F74C0A958}" srcOrd="2" destOrd="0" presId="urn:microsoft.com/office/officeart/2005/8/layout/orgChart1"/>
    <dgm:cxn modelId="{CB42C47E-5A64-4CF4-8CBF-139492CD45E6}" type="presParOf" srcId="{859CC1DE-32C2-4149-B348-211E273951C4}" destId="{683FE1E7-576E-4F09-A05B-19F1B24AD614}" srcOrd="4" destOrd="0" presId="urn:microsoft.com/office/officeart/2005/8/layout/orgChart1"/>
    <dgm:cxn modelId="{A49BD1C1-210E-4B05-8292-8BDA2BB666F9}" type="presParOf" srcId="{859CC1DE-32C2-4149-B348-211E273951C4}" destId="{1CD43F23-4E88-46C9-9F25-3BF44CA8841D}" srcOrd="5" destOrd="0" presId="urn:microsoft.com/office/officeart/2005/8/layout/orgChart1"/>
    <dgm:cxn modelId="{B006D4E1-C5E7-4E43-8E1D-4A068B91574E}" type="presParOf" srcId="{1CD43F23-4E88-46C9-9F25-3BF44CA8841D}" destId="{10E1B152-6D30-4A9A-9AFC-3036F41E2F9F}" srcOrd="0" destOrd="0" presId="urn:microsoft.com/office/officeart/2005/8/layout/orgChart1"/>
    <dgm:cxn modelId="{D614ADA3-F319-4FBB-9C50-F461095C7679}" type="presParOf" srcId="{10E1B152-6D30-4A9A-9AFC-3036F41E2F9F}" destId="{FB8B9420-3B10-436D-A781-EFD66698C813}" srcOrd="0" destOrd="0" presId="urn:microsoft.com/office/officeart/2005/8/layout/orgChart1"/>
    <dgm:cxn modelId="{54B3604F-8AFB-4B6B-AF8D-491152F99D5A}" type="presParOf" srcId="{10E1B152-6D30-4A9A-9AFC-3036F41E2F9F}" destId="{B6EF57E6-5BCF-4172-87C3-ED580383A56D}" srcOrd="1" destOrd="0" presId="urn:microsoft.com/office/officeart/2005/8/layout/orgChart1"/>
    <dgm:cxn modelId="{632311C7-E212-4006-9984-5BF1ED15702E}" type="presParOf" srcId="{1CD43F23-4E88-46C9-9F25-3BF44CA8841D}" destId="{D3DBB096-8E30-4A2D-8FF6-17B2942E2552}" srcOrd="1" destOrd="0" presId="urn:microsoft.com/office/officeart/2005/8/layout/orgChart1"/>
    <dgm:cxn modelId="{C0B9F04C-9D35-468E-B877-67E4549C5B84}" type="presParOf" srcId="{1CD43F23-4E88-46C9-9F25-3BF44CA8841D}" destId="{4AFE4778-C8F8-4ED9-8C8C-7AC330900E46}" srcOrd="2" destOrd="0" presId="urn:microsoft.com/office/officeart/2005/8/layout/orgChart1"/>
    <dgm:cxn modelId="{84CAA0B2-7258-4D46-9454-14806A38AC89}" type="presParOf" srcId="{4F64BD50-B171-4BE1-9BBA-69C577BE089B}" destId="{2C91B1BF-9ED7-4BB6-ACFA-F685497131A0}" srcOrd="2" destOrd="0" presId="urn:microsoft.com/office/officeart/2005/8/layout/orgChart1"/>
    <dgm:cxn modelId="{BFB4F89D-F37C-490B-A2A6-41A5C9CF8D86}" type="presParOf" srcId="{86B634BC-1700-4233-9D45-333E56EA1695}" destId="{2581CA0C-46A4-4CCE-B1A9-DF5A368DE783}"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2A55EF-CE63-48D1-BFCB-2032148C9D78}"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AU"/>
        </a:p>
      </dgm:t>
    </dgm:pt>
    <dgm:pt modelId="{C02C270C-FAB8-428C-B99C-9B0D30536F1F}">
      <dgm:prSet phldrT="[Text]"/>
      <dgm:spPr>
        <a:solidFill>
          <a:srgbClr val="1C407F"/>
        </a:solidFill>
      </dgm:spPr>
      <dgm:t>
        <a:bodyPr/>
        <a:lstStyle/>
        <a:p>
          <a:pPr algn="ctr"/>
          <a:r>
            <a:rPr lang="en-AU"/>
            <a:t>Prevention</a:t>
          </a:r>
        </a:p>
      </dgm:t>
    </dgm:pt>
    <dgm:pt modelId="{A00208F7-8E63-437F-A536-67F695139E3F}" type="parTrans" cxnId="{633B46F2-7288-484A-B729-13D3A60BE084}">
      <dgm:prSet/>
      <dgm:spPr/>
      <dgm:t>
        <a:bodyPr/>
        <a:lstStyle/>
        <a:p>
          <a:pPr algn="ctr"/>
          <a:endParaRPr lang="en-AU"/>
        </a:p>
      </dgm:t>
    </dgm:pt>
    <dgm:pt modelId="{CDD22CDE-535B-4958-917C-E859AF73070A}" type="sibTrans" cxnId="{633B46F2-7288-484A-B729-13D3A60BE084}">
      <dgm:prSet/>
      <dgm:spPr/>
      <dgm:t>
        <a:bodyPr/>
        <a:lstStyle/>
        <a:p>
          <a:pPr algn="ctr"/>
          <a:endParaRPr lang="en-AU"/>
        </a:p>
      </dgm:t>
    </dgm:pt>
    <dgm:pt modelId="{E8D4344F-CB34-40EB-BD9A-DD3F7AAD7EE0}">
      <dgm:prSet phldrT="[Text]" custT="1"/>
      <dgm:spPr/>
      <dgm:t>
        <a:bodyPr/>
        <a:lstStyle/>
        <a:p>
          <a:pPr algn="ctr"/>
          <a:r>
            <a:rPr lang="en-AU" sz="1100" b="1"/>
            <a:t>Organisation</a:t>
          </a:r>
        </a:p>
        <a:p>
          <a:pPr algn="ctr"/>
          <a:r>
            <a:rPr lang="en-AU" sz="1000"/>
            <a:t>Promote culture of equity and respect</a:t>
          </a:r>
        </a:p>
        <a:p>
          <a:pPr algn="ctr"/>
          <a:r>
            <a:rPr lang="en-AU" sz="1000"/>
            <a:t>Diversify leadership and workforce</a:t>
          </a:r>
        </a:p>
        <a:p>
          <a:pPr algn="ctr"/>
          <a:r>
            <a:rPr lang="en-AU" sz="1000"/>
            <a:t>Review SH policy </a:t>
          </a:r>
        </a:p>
      </dgm:t>
    </dgm:pt>
    <dgm:pt modelId="{1B567E1E-1FAC-4E6B-9FA8-D343B8A56D11}" type="parTrans" cxnId="{796A784C-3A4B-413A-A72C-EA6AF937DE14}">
      <dgm:prSet/>
      <dgm:spPr/>
      <dgm:t>
        <a:bodyPr/>
        <a:lstStyle/>
        <a:p>
          <a:pPr algn="ctr"/>
          <a:endParaRPr lang="en-AU"/>
        </a:p>
      </dgm:t>
    </dgm:pt>
    <dgm:pt modelId="{AFC1B64F-150B-4B9E-BF70-8A565FB86C6E}" type="sibTrans" cxnId="{796A784C-3A4B-413A-A72C-EA6AF937DE14}">
      <dgm:prSet/>
      <dgm:spPr/>
      <dgm:t>
        <a:bodyPr/>
        <a:lstStyle/>
        <a:p>
          <a:pPr algn="ctr"/>
          <a:endParaRPr lang="en-AU"/>
        </a:p>
      </dgm:t>
    </dgm:pt>
    <dgm:pt modelId="{A8A3255C-0C95-43A4-BA42-123D9FBDB84E}">
      <dgm:prSet phldrT="[Text]" custT="1"/>
      <dgm:spPr/>
      <dgm:t>
        <a:bodyPr/>
        <a:lstStyle/>
        <a:p>
          <a:pPr algn="ctr"/>
          <a:r>
            <a:rPr lang="en-AU" sz="1100" b="1"/>
            <a:t>Team</a:t>
          </a:r>
        </a:p>
        <a:p>
          <a:pPr algn="ctr"/>
          <a:r>
            <a:rPr lang="en-AU" sz="1000"/>
            <a:t>Train leaders on preventing and responding to SH</a:t>
          </a:r>
        </a:p>
        <a:p>
          <a:pPr algn="ctr"/>
          <a:r>
            <a:rPr lang="en-AU" sz="1000"/>
            <a:t>Train staff on respectful relations, including diversity and inclusion</a:t>
          </a:r>
        </a:p>
        <a:p>
          <a:pPr algn="ctr"/>
          <a:r>
            <a:rPr lang="en-AU" sz="1000"/>
            <a:t>Utilise innovative and empirical behaviour change interventions</a:t>
          </a:r>
        </a:p>
      </dgm:t>
    </dgm:pt>
    <dgm:pt modelId="{17D856EB-D1A8-4C96-865E-35CC44820FC1}" type="parTrans" cxnId="{96F9FEEF-46C4-4A7D-98FF-3A9854BA619E}">
      <dgm:prSet/>
      <dgm:spPr/>
      <dgm:t>
        <a:bodyPr/>
        <a:lstStyle/>
        <a:p>
          <a:pPr algn="ctr"/>
          <a:endParaRPr lang="en-AU"/>
        </a:p>
      </dgm:t>
    </dgm:pt>
    <dgm:pt modelId="{4937B964-38DF-4BCE-9D31-0B1F24FB5527}" type="sibTrans" cxnId="{96F9FEEF-46C4-4A7D-98FF-3A9854BA619E}">
      <dgm:prSet/>
      <dgm:spPr/>
      <dgm:t>
        <a:bodyPr/>
        <a:lstStyle/>
        <a:p>
          <a:pPr algn="ctr"/>
          <a:endParaRPr lang="en-AU"/>
        </a:p>
      </dgm:t>
    </dgm:pt>
    <dgm:pt modelId="{607FDB23-A741-4DF3-96CF-881D8942572F}">
      <dgm:prSet phldrT="[Text]"/>
      <dgm:spPr>
        <a:solidFill>
          <a:srgbClr val="1C407F"/>
        </a:solidFill>
      </dgm:spPr>
      <dgm:t>
        <a:bodyPr/>
        <a:lstStyle/>
        <a:p>
          <a:pPr algn="ctr"/>
          <a:r>
            <a:rPr lang="en-AU"/>
            <a:t>Management</a:t>
          </a:r>
        </a:p>
      </dgm:t>
    </dgm:pt>
    <dgm:pt modelId="{78D958D8-83CA-451B-878E-F521CB7AAAE4}" type="parTrans" cxnId="{3F5ABAF5-C02F-4A2F-BA32-378AC6C3BE49}">
      <dgm:prSet/>
      <dgm:spPr/>
      <dgm:t>
        <a:bodyPr/>
        <a:lstStyle/>
        <a:p>
          <a:pPr algn="ctr"/>
          <a:endParaRPr lang="en-AU"/>
        </a:p>
      </dgm:t>
    </dgm:pt>
    <dgm:pt modelId="{EF2C153C-4D41-4EF2-9CE2-2D2DE4B4B969}" type="sibTrans" cxnId="{3F5ABAF5-C02F-4A2F-BA32-378AC6C3BE49}">
      <dgm:prSet/>
      <dgm:spPr/>
      <dgm:t>
        <a:bodyPr/>
        <a:lstStyle/>
        <a:p>
          <a:pPr algn="ctr"/>
          <a:endParaRPr lang="en-AU"/>
        </a:p>
      </dgm:t>
    </dgm:pt>
    <dgm:pt modelId="{BE02E629-8DB2-478F-BF88-1A8C79CC05CF}">
      <dgm:prSet phldrT="[Text]" custT="1"/>
      <dgm:spPr/>
      <dgm:t>
        <a:bodyPr/>
        <a:lstStyle/>
        <a:p>
          <a:pPr algn="ctr"/>
          <a:r>
            <a:rPr lang="en-AU" sz="1100" b="1"/>
            <a:t>Organisation</a:t>
          </a:r>
        </a:p>
        <a:p>
          <a:pPr algn="ctr"/>
          <a:r>
            <a:rPr lang="en-AU" sz="1000"/>
            <a:t>Eliminate barriers to reporting SH</a:t>
          </a:r>
        </a:p>
        <a:p>
          <a:pPr algn="ctr"/>
          <a:r>
            <a:rPr lang="en-AU" sz="1000"/>
            <a:t>Robust, independent management of reports</a:t>
          </a:r>
        </a:p>
        <a:p>
          <a:pPr algn="ctr"/>
          <a:r>
            <a:rPr lang="en-AU" sz="1000"/>
            <a:t>Introduce relevant flexible working arrangements</a:t>
          </a:r>
        </a:p>
        <a:p>
          <a:pPr algn="ctr"/>
          <a:r>
            <a:rPr lang="en-AU" sz="1000"/>
            <a:t>Transparent review processes</a:t>
          </a:r>
        </a:p>
      </dgm:t>
    </dgm:pt>
    <dgm:pt modelId="{28EAC98D-12C5-4CF0-BC22-23F0D1FC16DB}" type="parTrans" cxnId="{EA656828-4D1B-46C3-B7FC-D4AC27DB921C}">
      <dgm:prSet/>
      <dgm:spPr/>
      <dgm:t>
        <a:bodyPr/>
        <a:lstStyle/>
        <a:p>
          <a:pPr algn="ctr"/>
          <a:endParaRPr lang="en-AU"/>
        </a:p>
      </dgm:t>
    </dgm:pt>
    <dgm:pt modelId="{7DF32722-D103-4BF5-820B-FC87943EFEBD}" type="sibTrans" cxnId="{EA656828-4D1B-46C3-B7FC-D4AC27DB921C}">
      <dgm:prSet/>
      <dgm:spPr/>
      <dgm:t>
        <a:bodyPr/>
        <a:lstStyle/>
        <a:p>
          <a:pPr algn="ctr"/>
          <a:endParaRPr lang="en-AU"/>
        </a:p>
      </dgm:t>
    </dgm:pt>
    <dgm:pt modelId="{45B4DF50-0520-4780-9FED-DBE76F225B43}">
      <dgm:prSet phldrT="[Text]" custT="1"/>
      <dgm:spPr/>
      <dgm:t>
        <a:bodyPr/>
        <a:lstStyle/>
        <a:p>
          <a:pPr algn="ctr"/>
          <a:r>
            <a:rPr lang="en-AU" sz="1050" b="1"/>
            <a:t>Team</a:t>
          </a:r>
        </a:p>
        <a:p>
          <a:pPr algn="ctr"/>
          <a:r>
            <a:rPr lang="en-AU" sz="1000"/>
            <a:t>Train on Bystander intervention</a:t>
          </a:r>
        </a:p>
      </dgm:t>
    </dgm:pt>
    <dgm:pt modelId="{A18B4A10-FB08-48A3-9557-07C4481AE6F0}" type="parTrans" cxnId="{5793E7F9-D65D-45FC-8FC3-E93FE08EF181}">
      <dgm:prSet/>
      <dgm:spPr/>
      <dgm:t>
        <a:bodyPr/>
        <a:lstStyle/>
        <a:p>
          <a:pPr algn="ctr"/>
          <a:endParaRPr lang="en-AU"/>
        </a:p>
      </dgm:t>
    </dgm:pt>
    <dgm:pt modelId="{6613034C-4FC5-4B95-80D0-CFC1112DDA82}" type="sibTrans" cxnId="{5793E7F9-D65D-45FC-8FC3-E93FE08EF181}">
      <dgm:prSet/>
      <dgm:spPr/>
      <dgm:t>
        <a:bodyPr/>
        <a:lstStyle/>
        <a:p>
          <a:pPr algn="ctr"/>
          <a:endParaRPr lang="en-AU"/>
        </a:p>
      </dgm:t>
    </dgm:pt>
    <dgm:pt modelId="{B62B81B8-EA95-47BB-A8FC-D310BD9BB408}">
      <dgm:prSet custT="1"/>
      <dgm:spPr/>
      <dgm:t>
        <a:bodyPr/>
        <a:lstStyle/>
        <a:p>
          <a:pPr algn="ctr"/>
          <a:r>
            <a:rPr lang="en-AU" sz="1100" b="1"/>
            <a:t>Individual</a:t>
          </a:r>
        </a:p>
        <a:p>
          <a:pPr algn="ctr"/>
          <a:r>
            <a:rPr lang="en-AU" sz="1000"/>
            <a:t>Engage staff to identify and prevent SH</a:t>
          </a:r>
        </a:p>
      </dgm:t>
    </dgm:pt>
    <dgm:pt modelId="{97773CE9-9E62-431E-8290-EB23DD7A4257}" type="parTrans" cxnId="{A0E8BCFB-42F2-4B3A-A0F0-0B019C307C7F}">
      <dgm:prSet/>
      <dgm:spPr/>
      <dgm:t>
        <a:bodyPr/>
        <a:lstStyle/>
        <a:p>
          <a:pPr algn="ctr"/>
          <a:endParaRPr lang="en-AU"/>
        </a:p>
      </dgm:t>
    </dgm:pt>
    <dgm:pt modelId="{D88E7A0B-0D81-4632-B126-85CC9187A6D4}" type="sibTrans" cxnId="{A0E8BCFB-42F2-4B3A-A0F0-0B019C307C7F}">
      <dgm:prSet/>
      <dgm:spPr/>
      <dgm:t>
        <a:bodyPr/>
        <a:lstStyle/>
        <a:p>
          <a:pPr algn="ctr"/>
          <a:endParaRPr lang="en-AU"/>
        </a:p>
      </dgm:t>
    </dgm:pt>
    <dgm:pt modelId="{A8C13E52-5642-4B9A-9FA3-E53074198444}">
      <dgm:prSet custT="1"/>
      <dgm:spPr/>
      <dgm:t>
        <a:bodyPr/>
        <a:lstStyle/>
        <a:p>
          <a:pPr algn="ctr"/>
          <a:r>
            <a:rPr lang="en-AU" sz="1100" b="1"/>
            <a:t>Individual</a:t>
          </a:r>
        </a:p>
        <a:p>
          <a:pPr algn="ctr"/>
          <a:r>
            <a:rPr lang="en-AU" sz="1000"/>
            <a:t>Training for instigators</a:t>
          </a:r>
        </a:p>
      </dgm:t>
    </dgm:pt>
    <dgm:pt modelId="{6648CABB-E982-4C0C-AA22-318979EE1201}" type="parTrans" cxnId="{832330DA-6223-454F-ACA7-F3D5751F7F0F}">
      <dgm:prSet/>
      <dgm:spPr/>
      <dgm:t>
        <a:bodyPr/>
        <a:lstStyle/>
        <a:p>
          <a:pPr algn="ctr"/>
          <a:endParaRPr lang="en-AU"/>
        </a:p>
      </dgm:t>
    </dgm:pt>
    <dgm:pt modelId="{356D7F6A-CF63-4D13-87E8-82BC78EF7EA2}" type="sibTrans" cxnId="{832330DA-6223-454F-ACA7-F3D5751F7F0F}">
      <dgm:prSet/>
      <dgm:spPr/>
      <dgm:t>
        <a:bodyPr/>
        <a:lstStyle/>
        <a:p>
          <a:pPr algn="ctr"/>
          <a:endParaRPr lang="en-AU"/>
        </a:p>
      </dgm:t>
    </dgm:pt>
    <dgm:pt modelId="{E1E39F71-06BA-4EB2-9E9A-4E8AE26DB618}" type="pres">
      <dgm:prSet presAssocID="{132A55EF-CE63-48D1-BFCB-2032148C9D78}" presName="Name0" presStyleCnt="0">
        <dgm:presLayoutVars>
          <dgm:dir/>
          <dgm:animLvl val="lvl"/>
          <dgm:resizeHandles val="exact"/>
        </dgm:presLayoutVars>
      </dgm:prSet>
      <dgm:spPr/>
    </dgm:pt>
    <dgm:pt modelId="{F9FEBEA8-75E7-44B4-8A5A-B8FB6C0ACAB1}" type="pres">
      <dgm:prSet presAssocID="{C02C270C-FAB8-428C-B99C-9B0D30536F1F}" presName="vertFlow" presStyleCnt="0"/>
      <dgm:spPr/>
    </dgm:pt>
    <dgm:pt modelId="{8BCE1C72-219D-4A98-A54B-82251F518AAA}" type="pres">
      <dgm:prSet presAssocID="{C02C270C-FAB8-428C-B99C-9B0D30536F1F}" presName="header" presStyleLbl="node1" presStyleIdx="0" presStyleCnt="2" custScaleX="142518"/>
      <dgm:spPr>
        <a:prstGeom prst="rect">
          <a:avLst/>
        </a:prstGeom>
      </dgm:spPr>
    </dgm:pt>
    <dgm:pt modelId="{870F870C-4507-402B-B8A2-4DBEBFBDEBBF}" type="pres">
      <dgm:prSet presAssocID="{1B567E1E-1FAC-4E6B-9FA8-D343B8A56D11}" presName="parTrans" presStyleLbl="sibTrans2D1" presStyleIdx="0" presStyleCnt="6"/>
      <dgm:spPr/>
    </dgm:pt>
    <dgm:pt modelId="{76847B01-59B0-4067-BC87-35D7921BE53C}" type="pres">
      <dgm:prSet presAssocID="{E8D4344F-CB34-40EB-BD9A-DD3F7AAD7EE0}" presName="child" presStyleLbl="alignAccFollowNode1" presStyleIdx="0" presStyleCnt="6" custScaleX="142518" custScaleY="177329">
        <dgm:presLayoutVars>
          <dgm:chMax val="0"/>
          <dgm:bulletEnabled val="1"/>
        </dgm:presLayoutVars>
      </dgm:prSet>
      <dgm:spPr>
        <a:prstGeom prst="rect">
          <a:avLst/>
        </a:prstGeom>
      </dgm:spPr>
    </dgm:pt>
    <dgm:pt modelId="{26D96034-6399-4D8F-A768-8FF809BB075F}" type="pres">
      <dgm:prSet presAssocID="{AFC1B64F-150B-4B9E-BF70-8A565FB86C6E}" presName="sibTrans" presStyleLbl="sibTrans2D1" presStyleIdx="1" presStyleCnt="6"/>
      <dgm:spPr/>
    </dgm:pt>
    <dgm:pt modelId="{16D6FD6A-66F5-43F2-9273-80666BF3F23B}" type="pres">
      <dgm:prSet presAssocID="{A8A3255C-0C95-43A4-BA42-123D9FBDB84E}" presName="child" presStyleLbl="alignAccFollowNode1" presStyleIdx="1" presStyleCnt="6" custScaleX="142518" custScaleY="231150" custLinFactY="5562" custLinFactNeighborX="-95" custLinFactNeighborY="100000">
        <dgm:presLayoutVars>
          <dgm:chMax val="0"/>
          <dgm:bulletEnabled val="1"/>
        </dgm:presLayoutVars>
      </dgm:prSet>
      <dgm:spPr>
        <a:prstGeom prst="rect">
          <a:avLst/>
        </a:prstGeom>
      </dgm:spPr>
    </dgm:pt>
    <dgm:pt modelId="{CDB5C2B6-D8CC-4081-9EB0-FAFB0A38666A}" type="pres">
      <dgm:prSet presAssocID="{4937B964-38DF-4BCE-9D31-0B1F24FB5527}" presName="sibTrans" presStyleLbl="sibTrans2D1" presStyleIdx="2" presStyleCnt="6"/>
      <dgm:spPr/>
    </dgm:pt>
    <dgm:pt modelId="{4A6E08F0-1F19-4189-A068-AF471075C3BC}" type="pres">
      <dgm:prSet presAssocID="{B62B81B8-EA95-47BB-A8FC-D310BD9BB408}" presName="child" presStyleLbl="alignAccFollowNode1" presStyleIdx="2" presStyleCnt="6" custScaleX="142518" custScaleY="99918" custLinFactY="14874" custLinFactNeighborX="-22" custLinFactNeighborY="100000">
        <dgm:presLayoutVars>
          <dgm:chMax val="0"/>
          <dgm:bulletEnabled val="1"/>
        </dgm:presLayoutVars>
      </dgm:prSet>
      <dgm:spPr>
        <a:prstGeom prst="rect">
          <a:avLst/>
        </a:prstGeom>
      </dgm:spPr>
    </dgm:pt>
    <dgm:pt modelId="{699E5EA6-9296-4722-9B05-1789099B6367}" type="pres">
      <dgm:prSet presAssocID="{C02C270C-FAB8-428C-B99C-9B0D30536F1F}" presName="hSp" presStyleCnt="0"/>
      <dgm:spPr/>
    </dgm:pt>
    <dgm:pt modelId="{97FBDAA4-E355-4DC3-8952-4B1FA57AD1D6}" type="pres">
      <dgm:prSet presAssocID="{607FDB23-A741-4DF3-96CF-881D8942572F}" presName="vertFlow" presStyleCnt="0"/>
      <dgm:spPr/>
    </dgm:pt>
    <dgm:pt modelId="{0C801A0D-C3F5-4AD7-974E-0FA3E2C82B80}" type="pres">
      <dgm:prSet presAssocID="{607FDB23-A741-4DF3-96CF-881D8942572F}" presName="header" presStyleLbl="node1" presStyleIdx="1" presStyleCnt="2" custScaleX="142518" custLinFactNeighborX="-8656"/>
      <dgm:spPr>
        <a:prstGeom prst="rect">
          <a:avLst/>
        </a:prstGeom>
      </dgm:spPr>
    </dgm:pt>
    <dgm:pt modelId="{EFAC83C2-62D0-44F4-A3F2-1254EEE3A8B8}" type="pres">
      <dgm:prSet presAssocID="{28EAC98D-12C5-4CF0-BC22-23F0D1FC16DB}" presName="parTrans" presStyleLbl="sibTrans2D1" presStyleIdx="3" presStyleCnt="6"/>
      <dgm:spPr/>
    </dgm:pt>
    <dgm:pt modelId="{AB096BE8-5593-4EB0-8977-58C541EDF23E}" type="pres">
      <dgm:prSet presAssocID="{BE02E629-8DB2-478F-BF88-1A8C79CC05CF}" presName="child" presStyleLbl="alignAccFollowNode1" presStyleIdx="3" presStyleCnt="6" custScaleX="142518" custScaleY="216052" custLinFactNeighborX="-8656">
        <dgm:presLayoutVars>
          <dgm:chMax val="0"/>
          <dgm:bulletEnabled val="1"/>
        </dgm:presLayoutVars>
      </dgm:prSet>
      <dgm:spPr>
        <a:prstGeom prst="rect">
          <a:avLst/>
        </a:prstGeom>
      </dgm:spPr>
    </dgm:pt>
    <dgm:pt modelId="{9F6FE96A-E19B-4FC6-AD1A-742AF271B11D}" type="pres">
      <dgm:prSet presAssocID="{7DF32722-D103-4BF5-820B-FC87943EFEBD}" presName="sibTrans" presStyleLbl="sibTrans2D1" presStyleIdx="4" presStyleCnt="6"/>
      <dgm:spPr/>
    </dgm:pt>
    <dgm:pt modelId="{316CB449-F3D8-4368-8B38-8276802DE2B8}" type="pres">
      <dgm:prSet presAssocID="{45B4DF50-0520-4780-9FED-DBE76F225B43}" presName="child" presStyleLbl="alignAccFollowNode1" presStyleIdx="4" presStyleCnt="6" custScaleX="142518" custScaleY="94458" custLinFactNeighborX="-8656" custLinFactNeighborY="4634">
        <dgm:presLayoutVars>
          <dgm:chMax val="0"/>
          <dgm:bulletEnabled val="1"/>
        </dgm:presLayoutVars>
      </dgm:prSet>
      <dgm:spPr>
        <a:prstGeom prst="rect">
          <a:avLst/>
        </a:prstGeom>
      </dgm:spPr>
    </dgm:pt>
    <dgm:pt modelId="{FD8CB926-6ED1-4FF2-B319-9AB04E811E59}" type="pres">
      <dgm:prSet presAssocID="{6613034C-4FC5-4B95-80D0-CFC1112DDA82}" presName="sibTrans" presStyleLbl="sibTrans2D1" presStyleIdx="5" presStyleCnt="6" custScaleY="83919"/>
      <dgm:spPr/>
    </dgm:pt>
    <dgm:pt modelId="{212974A6-E5A3-4D2A-B3B5-32C4B717E2B0}" type="pres">
      <dgm:prSet presAssocID="{A8C13E52-5642-4B9A-9FA3-E53074198444}" presName="child" presStyleLbl="alignAccFollowNode1" presStyleIdx="5" presStyleCnt="6" custScaleX="142518" custScaleY="99864" custLinFactY="100000" custLinFactNeighborX="-9508" custLinFactNeighborY="117440">
        <dgm:presLayoutVars>
          <dgm:chMax val="0"/>
          <dgm:bulletEnabled val="1"/>
        </dgm:presLayoutVars>
      </dgm:prSet>
      <dgm:spPr>
        <a:prstGeom prst="rect">
          <a:avLst/>
        </a:prstGeom>
      </dgm:spPr>
    </dgm:pt>
  </dgm:ptLst>
  <dgm:cxnLst>
    <dgm:cxn modelId="{789A2908-0BD0-42D1-B583-A1743BAC8C15}" type="presOf" srcId="{E8D4344F-CB34-40EB-BD9A-DD3F7AAD7EE0}" destId="{76847B01-59B0-4067-BC87-35D7921BE53C}" srcOrd="0" destOrd="0" presId="urn:microsoft.com/office/officeart/2005/8/layout/lProcess1"/>
    <dgm:cxn modelId="{EA656828-4D1B-46C3-B7FC-D4AC27DB921C}" srcId="{607FDB23-A741-4DF3-96CF-881D8942572F}" destId="{BE02E629-8DB2-478F-BF88-1A8C79CC05CF}" srcOrd="0" destOrd="0" parTransId="{28EAC98D-12C5-4CF0-BC22-23F0D1FC16DB}" sibTransId="{7DF32722-D103-4BF5-820B-FC87943EFEBD}"/>
    <dgm:cxn modelId="{99CF0535-9983-43AE-8020-88BB8A19D8C0}" type="presOf" srcId="{132A55EF-CE63-48D1-BFCB-2032148C9D78}" destId="{E1E39F71-06BA-4EB2-9E9A-4E8AE26DB618}" srcOrd="0" destOrd="0" presId="urn:microsoft.com/office/officeart/2005/8/layout/lProcess1"/>
    <dgm:cxn modelId="{E0980164-6C6C-4461-BB73-3D159C5FBB7E}" type="presOf" srcId="{7DF32722-D103-4BF5-820B-FC87943EFEBD}" destId="{9F6FE96A-E19B-4FC6-AD1A-742AF271B11D}" srcOrd="0" destOrd="0" presId="urn:microsoft.com/office/officeart/2005/8/layout/lProcess1"/>
    <dgm:cxn modelId="{796A784C-3A4B-413A-A72C-EA6AF937DE14}" srcId="{C02C270C-FAB8-428C-B99C-9B0D30536F1F}" destId="{E8D4344F-CB34-40EB-BD9A-DD3F7AAD7EE0}" srcOrd="0" destOrd="0" parTransId="{1B567E1E-1FAC-4E6B-9FA8-D343B8A56D11}" sibTransId="{AFC1B64F-150B-4B9E-BF70-8A565FB86C6E}"/>
    <dgm:cxn modelId="{4D71E54D-7178-4288-BF13-AD3ED3C9FFF8}" type="presOf" srcId="{A8C13E52-5642-4B9A-9FA3-E53074198444}" destId="{212974A6-E5A3-4D2A-B3B5-32C4B717E2B0}" srcOrd="0" destOrd="0" presId="urn:microsoft.com/office/officeart/2005/8/layout/lProcess1"/>
    <dgm:cxn modelId="{D0B73B99-21A8-4ACC-87FB-FF30DBF9CD33}" type="presOf" srcId="{607FDB23-A741-4DF3-96CF-881D8942572F}" destId="{0C801A0D-C3F5-4AD7-974E-0FA3E2C82B80}" srcOrd="0" destOrd="0" presId="urn:microsoft.com/office/officeart/2005/8/layout/lProcess1"/>
    <dgm:cxn modelId="{6B9FE2A7-233D-49D8-AA1E-7ACBC9141240}" type="presOf" srcId="{AFC1B64F-150B-4B9E-BF70-8A565FB86C6E}" destId="{26D96034-6399-4D8F-A768-8FF809BB075F}" srcOrd="0" destOrd="0" presId="urn:microsoft.com/office/officeart/2005/8/layout/lProcess1"/>
    <dgm:cxn modelId="{41E4F1A7-3129-4800-8007-38ADBE0D0F94}" type="presOf" srcId="{4937B964-38DF-4BCE-9D31-0B1F24FB5527}" destId="{CDB5C2B6-D8CC-4081-9EB0-FAFB0A38666A}" srcOrd="0" destOrd="0" presId="urn:microsoft.com/office/officeart/2005/8/layout/lProcess1"/>
    <dgm:cxn modelId="{C11701AA-82B2-4212-BA57-4673EC037AEE}" type="presOf" srcId="{B62B81B8-EA95-47BB-A8FC-D310BD9BB408}" destId="{4A6E08F0-1F19-4189-A068-AF471075C3BC}" srcOrd="0" destOrd="0" presId="urn:microsoft.com/office/officeart/2005/8/layout/lProcess1"/>
    <dgm:cxn modelId="{25B6ECC1-56D4-4CA7-B821-BFD145919E97}" type="presOf" srcId="{C02C270C-FAB8-428C-B99C-9B0D30536F1F}" destId="{8BCE1C72-219D-4A98-A54B-82251F518AAA}" srcOrd="0" destOrd="0" presId="urn:microsoft.com/office/officeart/2005/8/layout/lProcess1"/>
    <dgm:cxn modelId="{919E64CC-576D-4D74-A967-381D75DB838F}" type="presOf" srcId="{28EAC98D-12C5-4CF0-BC22-23F0D1FC16DB}" destId="{EFAC83C2-62D0-44F4-A3F2-1254EEE3A8B8}" srcOrd="0" destOrd="0" presId="urn:microsoft.com/office/officeart/2005/8/layout/lProcess1"/>
    <dgm:cxn modelId="{0D23ADD3-F81C-4B99-9057-D1369D3649DD}" type="presOf" srcId="{1B567E1E-1FAC-4E6B-9FA8-D343B8A56D11}" destId="{870F870C-4507-402B-B8A2-4DBEBFBDEBBF}" srcOrd="0" destOrd="0" presId="urn:microsoft.com/office/officeart/2005/8/layout/lProcess1"/>
    <dgm:cxn modelId="{832330DA-6223-454F-ACA7-F3D5751F7F0F}" srcId="{607FDB23-A741-4DF3-96CF-881D8942572F}" destId="{A8C13E52-5642-4B9A-9FA3-E53074198444}" srcOrd="2" destOrd="0" parTransId="{6648CABB-E982-4C0C-AA22-318979EE1201}" sibTransId="{356D7F6A-CF63-4D13-87E8-82BC78EF7EA2}"/>
    <dgm:cxn modelId="{A056F9E6-F9FB-42A5-B131-CF1A2676E844}" type="presOf" srcId="{A8A3255C-0C95-43A4-BA42-123D9FBDB84E}" destId="{16D6FD6A-66F5-43F2-9273-80666BF3F23B}" srcOrd="0" destOrd="0" presId="urn:microsoft.com/office/officeart/2005/8/layout/lProcess1"/>
    <dgm:cxn modelId="{690897E8-487F-4ED7-9784-2C7F1456C35A}" type="presOf" srcId="{6613034C-4FC5-4B95-80D0-CFC1112DDA82}" destId="{FD8CB926-6ED1-4FF2-B319-9AB04E811E59}" srcOrd="0" destOrd="0" presId="urn:microsoft.com/office/officeart/2005/8/layout/lProcess1"/>
    <dgm:cxn modelId="{96F9FEEF-46C4-4A7D-98FF-3A9854BA619E}" srcId="{C02C270C-FAB8-428C-B99C-9B0D30536F1F}" destId="{A8A3255C-0C95-43A4-BA42-123D9FBDB84E}" srcOrd="1" destOrd="0" parTransId="{17D856EB-D1A8-4C96-865E-35CC44820FC1}" sibTransId="{4937B964-38DF-4BCE-9D31-0B1F24FB5527}"/>
    <dgm:cxn modelId="{633B46F2-7288-484A-B729-13D3A60BE084}" srcId="{132A55EF-CE63-48D1-BFCB-2032148C9D78}" destId="{C02C270C-FAB8-428C-B99C-9B0D30536F1F}" srcOrd="0" destOrd="0" parTransId="{A00208F7-8E63-437F-A536-67F695139E3F}" sibTransId="{CDD22CDE-535B-4958-917C-E859AF73070A}"/>
    <dgm:cxn modelId="{3F5ABAF5-C02F-4A2F-BA32-378AC6C3BE49}" srcId="{132A55EF-CE63-48D1-BFCB-2032148C9D78}" destId="{607FDB23-A741-4DF3-96CF-881D8942572F}" srcOrd="1" destOrd="0" parTransId="{78D958D8-83CA-451B-878E-F521CB7AAAE4}" sibTransId="{EF2C153C-4D41-4EF2-9CE2-2D2DE4B4B969}"/>
    <dgm:cxn modelId="{75F929F6-8FA0-4722-AA71-B2B72DA0F0EE}" type="presOf" srcId="{BE02E629-8DB2-478F-BF88-1A8C79CC05CF}" destId="{AB096BE8-5593-4EB0-8977-58C541EDF23E}" srcOrd="0" destOrd="0" presId="urn:microsoft.com/office/officeart/2005/8/layout/lProcess1"/>
    <dgm:cxn modelId="{5793E7F9-D65D-45FC-8FC3-E93FE08EF181}" srcId="{607FDB23-A741-4DF3-96CF-881D8942572F}" destId="{45B4DF50-0520-4780-9FED-DBE76F225B43}" srcOrd="1" destOrd="0" parTransId="{A18B4A10-FB08-48A3-9557-07C4481AE6F0}" sibTransId="{6613034C-4FC5-4B95-80D0-CFC1112DDA82}"/>
    <dgm:cxn modelId="{D459D1FA-4341-490E-B855-558F9BD16475}" type="presOf" srcId="{45B4DF50-0520-4780-9FED-DBE76F225B43}" destId="{316CB449-F3D8-4368-8B38-8276802DE2B8}" srcOrd="0" destOrd="0" presId="urn:microsoft.com/office/officeart/2005/8/layout/lProcess1"/>
    <dgm:cxn modelId="{A0E8BCFB-42F2-4B3A-A0F0-0B019C307C7F}" srcId="{C02C270C-FAB8-428C-B99C-9B0D30536F1F}" destId="{B62B81B8-EA95-47BB-A8FC-D310BD9BB408}" srcOrd="2" destOrd="0" parTransId="{97773CE9-9E62-431E-8290-EB23DD7A4257}" sibTransId="{D88E7A0B-0D81-4632-B126-85CC9187A6D4}"/>
    <dgm:cxn modelId="{BE3652BC-884D-4C49-8499-CFB30FE4DE86}" type="presParOf" srcId="{E1E39F71-06BA-4EB2-9E9A-4E8AE26DB618}" destId="{F9FEBEA8-75E7-44B4-8A5A-B8FB6C0ACAB1}" srcOrd="0" destOrd="0" presId="urn:microsoft.com/office/officeart/2005/8/layout/lProcess1"/>
    <dgm:cxn modelId="{BFD56A87-634F-4EE1-8189-1D037E669406}" type="presParOf" srcId="{F9FEBEA8-75E7-44B4-8A5A-B8FB6C0ACAB1}" destId="{8BCE1C72-219D-4A98-A54B-82251F518AAA}" srcOrd="0" destOrd="0" presId="urn:microsoft.com/office/officeart/2005/8/layout/lProcess1"/>
    <dgm:cxn modelId="{9E4427CE-60AE-4DD4-B3F7-7A27BB44EEFC}" type="presParOf" srcId="{F9FEBEA8-75E7-44B4-8A5A-B8FB6C0ACAB1}" destId="{870F870C-4507-402B-B8A2-4DBEBFBDEBBF}" srcOrd="1" destOrd="0" presId="urn:microsoft.com/office/officeart/2005/8/layout/lProcess1"/>
    <dgm:cxn modelId="{8D54C860-EFF9-4F1D-9A52-8546A0ED822B}" type="presParOf" srcId="{F9FEBEA8-75E7-44B4-8A5A-B8FB6C0ACAB1}" destId="{76847B01-59B0-4067-BC87-35D7921BE53C}" srcOrd="2" destOrd="0" presId="urn:microsoft.com/office/officeart/2005/8/layout/lProcess1"/>
    <dgm:cxn modelId="{FF26B827-97E1-42B2-B8B3-D642290FB52A}" type="presParOf" srcId="{F9FEBEA8-75E7-44B4-8A5A-B8FB6C0ACAB1}" destId="{26D96034-6399-4D8F-A768-8FF809BB075F}" srcOrd="3" destOrd="0" presId="urn:microsoft.com/office/officeart/2005/8/layout/lProcess1"/>
    <dgm:cxn modelId="{D606C83C-DFF1-4772-888D-BA7277F22C9F}" type="presParOf" srcId="{F9FEBEA8-75E7-44B4-8A5A-B8FB6C0ACAB1}" destId="{16D6FD6A-66F5-43F2-9273-80666BF3F23B}" srcOrd="4" destOrd="0" presId="urn:microsoft.com/office/officeart/2005/8/layout/lProcess1"/>
    <dgm:cxn modelId="{D25A17E2-24DC-4746-B528-A8498CC2526E}" type="presParOf" srcId="{F9FEBEA8-75E7-44B4-8A5A-B8FB6C0ACAB1}" destId="{CDB5C2B6-D8CC-4081-9EB0-FAFB0A38666A}" srcOrd="5" destOrd="0" presId="urn:microsoft.com/office/officeart/2005/8/layout/lProcess1"/>
    <dgm:cxn modelId="{9CE8AB5B-5C8E-4BED-BF15-48EE5DDD0C2D}" type="presParOf" srcId="{F9FEBEA8-75E7-44B4-8A5A-B8FB6C0ACAB1}" destId="{4A6E08F0-1F19-4189-A068-AF471075C3BC}" srcOrd="6" destOrd="0" presId="urn:microsoft.com/office/officeart/2005/8/layout/lProcess1"/>
    <dgm:cxn modelId="{3892DB9B-E102-4730-92D7-C4ACB471A99B}" type="presParOf" srcId="{E1E39F71-06BA-4EB2-9E9A-4E8AE26DB618}" destId="{699E5EA6-9296-4722-9B05-1789099B6367}" srcOrd="1" destOrd="0" presId="urn:microsoft.com/office/officeart/2005/8/layout/lProcess1"/>
    <dgm:cxn modelId="{47D1ED8E-97DB-4A57-BEDB-423829E97A4E}" type="presParOf" srcId="{E1E39F71-06BA-4EB2-9E9A-4E8AE26DB618}" destId="{97FBDAA4-E355-4DC3-8952-4B1FA57AD1D6}" srcOrd="2" destOrd="0" presId="urn:microsoft.com/office/officeart/2005/8/layout/lProcess1"/>
    <dgm:cxn modelId="{B905C6B0-1270-45A6-87C9-B8507B8B1556}" type="presParOf" srcId="{97FBDAA4-E355-4DC3-8952-4B1FA57AD1D6}" destId="{0C801A0D-C3F5-4AD7-974E-0FA3E2C82B80}" srcOrd="0" destOrd="0" presId="urn:microsoft.com/office/officeart/2005/8/layout/lProcess1"/>
    <dgm:cxn modelId="{0CA232FB-24EA-4EE1-B6C7-67222D30AE92}" type="presParOf" srcId="{97FBDAA4-E355-4DC3-8952-4B1FA57AD1D6}" destId="{EFAC83C2-62D0-44F4-A3F2-1254EEE3A8B8}" srcOrd="1" destOrd="0" presId="urn:microsoft.com/office/officeart/2005/8/layout/lProcess1"/>
    <dgm:cxn modelId="{54AB3DA4-559D-4917-A7AC-551B94BF536F}" type="presParOf" srcId="{97FBDAA4-E355-4DC3-8952-4B1FA57AD1D6}" destId="{AB096BE8-5593-4EB0-8977-58C541EDF23E}" srcOrd="2" destOrd="0" presId="urn:microsoft.com/office/officeart/2005/8/layout/lProcess1"/>
    <dgm:cxn modelId="{B64D22F5-0997-4B3F-82D4-71560652EC4B}" type="presParOf" srcId="{97FBDAA4-E355-4DC3-8952-4B1FA57AD1D6}" destId="{9F6FE96A-E19B-4FC6-AD1A-742AF271B11D}" srcOrd="3" destOrd="0" presId="urn:microsoft.com/office/officeart/2005/8/layout/lProcess1"/>
    <dgm:cxn modelId="{165306FB-DE6B-4D11-AA68-DF1294E80D96}" type="presParOf" srcId="{97FBDAA4-E355-4DC3-8952-4B1FA57AD1D6}" destId="{316CB449-F3D8-4368-8B38-8276802DE2B8}" srcOrd="4" destOrd="0" presId="urn:microsoft.com/office/officeart/2005/8/layout/lProcess1"/>
    <dgm:cxn modelId="{E75A1F80-B9B4-4845-86F9-0DB7516EECE9}" type="presParOf" srcId="{97FBDAA4-E355-4DC3-8952-4B1FA57AD1D6}" destId="{FD8CB926-6ED1-4FF2-B319-9AB04E811E59}" srcOrd="5" destOrd="0" presId="urn:microsoft.com/office/officeart/2005/8/layout/lProcess1"/>
    <dgm:cxn modelId="{C203D576-F058-4772-A863-5A2CAFE65B73}" type="presParOf" srcId="{97FBDAA4-E355-4DC3-8952-4B1FA57AD1D6}" destId="{212974A6-E5A3-4D2A-B3B5-32C4B717E2B0}" srcOrd="6" destOrd="0" presId="urn:microsoft.com/office/officeart/2005/8/layout/lProcess1"/>
  </dgm:cxnLst>
  <dgm:bg/>
  <dgm:whole>
    <a:ln>
      <a:noFill/>
    </a:ln>
  </dgm:whole>
  <dgm:extLst>
    <a:ext uri="http://schemas.microsoft.com/office/drawing/2008/diagram">
      <dsp:dataModelExt xmlns:dsp="http://schemas.microsoft.com/office/drawing/2008/diagram" relId="rId11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FE1E7-576E-4F09-A05B-19F1B24AD614}">
      <dsp:nvSpPr>
        <dsp:cNvPr id="0" name=""/>
        <dsp:cNvSpPr/>
      </dsp:nvSpPr>
      <dsp:spPr>
        <a:xfrm>
          <a:off x="3399230"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F19DB9-5776-4EC3-B9E8-57CA0B863086}">
      <dsp:nvSpPr>
        <dsp:cNvPr id="0" name=""/>
        <dsp:cNvSpPr/>
      </dsp:nvSpPr>
      <dsp:spPr>
        <a:xfrm>
          <a:off x="3399230"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262698-DBEA-43E3-AFD8-3FEC57EB3B58}">
      <dsp:nvSpPr>
        <dsp:cNvPr id="0" name=""/>
        <dsp:cNvSpPr/>
      </dsp:nvSpPr>
      <dsp:spPr>
        <a:xfrm>
          <a:off x="3399230"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3CE9A5-1CC2-49BE-97BD-D1FD1966CC86}">
      <dsp:nvSpPr>
        <dsp:cNvPr id="0" name=""/>
        <dsp:cNvSpPr/>
      </dsp:nvSpPr>
      <dsp:spPr>
        <a:xfrm>
          <a:off x="2623486" y="479680"/>
          <a:ext cx="1158827" cy="201118"/>
        </a:xfrm>
        <a:custGeom>
          <a:avLst/>
          <a:gdLst/>
          <a:ahLst/>
          <a:cxnLst/>
          <a:rect l="0" t="0" r="0" b="0"/>
          <a:pathLst>
            <a:path>
              <a:moveTo>
                <a:pt x="0" y="0"/>
              </a:moveTo>
              <a:lnTo>
                <a:pt x="0" y="100559"/>
              </a:lnTo>
              <a:lnTo>
                <a:pt x="1158827" y="100559"/>
              </a:lnTo>
              <a:lnTo>
                <a:pt x="1158827" y="20111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1D066D-AB88-4913-B535-B19DE65251B9}">
      <dsp:nvSpPr>
        <dsp:cNvPr id="0" name=""/>
        <dsp:cNvSpPr/>
      </dsp:nvSpPr>
      <dsp:spPr>
        <a:xfrm>
          <a:off x="2240402"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9A2BC-4232-4D75-A265-F9F8D2937FE8}">
      <dsp:nvSpPr>
        <dsp:cNvPr id="0" name=""/>
        <dsp:cNvSpPr/>
      </dsp:nvSpPr>
      <dsp:spPr>
        <a:xfrm>
          <a:off x="2240402"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0B39AD-0DF0-4D47-9DB0-C0F70CB099D8}">
      <dsp:nvSpPr>
        <dsp:cNvPr id="0" name=""/>
        <dsp:cNvSpPr/>
      </dsp:nvSpPr>
      <dsp:spPr>
        <a:xfrm>
          <a:off x="2240402"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7A603-97FF-4E76-9200-0CC02E3104C7}">
      <dsp:nvSpPr>
        <dsp:cNvPr id="0" name=""/>
        <dsp:cNvSpPr/>
      </dsp:nvSpPr>
      <dsp:spPr>
        <a:xfrm>
          <a:off x="2577766" y="479680"/>
          <a:ext cx="91440" cy="201118"/>
        </a:xfrm>
        <a:custGeom>
          <a:avLst/>
          <a:gdLst/>
          <a:ahLst/>
          <a:cxnLst/>
          <a:rect l="0" t="0" r="0" b="0"/>
          <a:pathLst>
            <a:path>
              <a:moveTo>
                <a:pt x="45720" y="0"/>
              </a:moveTo>
              <a:lnTo>
                <a:pt x="45720" y="20111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3062B8-69F9-493E-8B7F-6CD48B9EC087}">
      <dsp:nvSpPr>
        <dsp:cNvPr id="0" name=""/>
        <dsp:cNvSpPr/>
      </dsp:nvSpPr>
      <dsp:spPr>
        <a:xfrm>
          <a:off x="1081574"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6D6F8D-BD9C-4BC9-9F04-765DC6F08CFF}">
      <dsp:nvSpPr>
        <dsp:cNvPr id="0" name=""/>
        <dsp:cNvSpPr/>
      </dsp:nvSpPr>
      <dsp:spPr>
        <a:xfrm>
          <a:off x="1464658" y="479680"/>
          <a:ext cx="1158827" cy="201118"/>
        </a:xfrm>
        <a:custGeom>
          <a:avLst/>
          <a:gdLst/>
          <a:ahLst/>
          <a:cxnLst/>
          <a:rect l="0" t="0" r="0" b="0"/>
          <a:pathLst>
            <a:path>
              <a:moveTo>
                <a:pt x="1158827" y="0"/>
              </a:moveTo>
              <a:lnTo>
                <a:pt x="1158827" y="100559"/>
              </a:lnTo>
              <a:lnTo>
                <a:pt x="0" y="100559"/>
              </a:lnTo>
              <a:lnTo>
                <a:pt x="0" y="20111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1EB0C1-25CE-4FC1-BCD5-1A33CB967299}">
      <dsp:nvSpPr>
        <dsp:cNvPr id="0" name=""/>
        <dsp:cNvSpPr/>
      </dsp:nvSpPr>
      <dsp:spPr>
        <a:xfrm>
          <a:off x="2144631" y="825"/>
          <a:ext cx="957708" cy="478854"/>
        </a:xfrm>
        <a:prstGeom prst="rect">
          <a:avLst/>
        </a:prstGeom>
        <a:solidFill>
          <a:schemeClr val="accent1">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Gender Pay Gap</a:t>
          </a:r>
        </a:p>
      </dsp:txBody>
      <dsp:txXfrm>
        <a:off x="2144631" y="825"/>
        <a:ext cx="957708" cy="478854"/>
      </dsp:txXfrm>
    </dsp:sp>
    <dsp:sp modelId="{793E4E17-64D0-4C7B-AD42-25F5CC7B1416}">
      <dsp:nvSpPr>
        <dsp:cNvPr id="0" name=""/>
        <dsp:cNvSpPr/>
      </dsp:nvSpPr>
      <dsp:spPr>
        <a:xfrm>
          <a:off x="985804" y="680799"/>
          <a:ext cx="957708" cy="478854"/>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Individual gender factors</a:t>
          </a:r>
        </a:p>
      </dsp:txBody>
      <dsp:txXfrm>
        <a:off x="985804" y="680799"/>
        <a:ext cx="957708" cy="478854"/>
      </dsp:txXfrm>
    </dsp:sp>
    <dsp:sp modelId="{1AC7C032-2D1D-4A85-A815-9D81E919BC9D}">
      <dsp:nvSpPr>
        <dsp:cNvPr id="0" name=""/>
        <dsp:cNvSpPr/>
      </dsp:nvSpPr>
      <dsp:spPr>
        <a:xfrm>
          <a:off x="1225231" y="1360772"/>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Average differences in values / preferences</a:t>
          </a:r>
        </a:p>
      </dsp:txBody>
      <dsp:txXfrm>
        <a:off x="1225231" y="1360772"/>
        <a:ext cx="957708" cy="478854"/>
      </dsp:txXfrm>
    </dsp:sp>
    <dsp:sp modelId="{AC908437-B6C7-4B5A-95E5-530966B60C96}">
      <dsp:nvSpPr>
        <dsp:cNvPr id="0" name=""/>
        <dsp:cNvSpPr/>
      </dsp:nvSpPr>
      <dsp:spPr>
        <a:xfrm>
          <a:off x="2144631" y="680799"/>
          <a:ext cx="957708" cy="478854"/>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Non-organisational gender factors</a:t>
          </a:r>
        </a:p>
      </dsp:txBody>
      <dsp:txXfrm>
        <a:off x="2144631" y="680799"/>
        <a:ext cx="957708" cy="478854"/>
      </dsp:txXfrm>
    </dsp:sp>
    <dsp:sp modelId="{62424A62-80D1-40DB-AB81-E265AAEA534E}">
      <dsp:nvSpPr>
        <dsp:cNvPr id="0" name=""/>
        <dsp:cNvSpPr/>
      </dsp:nvSpPr>
      <dsp:spPr>
        <a:xfrm>
          <a:off x="2384059" y="1360772"/>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Intrahousehold income inequality</a:t>
          </a:r>
        </a:p>
      </dsp:txBody>
      <dsp:txXfrm>
        <a:off x="2384059" y="1360772"/>
        <a:ext cx="957708" cy="478854"/>
      </dsp:txXfrm>
    </dsp:sp>
    <dsp:sp modelId="{27D1F82C-8B0E-4020-B867-14199B1E9C5D}">
      <dsp:nvSpPr>
        <dsp:cNvPr id="0" name=""/>
        <dsp:cNvSpPr/>
      </dsp:nvSpPr>
      <dsp:spPr>
        <a:xfrm>
          <a:off x="2384059" y="2040746"/>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Gendered educational choices</a:t>
          </a:r>
        </a:p>
      </dsp:txBody>
      <dsp:txXfrm>
        <a:off x="2384059" y="2040746"/>
        <a:ext cx="957708" cy="478854"/>
      </dsp:txXfrm>
    </dsp:sp>
    <dsp:sp modelId="{71E14895-0B45-4C36-ABBD-A40E8791BE8D}">
      <dsp:nvSpPr>
        <dsp:cNvPr id="0" name=""/>
        <dsp:cNvSpPr/>
      </dsp:nvSpPr>
      <dsp:spPr>
        <a:xfrm>
          <a:off x="2384059" y="2720719"/>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Inadequate child care provision</a:t>
          </a:r>
        </a:p>
      </dsp:txBody>
      <dsp:txXfrm>
        <a:off x="2384059" y="2720719"/>
        <a:ext cx="957708" cy="478854"/>
      </dsp:txXfrm>
    </dsp:sp>
    <dsp:sp modelId="{450F7DCB-E2C7-4C25-9F7C-5714FB28C100}">
      <dsp:nvSpPr>
        <dsp:cNvPr id="0" name=""/>
        <dsp:cNvSpPr/>
      </dsp:nvSpPr>
      <dsp:spPr>
        <a:xfrm>
          <a:off x="3303459" y="680799"/>
          <a:ext cx="957708" cy="478854"/>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Organisational gender factors</a:t>
          </a:r>
        </a:p>
      </dsp:txBody>
      <dsp:txXfrm>
        <a:off x="3303459" y="680799"/>
        <a:ext cx="957708" cy="478854"/>
      </dsp:txXfrm>
    </dsp:sp>
    <dsp:sp modelId="{3C484519-FC29-4198-A34E-55F3F6F1EB9C}">
      <dsp:nvSpPr>
        <dsp:cNvPr id="0" name=""/>
        <dsp:cNvSpPr/>
      </dsp:nvSpPr>
      <dsp:spPr>
        <a:xfrm>
          <a:off x="3542887" y="1360772"/>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Gender bias in performance evaluation</a:t>
          </a:r>
        </a:p>
      </dsp:txBody>
      <dsp:txXfrm>
        <a:off x="3542887" y="1360772"/>
        <a:ext cx="957708" cy="478854"/>
      </dsp:txXfrm>
    </dsp:sp>
    <dsp:sp modelId="{91FF5746-7D4F-4A3B-B2A0-42886D7A0920}">
      <dsp:nvSpPr>
        <dsp:cNvPr id="0" name=""/>
        <dsp:cNvSpPr/>
      </dsp:nvSpPr>
      <dsp:spPr>
        <a:xfrm>
          <a:off x="3542887" y="2040746"/>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Undervaluing of female dominated jobs</a:t>
          </a:r>
        </a:p>
      </dsp:txBody>
      <dsp:txXfrm>
        <a:off x="3542887" y="2040746"/>
        <a:ext cx="957708" cy="478854"/>
      </dsp:txXfrm>
    </dsp:sp>
    <dsp:sp modelId="{FB8B9420-3B10-436D-A781-EFD66698C813}">
      <dsp:nvSpPr>
        <dsp:cNvPr id="0" name=""/>
        <dsp:cNvSpPr/>
      </dsp:nvSpPr>
      <dsp:spPr>
        <a:xfrm>
          <a:off x="3542887" y="2720719"/>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Disproportionate penalty for career interruption</a:t>
          </a:r>
        </a:p>
      </dsp:txBody>
      <dsp:txXfrm>
        <a:off x="3542887" y="2720719"/>
        <a:ext cx="957708" cy="4788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CE1C72-219D-4A98-A54B-82251F518AAA}">
      <dsp:nvSpPr>
        <dsp:cNvPr id="0" name=""/>
        <dsp:cNvSpPr/>
      </dsp:nvSpPr>
      <dsp:spPr>
        <a:xfrm>
          <a:off x="435" y="358570"/>
          <a:ext cx="2796240" cy="490506"/>
        </a:xfrm>
        <a:prstGeom prst="rect">
          <a:avLst/>
        </a:prstGeom>
        <a:solidFill>
          <a:srgbClr val="1C40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r>
            <a:rPr lang="en-AU" sz="2900" kern="1200"/>
            <a:t>Prevention</a:t>
          </a:r>
        </a:p>
      </dsp:txBody>
      <dsp:txXfrm>
        <a:off x="435" y="358570"/>
        <a:ext cx="2796240" cy="490506"/>
      </dsp:txXfrm>
    </dsp:sp>
    <dsp:sp modelId="{870F870C-4507-402B-B8A2-4DBEBFBDEBBF}">
      <dsp:nvSpPr>
        <dsp:cNvPr id="0" name=""/>
        <dsp:cNvSpPr/>
      </dsp:nvSpPr>
      <dsp:spPr>
        <a:xfrm rot="5400000">
          <a:off x="1355636" y="891996"/>
          <a:ext cx="85838" cy="8583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847B01-59B0-4067-BC87-35D7921BE53C}">
      <dsp:nvSpPr>
        <dsp:cNvPr id="0" name=""/>
        <dsp:cNvSpPr/>
      </dsp:nvSpPr>
      <dsp:spPr>
        <a:xfrm>
          <a:off x="435" y="1020754"/>
          <a:ext cx="2796240" cy="86981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Organisation</a:t>
          </a:r>
        </a:p>
        <a:p>
          <a:pPr marL="0" lvl="0" indent="0" algn="ctr" defTabSz="488950">
            <a:lnSpc>
              <a:spcPct val="90000"/>
            </a:lnSpc>
            <a:spcBef>
              <a:spcPct val="0"/>
            </a:spcBef>
            <a:spcAft>
              <a:spcPct val="35000"/>
            </a:spcAft>
            <a:buNone/>
          </a:pPr>
          <a:r>
            <a:rPr lang="en-AU" sz="1000" kern="1200"/>
            <a:t>Promote culture of equity and respect</a:t>
          </a:r>
        </a:p>
        <a:p>
          <a:pPr marL="0" lvl="0" indent="0" algn="ctr" defTabSz="488950">
            <a:lnSpc>
              <a:spcPct val="90000"/>
            </a:lnSpc>
            <a:spcBef>
              <a:spcPct val="0"/>
            </a:spcBef>
            <a:spcAft>
              <a:spcPct val="35000"/>
            </a:spcAft>
            <a:buNone/>
          </a:pPr>
          <a:r>
            <a:rPr lang="en-AU" sz="1000" kern="1200"/>
            <a:t>Diversify leadership and workforce</a:t>
          </a:r>
        </a:p>
        <a:p>
          <a:pPr marL="0" lvl="0" indent="0" algn="ctr" defTabSz="488950">
            <a:lnSpc>
              <a:spcPct val="90000"/>
            </a:lnSpc>
            <a:spcBef>
              <a:spcPct val="0"/>
            </a:spcBef>
            <a:spcAft>
              <a:spcPct val="35000"/>
            </a:spcAft>
            <a:buNone/>
          </a:pPr>
          <a:r>
            <a:rPr lang="en-AU" sz="1000" kern="1200"/>
            <a:t>Review SH policy </a:t>
          </a:r>
        </a:p>
      </dsp:txBody>
      <dsp:txXfrm>
        <a:off x="435" y="1020754"/>
        <a:ext cx="2796240" cy="869810"/>
      </dsp:txXfrm>
    </dsp:sp>
    <dsp:sp modelId="{26D96034-6399-4D8F-A768-8FF809BB075F}">
      <dsp:nvSpPr>
        <dsp:cNvPr id="0" name=""/>
        <dsp:cNvSpPr/>
      </dsp:nvSpPr>
      <dsp:spPr>
        <a:xfrm rot="5401091">
          <a:off x="1255959" y="2032963"/>
          <a:ext cx="284797" cy="8583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D6FD6A-66F5-43F2-9273-80666BF3F23B}">
      <dsp:nvSpPr>
        <dsp:cNvPr id="0" name=""/>
        <dsp:cNvSpPr/>
      </dsp:nvSpPr>
      <dsp:spPr>
        <a:xfrm>
          <a:off x="0" y="2261201"/>
          <a:ext cx="2796240" cy="113380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Team</a:t>
          </a:r>
        </a:p>
        <a:p>
          <a:pPr marL="0" lvl="0" indent="0" algn="ctr" defTabSz="488950">
            <a:lnSpc>
              <a:spcPct val="90000"/>
            </a:lnSpc>
            <a:spcBef>
              <a:spcPct val="0"/>
            </a:spcBef>
            <a:spcAft>
              <a:spcPct val="35000"/>
            </a:spcAft>
            <a:buNone/>
          </a:pPr>
          <a:r>
            <a:rPr lang="en-AU" sz="1000" kern="1200"/>
            <a:t>Train leaders on preventing and responding to SH</a:t>
          </a:r>
        </a:p>
        <a:p>
          <a:pPr marL="0" lvl="0" indent="0" algn="ctr" defTabSz="488950">
            <a:lnSpc>
              <a:spcPct val="90000"/>
            </a:lnSpc>
            <a:spcBef>
              <a:spcPct val="0"/>
            </a:spcBef>
            <a:spcAft>
              <a:spcPct val="35000"/>
            </a:spcAft>
            <a:buNone/>
          </a:pPr>
          <a:r>
            <a:rPr lang="en-AU" sz="1000" kern="1200"/>
            <a:t>Train staff on respectful relations, including diversity and inclusion</a:t>
          </a:r>
        </a:p>
        <a:p>
          <a:pPr marL="0" lvl="0" indent="0" algn="ctr" defTabSz="488950">
            <a:lnSpc>
              <a:spcPct val="90000"/>
            </a:lnSpc>
            <a:spcBef>
              <a:spcPct val="0"/>
            </a:spcBef>
            <a:spcAft>
              <a:spcPct val="35000"/>
            </a:spcAft>
            <a:buNone/>
          </a:pPr>
          <a:r>
            <a:rPr lang="en-AU" sz="1000" kern="1200"/>
            <a:t>Utilise innovative and empirical behaviour change interventions</a:t>
          </a:r>
        </a:p>
      </dsp:txBody>
      <dsp:txXfrm>
        <a:off x="0" y="2261201"/>
        <a:ext cx="2796240" cy="1133805"/>
      </dsp:txXfrm>
    </dsp:sp>
    <dsp:sp modelId="{CDB5C2B6-D8CC-4081-9EB0-FAFB0A38666A}">
      <dsp:nvSpPr>
        <dsp:cNvPr id="0" name=""/>
        <dsp:cNvSpPr/>
      </dsp:nvSpPr>
      <dsp:spPr>
        <a:xfrm rot="5399987">
          <a:off x="1332365" y="3460764"/>
          <a:ext cx="131514" cy="8583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6E08F0-1F19-4189-A068-AF471075C3BC}">
      <dsp:nvSpPr>
        <dsp:cNvPr id="0" name=""/>
        <dsp:cNvSpPr/>
      </dsp:nvSpPr>
      <dsp:spPr>
        <a:xfrm>
          <a:off x="3" y="3612360"/>
          <a:ext cx="2796240" cy="49010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Individual</a:t>
          </a:r>
        </a:p>
        <a:p>
          <a:pPr marL="0" lvl="0" indent="0" algn="ctr" defTabSz="488950">
            <a:lnSpc>
              <a:spcPct val="90000"/>
            </a:lnSpc>
            <a:spcBef>
              <a:spcPct val="0"/>
            </a:spcBef>
            <a:spcAft>
              <a:spcPct val="35000"/>
            </a:spcAft>
            <a:buNone/>
          </a:pPr>
          <a:r>
            <a:rPr lang="en-AU" sz="1000" kern="1200"/>
            <a:t>Engage staff to identify and prevent SH</a:t>
          </a:r>
        </a:p>
      </dsp:txBody>
      <dsp:txXfrm>
        <a:off x="3" y="3612360"/>
        <a:ext cx="2796240" cy="490104"/>
      </dsp:txXfrm>
    </dsp:sp>
    <dsp:sp modelId="{0C801A0D-C3F5-4AD7-974E-0FA3E2C82B80}">
      <dsp:nvSpPr>
        <dsp:cNvPr id="0" name=""/>
        <dsp:cNvSpPr/>
      </dsp:nvSpPr>
      <dsp:spPr>
        <a:xfrm>
          <a:off x="2901526" y="358570"/>
          <a:ext cx="2796240" cy="490506"/>
        </a:xfrm>
        <a:prstGeom prst="rect">
          <a:avLst/>
        </a:prstGeom>
        <a:solidFill>
          <a:srgbClr val="1C40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r>
            <a:rPr lang="en-AU" sz="2900" kern="1200"/>
            <a:t>Management</a:t>
          </a:r>
        </a:p>
      </dsp:txBody>
      <dsp:txXfrm>
        <a:off x="2901526" y="358570"/>
        <a:ext cx="2796240" cy="490506"/>
      </dsp:txXfrm>
    </dsp:sp>
    <dsp:sp modelId="{EFAC83C2-62D0-44F4-A3F2-1254EEE3A8B8}">
      <dsp:nvSpPr>
        <dsp:cNvPr id="0" name=""/>
        <dsp:cNvSpPr/>
      </dsp:nvSpPr>
      <dsp:spPr>
        <a:xfrm rot="5400000">
          <a:off x="4256727" y="891996"/>
          <a:ext cx="85838" cy="8583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096BE8-5593-4EB0-8977-58C541EDF23E}">
      <dsp:nvSpPr>
        <dsp:cNvPr id="0" name=""/>
        <dsp:cNvSpPr/>
      </dsp:nvSpPr>
      <dsp:spPr>
        <a:xfrm>
          <a:off x="2901526" y="1020754"/>
          <a:ext cx="2796240" cy="10597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Organisation</a:t>
          </a:r>
        </a:p>
        <a:p>
          <a:pPr marL="0" lvl="0" indent="0" algn="ctr" defTabSz="488950">
            <a:lnSpc>
              <a:spcPct val="90000"/>
            </a:lnSpc>
            <a:spcBef>
              <a:spcPct val="0"/>
            </a:spcBef>
            <a:spcAft>
              <a:spcPct val="35000"/>
            </a:spcAft>
            <a:buNone/>
          </a:pPr>
          <a:r>
            <a:rPr lang="en-AU" sz="1000" kern="1200"/>
            <a:t>Eliminate barriers to reporting SH</a:t>
          </a:r>
        </a:p>
        <a:p>
          <a:pPr marL="0" lvl="0" indent="0" algn="ctr" defTabSz="488950">
            <a:lnSpc>
              <a:spcPct val="90000"/>
            </a:lnSpc>
            <a:spcBef>
              <a:spcPct val="0"/>
            </a:spcBef>
            <a:spcAft>
              <a:spcPct val="35000"/>
            </a:spcAft>
            <a:buNone/>
          </a:pPr>
          <a:r>
            <a:rPr lang="en-AU" sz="1000" kern="1200"/>
            <a:t>Robust, independent management of reports</a:t>
          </a:r>
        </a:p>
        <a:p>
          <a:pPr marL="0" lvl="0" indent="0" algn="ctr" defTabSz="488950">
            <a:lnSpc>
              <a:spcPct val="90000"/>
            </a:lnSpc>
            <a:spcBef>
              <a:spcPct val="0"/>
            </a:spcBef>
            <a:spcAft>
              <a:spcPct val="35000"/>
            </a:spcAft>
            <a:buNone/>
          </a:pPr>
          <a:r>
            <a:rPr lang="en-AU" sz="1000" kern="1200"/>
            <a:t>Introduce relevant flexible working arrangements</a:t>
          </a:r>
        </a:p>
        <a:p>
          <a:pPr marL="0" lvl="0" indent="0" algn="ctr" defTabSz="488950">
            <a:lnSpc>
              <a:spcPct val="90000"/>
            </a:lnSpc>
            <a:spcBef>
              <a:spcPct val="0"/>
            </a:spcBef>
            <a:spcAft>
              <a:spcPct val="35000"/>
            </a:spcAft>
            <a:buNone/>
          </a:pPr>
          <a:r>
            <a:rPr lang="en-AU" sz="1000" kern="1200"/>
            <a:t>Transparent review processes</a:t>
          </a:r>
        </a:p>
      </dsp:txBody>
      <dsp:txXfrm>
        <a:off x="2901526" y="1020754"/>
        <a:ext cx="2796240" cy="1059749"/>
      </dsp:txXfrm>
    </dsp:sp>
    <dsp:sp modelId="{9F6FE96A-E19B-4FC6-AD1A-742AF271B11D}">
      <dsp:nvSpPr>
        <dsp:cNvPr id="0" name=""/>
        <dsp:cNvSpPr/>
      </dsp:nvSpPr>
      <dsp:spPr>
        <a:xfrm rot="5400000">
          <a:off x="4251987" y="2128162"/>
          <a:ext cx="95318" cy="8583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6CB449-F3D8-4368-8B38-8276802DE2B8}">
      <dsp:nvSpPr>
        <dsp:cNvPr id="0" name=""/>
        <dsp:cNvSpPr/>
      </dsp:nvSpPr>
      <dsp:spPr>
        <a:xfrm>
          <a:off x="2901526" y="2261660"/>
          <a:ext cx="2796240" cy="46332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AU" sz="1050" b="1" kern="1200"/>
            <a:t>Team</a:t>
          </a:r>
        </a:p>
        <a:p>
          <a:pPr marL="0" lvl="0" indent="0" algn="ctr" defTabSz="466725">
            <a:lnSpc>
              <a:spcPct val="90000"/>
            </a:lnSpc>
            <a:spcBef>
              <a:spcPct val="0"/>
            </a:spcBef>
            <a:spcAft>
              <a:spcPct val="35000"/>
            </a:spcAft>
            <a:buNone/>
          </a:pPr>
          <a:r>
            <a:rPr lang="en-AU" sz="1000" kern="1200"/>
            <a:t>Train on Bystander intervention</a:t>
          </a:r>
        </a:p>
      </dsp:txBody>
      <dsp:txXfrm>
        <a:off x="2901526" y="2261660"/>
        <a:ext cx="2796240" cy="463322"/>
      </dsp:txXfrm>
    </dsp:sp>
    <dsp:sp modelId="{FD8CB926-6ED1-4FF2-B319-9AB04E811E59}">
      <dsp:nvSpPr>
        <dsp:cNvPr id="0" name=""/>
        <dsp:cNvSpPr/>
      </dsp:nvSpPr>
      <dsp:spPr>
        <a:xfrm rot="5441959">
          <a:off x="3887776" y="3135444"/>
          <a:ext cx="807184" cy="7203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2974A6-E5A3-4D2A-B3B5-32C4B717E2B0}">
      <dsp:nvSpPr>
        <dsp:cNvPr id="0" name=""/>
        <dsp:cNvSpPr/>
      </dsp:nvSpPr>
      <dsp:spPr>
        <a:xfrm>
          <a:off x="2884809" y="3617940"/>
          <a:ext cx="2796240" cy="4898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Individual</a:t>
          </a:r>
        </a:p>
        <a:p>
          <a:pPr marL="0" lvl="0" indent="0" algn="ctr" defTabSz="488950">
            <a:lnSpc>
              <a:spcPct val="90000"/>
            </a:lnSpc>
            <a:spcBef>
              <a:spcPct val="0"/>
            </a:spcBef>
            <a:spcAft>
              <a:spcPct val="35000"/>
            </a:spcAft>
            <a:buNone/>
          </a:pPr>
          <a:r>
            <a:rPr lang="en-AU" sz="1000" kern="1200"/>
            <a:t>Training for instigators</a:t>
          </a:r>
        </a:p>
      </dsp:txBody>
      <dsp:txXfrm>
        <a:off x="2884809" y="3617940"/>
        <a:ext cx="2796240" cy="489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272F143E-E732-4B01-B9FC-5E15D0F16CF7}">
    <t:Anchor>
      <t:Comment id="469388508"/>
    </t:Anchor>
    <t:History>
      <t:Event id="{F43DF7AF-A657-41A6-828A-A390866D443F}" time="2022-02-27T05:56:23.233Z">
        <t:Attribution userId="S::cfine@unimelb.edu.au::dce9a355-e5a3-493a-833e-74bc6795b65e" userProvider="AD" userName="Cordelia Fine"/>
        <t:Anchor>
          <t:Comment id="469388508"/>
        </t:Anchor>
        <t:Create/>
      </t:Event>
      <t:Event id="{5C526E51-275D-4AC2-836C-4E4D5863A84D}" time="2022-02-27T05:56:23.233Z">
        <t:Attribution userId="S::cfine@unimelb.edu.au::dce9a355-e5a3-493a-833e-74bc6795b65e" userProvider="AD" userName="Cordelia Fine"/>
        <t:Anchor>
          <t:Comment id="469388508"/>
        </t:Anchor>
        <t:Assign userId="S::vesojo@unimelb.edu.au::639a674f-8b0a-4311-a5b8-c9a2eb97d1e4" userProvider="AD" userName="Victor Sojo Monzon"/>
      </t:Event>
      <t:Event id="{14CE4660-A8A4-40EF-9FB3-0ACBD58EEAB1}" time="2022-02-27T05:56:23.233Z">
        <t:Attribution userId="S::cfine@unimelb.edu.au::dce9a355-e5a3-493a-833e-74bc6795b65e" userProvider="AD" userName="Cordelia Fine"/>
        <t:Anchor>
          <t:Comment id="469388508"/>
        </t:Anchor>
        <t:SetTitle title="@Victor Sojo Monzon Should this &quot;about how complaints can be made&quot;?"/>
      </t:Event>
    </t:History>
  </t:Task>
  <t:Task id="{BB72BCC7-D59C-4B87-917D-F95360672270}">
    <t:Anchor>
      <t:Comment id="869221018"/>
    </t:Anchor>
    <t:History>
      <t:Event id="{F379166D-858A-4B51-BC6F-E8C65F8AC98F}" time="2022-02-27T05:25:44.005Z">
        <t:Attribution userId="S::cfine@unimelb.edu.au::dce9a355-e5a3-493a-833e-74bc6795b65e" userProvider="AD" userName="Cordelia Fine"/>
        <t:Anchor>
          <t:Comment id="869221018"/>
        </t:Anchor>
        <t:Create/>
      </t:Event>
      <t:Event id="{8EEEF78B-2E32-4888-B1F5-B5F47A0151AF}" time="2022-02-27T05:25:44.005Z">
        <t:Attribution userId="S::cfine@unimelb.edu.au::dce9a355-e5a3-493a-833e-74bc6795b65e" userProvider="AD" userName="Cordelia Fine"/>
        <t:Anchor>
          <t:Comment id="869221018"/>
        </t:Anchor>
        <t:Assign userId="S::vesojo@unimelb.edu.au::639a674f-8b0a-4311-a5b8-c9a2eb97d1e4" userProvider="AD" userName="Victor Sojo Monzon"/>
      </t:Event>
      <t:Event id="{4A670779-35D4-49A0-A179-6F476907B9C6}" time="2022-02-27T05:25:44.005Z">
        <t:Attribution userId="S::cfine@unimelb.edu.au::dce9a355-e5a3-493a-833e-74bc6795b65e" userProvider="AD" userName="Cordelia Fine"/>
        <t:Anchor>
          <t:Comment id="869221018"/>
        </t:Anchor>
        <t:SetTitle title="@Victor Sojo Monzon There is a shift here from discussing sexual harassment to discussing workplace abuse, which is a much broader topic. Suggest replacing with. &quot;Importantly, research should not be limited to investigating phenomena that fall within …"/>
      </t:Event>
    </t:History>
  </t:Task>
  <t:Task id="{63F85DD1-9E7C-4C09-923D-145C6B5677A8}">
    <t:Anchor>
      <t:Comment id="245771103"/>
    </t:Anchor>
    <t:History>
      <t:Event id="{3AA87D52-A6C8-4CB5-8362-363FAD8E40BE}" time="2022-02-27T05:33:28.422Z">
        <t:Attribution userId="S::cfine@unimelb.edu.au::dce9a355-e5a3-493a-833e-74bc6795b65e" userProvider="AD" userName="Cordelia Fine"/>
        <t:Anchor>
          <t:Comment id="245771103"/>
        </t:Anchor>
        <t:Create/>
      </t:Event>
      <t:Event id="{7CA5C394-CF7D-48CD-817A-AC0FD1EC97B3}" time="2022-02-27T05:33:28.422Z">
        <t:Attribution userId="S::cfine@unimelb.edu.au::dce9a355-e5a3-493a-833e-74bc6795b65e" userProvider="AD" userName="Cordelia Fine"/>
        <t:Anchor>
          <t:Comment id="245771103"/>
        </t:Anchor>
        <t:Assign userId="S::vesojo@unimelb.edu.au::639a674f-8b0a-4311-a5b8-c9a2eb97d1e4" userProvider="AD" userName="Victor Sojo Monzon"/>
      </t:Event>
      <t:Event id="{41572B0E-3F60-48D5-BD01-8FA8AF0106CF}" time="2022-02-27T05:33:28.422Z">
        <t:Attribution userId="S::cfine@unimelb.edu.au::dce9a355-e5a3-493a-833e-74bc6795b65e" userProvider="AD" userName="Cordelia Fine"/>
        <t:Anchor>
          <t:Comment id="245771103"/>
        </t:Anchor>
        <t:SetTitle title="@Victor Sojo Monzon Check this revised sentence is ok"/>
      </t:Event>
    </t:History>
  </t:Task>
  <t:Task id="{67C97E86-A234-45CE-8AF0-A119D432777B}">
    <t:Anchor>
      <t:Comment id="1862576100"/>
    </t:Anchor>
    <t:History>
      <t:Event id="{6D6FBD56-3EC5-48CC-B420-E33E8D899D2E}" time="2022-02-27T09:36:13.198Z">
        <t:Attribution userId="S::cfine@unimelb.edu.au::dce9a355-e5a3-493a-833e-74bc6795b65e" userProvider="AD" userName="Cordelia Fine"/>
        <t:Anchor>
          <t:Comment id="1862576100"/>
        </t:Anchor>
        <t:Create/>
      </t:Event>
      <t:Event id="{06CB4E42-FA6E-416B-936F-45D4D0372653}" time="2022-02-27T09:36:13.198Z">
        <t:Attribution userId="S::cfine@unimelb.edu.au::dce9a355-e5a3-493a-833e-74bc6795b65e" userProvider="AD" userName="Cordelia Fine"/>
        <t:Anchor>
          <t:Comment id="1862576100"/>
        </t:Anchor>
        <t:Assign userId="S::vesojo@unimelb.edu.au::639a674f-8b0a-4311-a5b8-c9a2eb97d1e4" userProvider="AD" userName="Victor Sojo Monzon"/>
      </t:Event>
      <t:Event id="{262FCEC5-5C0E-4647-9580-2D9A64878535}" time="2022-02-27T09:36:13.198Z">
        <t:Attribution userId="S::cfine@unimelb.edu.au::dce9a355-e5a3-493a-833e-74bc6795b65e" userProvider="AD" userName="Cordelia Fine"/>
        <t:Anchor>
          <t:Comment id="1862576100"/>
        </t:Anchor>
        <t:SetTitle title="@Victor Sojo Monzon The money was from my School, not the Faculty. Also, it isn't part of the funding agreement, so I would recommend deleting this from here and putting the following in the section above. &quot;We also thank the School of Historical &amp; …"/>
      </t:Event>
    </t:History>
  </t:Task>
  <t:Task id="{FE589A82-353D-409C-9D2D-77C5CAED41AD}">
    <t:Anchor>
      <t:Comment id="535036781"/>
    </t:Anchor>
    <t:History>
      <t:Event id="{CABEF307-CFAD-4CA9-B361-B216A10D5E12}" time="2022-02-27T05:35:50.965Z">
        <t:Attribution userId="S::cfine@unimelb.edu.au::dce9a355-e5a3-493a-833e-74bc6795b65e" userProvider="AD" userName="Cordelia Fine"/>
        <t:Anchor>
          <t:Comment id="535036781"/>
        </t:Anchor>
        <t:Create/>
      </t:Event>
      <t:Event id="{2425CB22-58F2-4439-B18F-0C61A97C6146}" time="2022-02-27T05:35:50.965Z">
        <t:Attribution userId="S::cfine@unimelb.edu.au::dce9a355-e5a3-493a-833e-74bc6795b65e" userProvider="AD" userName="Cordelia Fine"/>
        <t:Anchor>
          <t:Comment id="535036781"/>
        </t:Anchor>
        <t:Assign userId="S::vesojo@unimelb.edu.au::639a674f-8b0a-4311-a5b8-c9a2eb97d1e4" userProvider="AD" userName="Victor Sojo Monzon"/>
      </t:Event>
      <t:Event id="{A2503475-AA1E-4278-8DA0-692751A8005E}" time="2022-02-27T05:35:50.965Z">
        <t:Attribution userId="S::cfine@unimelb.edu.au::dce9a355-e5a3-493a-833e-74bc6795b65e" userProvider="AD" userName="Cordelia Fine"/>
        <t:Anchor>
          <t:Comment id="535036781"/>
        </t:Anchor>
        <t:SetTitle title="@Victor Sojo Monzon Ungrammatical, but also unclear what is meant here by 'similar policy'. Does this mean tougher legislation around sexual harassment? Also, doesn't seem quite right to refer to the VPS as arguing for such positions, it's surely …"/>
      </t:Event>
    </t:History>
  </t:Task>
  <t:Task id="{4DDAE047-78A9-4460-9C07-B38024C36102}">
    <t:Anchor>
      <t:Comment id="1475745785"/>
    </t:Anchor>
    <t:History>
      <t:Event id="{A95073A9-91A8-4DE7-9A5B-5515FEBFD8ED}" time="2022-02-27T05:52:45.352Z">
        <t:Attribution userId="S::cfine@unimelb.edu.au::dce9a355-e5a3-493a-833e-74bc6795b65e" userProvider="AD" userName="Cordelia Fine"/>
        <t:Anchor>
          <t:Comment id="1475745785"/>
        </t:Anchor>
        <t:Create/>
      </t:Event>
      <t:Event id="{6E2D4953-7A24-472C-AF4A-EE20B3E4D4F1}" time="2022-02-27T05:52:45.352Z">
        <t:Attribution userId="S::cfine@unimelb.edu.au::dce9a355-e5a3-493a-833e-74bc6795b65e" userProvider="AD" userName="Cordelia Fine"/>
        <t:Anchor>
          <t:Comment id="1475745785"/>
        </t:Anchor>
        <t:Assign userId="S::vesojo@unimelb.edu.au::639a674f-8b0a-4311-a5b8-c9a2eb97d1e4" userProvider="AD" userName="Victor Sojo Monzon"/>
      </t:Event>
      <t:Event id="{C11E8E2C-B3C8-44D1-9F3D-E7C2A4E2F356}" time="2022-02-27T05:52:45.352Z">
        <t:Attribution userId="S::cfine@unimelb.edu.au::dce9a355-e5a3-493a-833e-74bc6795b65e" userProvider="AD" userName="Cordelia Fine"/>
        <t:Anchor>
          <t:Comment id="1475745785"/>
        </t:Anchor>
        <t:SetTitle title="@Victor Sojo Monzon Not sure this sentence adds much? First, unlikely that masculinity is the *only* value system operating in any organisation, and not sure how masculinity corresponds to the structure of the organisation."/>
      </t:Event>
    </t:History>
  </t:Task>
  <t:Task id="{86FCEF36-3BF3-48B4-80B5-DBBED3927267}">
    <t:Anchor>
      <t:Comment id="1794956530"/>
    </t:Anchor>
    <t:History>
      <t:Event id="{D7BDFA19-1F9C-4861-9BDD-ABD35031EF2A}" time="2022-02-27T05:55:15.393Z">
        <t:Attribution userId="S::cfine@unimelb.edu.au::dce9a355-e5a3-493a-833e-74bc6795b65e" userProvider="AD" userName="Cordelia Fine"/>
        <t:Anchor>
          <t:Comment id="1794956530"/>
        </t:Anchor>
        <t:Create/>
      </t:Event>
      <t:Event id="{FA134F5C-8EBB-45E9-B05A-027CC0D4F4A9}" time="2022-02-27T05:55:15.393Z">
        <t:Attribution userId="S::cfine@unimelb.edu.au::dce9a355-e5a3-493a-833e-74bc6795b65e" userProvider="AD" userName="Cordelia Fine"/>
        <t:Anchor>
          <t:Comment id="1794956530"/>
        </t:Anchor>
        <t:Assign userId="S::vesojo@unimelb.edu.au::639a674f-8b0a-4311-a5b8-c9a2eb97d1e4" userProvider="AD" userName="Victor Sojo Monzon"/>
      </t:Event>
      <t:Event id="{E0BDE306-9D12-4C6C-A4A4-C4DA0B1E3BCA}" time="2022-02-27T05:55:15.393Z">
        <t:Attribution userId="S::cfine@unimelb.edu.au::dce9a355-e5a3-493a-833e-74bc6795b65e" userProvider="AD" userName="Cordelia Fine"/>
        <t:Anchor>
          <t:Comment id="1794956530"/>
        </t:Anchor>
        <t:SetTitle title="@Victor Sojo Monzon Missing word. Must BE specific? But this seems to contradict what follows, which is that policies should allow for case by case consideration"/>
      </t:Event>
    </t:History>
  </t:Task>
  <t:Task id="{270AC52B-29B5-4445-BB52-08515D530654}">
    <t:Anchor>
      <t:Comment id="646865212"/>
    </t:Anchor>
    <t:History>
      <t:Event id="{B4E0F7FC-F78D-47F6-A5D7-478D1AFA88E3}" time="2022-02-27T10:33:29.481Z">
        <t:Attribution userId="S::cfine@unimelb.edu.au::dce9a355-e5a3-493a-833e-74bc6795b65e" userProvider="AD" userName="Cordelia Fine"/>
        <t:Anchor>
          <t:Comment id="646865212"/>
        </t:Anchor>
        <t:Create/>
      </t:Event>
      <t:Event id="{DD52929C-87D7-4921-88BD-2C7BBEDECE74}" time="2022-02-27T10:33:29.481Z">
        <t:Attribution userId="S::cfine@unimelb.edu.au::dce9a355-e5a3-493a-833e-74bc6795b65e" userProvider="AD" userName="Cordelia Fine"/>
        <t:Anchor>
          <t:Comment id="646865212"/>
        </t:Anchor>
        <t:Assign userId="S::vesojo@unimelb.edu.au::639a674f-8b0a-4311-a5b8-c9a2eb97d1e4" userProvider="AD" userName="Victor Sojo Monzon"/>
      </t:Event>
      <t:Event id="{247D7E83-8954-4957-9FF3-4B745EE04FF7}" time="2022-02-27T10:33:29.481Z">
        <t:Attribution userId="S::cfine@unimelb.edu.au::dce9a355-e5a3-493a-833e-74bc6795b65e" userProvider="AD" userName="Cordelia Fine"/>
        <t:Anchor>
          <t:Comment id="646865212"/>
        </t:Anchor>
        <t:SetTitle title="@Victor Sojo Monzon wary?"/>
      </t:Event>
    </t:History>
  </t:Task>
  <t:Task id="{DFD8350C-D495-4EF3-9EA1-1F2BF6F68085}">
    <t:Anchor>
      <t:Comment id="1292419199"/>
    </t:Anchor>
    <t:History>
      <t:Event id="{40956EA8-7853-455E-B342-EC2EE14E75DC}" time="2022-02-27T06:02:51.14Z">
        <t:Attribution userId="S::cfine@unimelb.edu.au::dce9a355-e5a3-493a-833e-74bc6795b65e" userProvider="AD" userName="Cordelia Fine"/>
        <t:Anchor>
          <t:Comment id="1292419199"/>
        </t:Anchor>
        <t:Create/>
      </t:Event>
      <t:Event id="{EB57CE28-1378-4CE5-BDAF-9996C1D58C8C}" time="2022-02-27T06:02:51.14Z">
        <t:Attribution userId="S::cfine@unimelb.edu.au::dce9a355-e5a3-493a-833e-74bc6795b65e" userProvider="AD" userName="Cordelia Fine"/>
        <t:Anchor>
          <t:Comment id="1292419199"/>
        </t:Anchor>
        <t:Assign userId="S::vesojo@unimelb.edu.au::639a674f-8b0a-4311-a5b8-c9a2eb97d1e4" userProvider="AD" userName="Victor Sojo Monzon"/>
      </t:Event>
      <t:Event id="{94AD49C8-6607-4AEA-938B-1A57215A5148}" time="2022-02-27T06:02:51.14Z">
        <t:Attribution userId="S::cfine@unimelb.edu.au::dce9a355-e5a3-493a-833e-74bc6795b65e" userProvider="AD" userName="Cordelia Fine"/>
        <t:Anchor>
          <t:Comment id="1292419199"/>
        </t:Anchor>
        <t:SetTitle title="@Victor Sojo Monzon Something has gone wrong here. Just &quot;This needs to be clearly explained within the organisation&quot; or something like that?"/>
      </t:Event>
    </t:History>
  </t:Task>
  <t:Task id="{754D317E-76C0-4B38-A9F2-649A8A1E6BFF}">
    <t:Anchor>
      <t:Comment id="543235784"/>
    </t:Anchor>
    <t:History>
      <t:Event id="{BE2CA4D9-AE83-45F1-8B8B-EF60D524125B}" time="2022-02-27T06:04:55.605Z">
        <t:Attribution userId="S::cfine@unimelb.edu.au::dce9a355-e5a3-493a-833e-74bc6795b65e" userProvider="AD" userName="Cordelia Fine"/>
        <t:Anchor>
          <t:Comment id="543235784"/>
        </t:Anchor>
        <t:Create/>
      </t:Event>
      <t:Event id="{7F88B610-CDB5-4842-960D-8D6CB63826BA}" time="2022-02-27T06:04:55.605Z">
        <t:Attribution userId="S::cfine@unimelb.edu.au::dce9a355-e5a3-493a-833e-74bc6795b65e" userProvider="AD" userName="Cordelia Fine"/>
        <t:Anchor>
          <t:Comment id="543235784"/>
        </t:Anchor>
        <t:Assign userId="S::vesojo@unimelb.edu.au::639a674f-8b0a-4311-a5b8-c9a2eb97d1e4" userProvider="AD" userName="Victor Sojo Monzon"/>
      </t:Event>
      <t:Event id="{C27450FC-95EC-459C-9E18-98ECF5675F4B}" time="2022-02-27T06:04:55.605Z">
        <t:Attribution userId="S::cfine@unimelb.edu.au::dce9a355-e5a3-493a-833e-74bc6795b65e" userProvider="AD" userName="Cordelia Fine"/>
        <t:Anchor>
          <t:Comment id="543235784"/>
        </t:Anchor>
        <t:SetTitle title="@Victor Sojo Monzon This defining of sexual harassment under OHS umbrella comes a bit out of the blue? Suggest deleting - I think by now it will be quite clear that sexual harassment is bad in all kinds of ways."/>
      </t:Event>
    </t:History>
  </t:Task>
  <t:Task id="{EDEE776E-1727-45F3-AA84-0059CDB43925}">
    <t:Anchor>
      <t:Comment id="53156950"/>
    </t:Anchor>
    <t:History>
      <t:Event id="{8000782C-87A1-4C3F-B5F6-D8F9A65A9FC8}" time="2022-02-27T06:20:03.521Z">
        <t:Attribution userId="S::cfine@unimelb.edu.au::dce9a355-e5a3-493a-833e-74bc6795b65e" userProvider="AD" userName="Cordelia Fine"/>
        <t:Anchor>
          <t:Comment id="53156950"/>
        </t:Anchor>
        <t:Create/>
      </t:Event>
      <t:Event id="{0F48E081-5E58-4978-B802-FD55649F342A}" time="2022-02-27T06:20:03.521Z">
        <t:Attribution userId="S::cfine@unimelb.edu.au::dce9a355-e5a3-493a-833e-74bc6795b65e" userProvider="AD" userName="Cordelia Fine"/>
        <t:Anchor>
          <t:Comment id="53156950"/>
        </t:Anchor>
        <t:Assign userId="S::vesojo@unimelb.edu.au::639a674f-8b0a-4311-a5b8-c9a2eb97d1e4" userProvider="AD" userName="Victor Sojo Monzon"/>
      </t:Event>
      <t:Event id="{36D4CFAA-C556-440C-A43A-3CE2BDB6532F}" time="2022-02-27T06:20:03.521Z">
        <t:Attribution userId="S::cfine@unimelb.edu.au::dce9a355-e5a3-493a-833e-74bc6795b65e" userProvider="AD" userName="Cordelia Fine"/>
        <t:Anchor>
          <t:Comment id="53156950"/>
        </t:Anchor>
        <t:SetTitle title="@Victor Sojo Monzon Quite a big deal to add another value to the VPS since these values are part of an Act, and I note that Respect is already quite broad: &quot;Public officials should demonstrate respect for colleagues, other public officials and members …"/>
      </t:Event>
    </t:History>
  </t:Task>
  <t:Task id="{F82EB442-5F5E-4DBC-B4E8-B84AAD6A2110}">
    <t:Anchor>
      <t:Comment id="1889539590"/>
    </t:Anchor>
    <t:History>
      <t:Event id="{DC3F4769-DEF2-42A6-AB01-A32D67A68431}" time="2022-02-27T06:33:49.282Z">
        <t:Attribution userId="S::cfine@unimelb.edu.au::dce9a355-e5a3-493a-833e-74bc6795b65e" userProvider="AD" userName="Cordelia Fine"/>
        <t:Anchor>
          <t:Comment id="1889539590"/>
        </t:Anchor>
        <t:Create/>
      </t:Event>
      <t:Event id="{A3CDFD6A-3C12-462D-9AC7-225BD97A2084}" time="2022-02-27T06:33:49.282Z">
        <t:Attribution userId="S::cfine@unimelb.edu.au::dce9a355-e5a3-493a-833e-74bc6795b65e" userProvider="AD" userName="Cordelia Fine"/>
        <t:Anchor>
          <t:Comment id="1889539590"/>
        </t:Anchor>
        <t:Assign userId="S::vesojo@unimelb.edu.au::639a674f-8b0a-4311-a5b8-c9a2eb97d1e4" userProvider="AD" userName="Victor Sojo Monzon"/>
      </t:Event>
      <t:Event id="{B0F80FA9-F0ED-49E2-AEBF-27251E5D5DFD}" time="2022-02-27T06:33:49.282Z">
        <t:Attribution userId="S::cfine@unimelb.edu.au::dce9a355-e5a3-493a-833e-74bc6795b65e" userProvider="AD" userName="Cordelia Fine"/>
        <t:Anchor>
          <t:Comment id="1889539590"/>
        </t:Anchor>
        <t:SetTitle title="@Victor Sojo Monzon &quot;create substantial positive change&quot;?"/>
      </t:Event>
    </t:History>
  </t:Task>
  <t:Task id="{528E3240-2BE5-4675-9F7D-A5D84A0843AC}">
    <t:Anchor>
      <t:Comment id="532267724"/>
    </t:Anchor>
    <t:History>
      <t:Event id="{37A67AFF-1084-4E93-A785-658401C3351B}" time="2022-02-27T06:36:18.102Z">
        <t:Attribution userId="S::cfine@unimelb.edu.au::dce9a355-e5a3-493a-833e-74bc6795b65e" userProvider="AD" userName="Cordelia Fine"/>
        <t:Anchor>
          <t:Comment id="532267724"/>
        </t:Anchor>
        <t:Create/>
      </t:Event>
      <t:Event id="{67E6AC8F-BA7C-4F66-BAC5-611131702850}" time="2022-02-27T06:36:18.102Z">
        <t:Attribution userId="S::cfine@unimelb.edu.au::dce9a355-e5a3-493a-833e-74bc6795b65e" userProvider="AD" userName="Cordelia Fine"/>
        <t:Anchor>
          <t:Comment id="532267724"/>
        </t:Anchor>
        <t:Assign userId="S::vesojo@unimelb.edu.au::639a674f-8b0a-4311-a5b8-c9a2eb97d1e4" userProvider="AD" userName="Victor Sojo Monzon"/>
      </t:Event>
      <t:Event id="{6BE62003-04B9-4F59-87D7-034047ACA971}" time="2022-02-27T06:36:18.102Z">
        <t:Attribution userId="S::cfine@unimelb.edu.au::dce9a355-e5a3-493a-833e-74bc6795b65e" userProvider="AD" userName="Cordelia Fine"/>
        <t:Anchor>
          <t:Comment id="532267724"/>
        </t:Anchor>
        <t:SetTitle title="@Victor Sojo Monzon What about just &quot;including outcomes for perpetrators.&quot;? Partly because I don't know what is meant by increasing resistance for perpetrators, and also because one of the earlier points was the importance of proportionate outcomes for …"/>
      </t:Event>
    </t:History>
  </t:Task>
  <t:Task id="{87F40FC4-7229-49A1-955C-B2D4BEDE167E}">
    <t:Anchor>
      <t:Comment id="1468500872"/>
    </t:Anchor>
    <t:History>
      <t:Event id="{B362AA20-CB84-451C-9F45-A6D295021E9A}" time="2022-02-27T09:34:14.564Z">
        <t:Attribution userId="S::cfine@unimelb.edu.au::dce9a355-e5a3-493a-833e-74bc6795b65e" userProvider="AD" userName="Cordelia Fine"/>
        <t:Anchor>
          <t:Comment id="1468500872"/>
        </t:Anchor>
        <t:Create/>
      </t:Event>
      <t:Event id="{1598E808-D674-4793-98D8-8C3DD83DFEC7}" time="2022-02-27T09:34:14.564Z">
        <t:Attribution userId="S::cfine@unimelb.edu.au::dce9a355-e5a3-493a-833e-74bc6795b65e" userProvider="AD" userName="Cordelia Fine"/>
        <t:Anchor>
          <t:Comment id="1468500872"/>
        </t:Anchor>
        <t:Assign userId="S::vesojo@unimelb.edu.au::639a674f-8b0a-4311-a5b8-c9a2eb97d1e4" userProvider="AD" userName="Victor Sojo Monzon"/>
      </t:Event>
      <t:Event id="{59E15D3A-A258-46CD-8205-59F300C64E16}" time="2022-02-27T09:34:14.564Z">
        <t:Attribution userId="S::cfine@unimelb.edu.au::dce9a355-e5a3-493a-833e-74bc6795b65e" userProvider="AD" userName="Cordelia Fine"/>
        <t:Anchor>
          <t:Comment id="1468500872"/>
        </t:Anchor>
        <t:SetTitle title="@Victor Sojo Monzon Shouldn't this just be 'funded by' since there were no other contributors? Also, see following comment re faculty of arts."/>
      </t:Event>
    </t:History>
  </t:Task>
  <t:Task id="{4D99B001-0825-423A-B29C-61C2B47051BF}">
    <t:Anchor>
      <t:Comment id="424831832"/>
    </t:Anchor>
    <t:History>
      <t:Event id="{37C33562-E58F-4C9D-AC98-8715F5A89390}" time="2022-02-27T09:58:23.116Z">
        <t:Attribution userId="S::cfine@unimelb.edu.au::dce9a355-e5a3-493a-833e-74bc6795b65e" userProvider="AD" userName="Cordelia Fine"/>
        <t:Anchor>
          <t:Comment id="424831832"/>
        </t:Anchor>
        <t:Create/>
      </t:Event>
      <t:Event id="{5CC3BE5E-E5BC-4072-B3B1-7CC85E81CC34}" time="2022-02-27T09:58:23.116Z">
        <t:Attribution userId="S::cfine@unimelb.edu.au::dce9a355-e5a3-493a-833e-74bc6795b65e" userProvider="AD" userName="Cordelia Fine"/>
        <t:Anchor>
          <t:Comment id="424831832"/>
        </t:Anchor>
        <t:Assign userId="S::vesojo@unimelb.edu.au::639a674f-8b0a-4311-a5b8-c9a2eb97d1e4" userProvider="AD" userName="Victor Sojo Monzon"/>
      </t:Event>
      <t:Event id="{7EEF28D2-EBFF-47BC-9775-C4A7151F99F0}" time="2022-02-27T09:58:23.116Z">
        <t:Attribution userId="S::cfine@unimelb.edu.au::dce9a355-e5a3-493a-833e-74bc6795b65e" userProvider="AD" userName="Cordelia Fine"/>
        <t:Anchor>
          <t:Comment id="424831832"/>
        </t:Anchor>
        <t:SetTitle title="@Victor Sojo Monzon Of?"/>
      </t:Event>
    </t:History>
  </t:Task>
  <t:Task id="{D7C18780-7F45-49CA-8B39-AC4FCE40FE71}">
    <t:Anchor>
      <t:Comment id="597440847"/>
    </t:Anchor>
    <t:History>
      <t:Event id="{ED41D839-D427-4DEB-94BA-EDB490BADFAA}" time="2022-02-27T10:02:07.76Z">
        <t:Attribution userId="S::cfine@unimelb.edu.au::dce9a355-e5a3-493a-833e-74bc6795b65e" userProvider="AD" userName="Cordelia Fine"/>
        <t:Anchor>
          <t:Comment id="597440847"/>
        </t:Anchor>
        <t:Create/>
      </t:Event>
      <t:Event id="{C5BEFCCF-ABC8-42A4-9BCC-8F66AD43EDCD}" time="2022-02-27T10:02:07.76Z">
        <t:Attribution userId="S::cfine@unimelb.edu.au::dce9a355-e5a3-493a-833e-74bc6795b65e" userProvider="AD" userName="Cordelia Fine"/>
        <t:Anchor>
          <t:Comment id="597440847"/>
        </t:Anchor>
        <t:Assign userId="S::vesojo@unimelb.edu.au::639a674f-8b0a-4311-a5b8-c9a2eb97d1e4" userProvider="AD" userName="Victor Sojo Monzon"/>
      </t:Event>
      <t:Event id="{D3A4B24A-7166-4E02-8DE5-FB23E7BF7E07}" time="2022-02-27T10:02:07.76Z">
        <t:Attribution userId="S::cfine@unimelb.edu.au::dce9a355-e5a3-493a-833e-74bc6795b65e" userProvider="AD" userName="Cordelia Fine"/>
        <t:Anchor>
          <t:Comment id="597440847"/>
        </t:Anchor>
        <t:SetTitle title="@Victor Sojo Monzon Since the end of the sentence refers to gender pay gaps, the first part has to refer to gender pay INequity and women and men being paid UNequally, otherwise you are saying that the equal payment contributes to the gender pay gap."/>
      </t:Event>
    </t:History>
  </t:Task>
  <t:Task id="{38CD4990-62C1-4240-A8F7-CEDD053AC95D}">
    <t:Anchor>
      <t:Comment id="10527284"/>
    </t:Anchor>
    <t:History>
      <t:Event id="{2C17BB56-ED9D-411A-8CEC-616E3FCF238D}" time="2022-02-27T10:07:45.794Z">
        <t:Attribution userId="S::cfine@unimelb.edu.au::dce9a355-e5a3-493a-833e-74bc6795b65e" userProvider="AD" userName="Cordelia Fine"/>
        <t:Anchor>
          <t:Comment id="10527284"/>
        </t:Anchor>
        <t:Create/>
      </t:Event>
      <t:Event id="{AFE942D2-CF46-47DA-A068-76E3A1B81E1C}" time="2022-02-27T10:07:45.794Z">
        <t:Attribution userId="S::cfine@unimelb.edu.au::dce9a355-e5a3-493a-833e-74bc6795b65e" userProvider="AD" userName="Cordelia Fine"/>
        <t:Anchor>
          <t:Comment id="10527284"/>
        </t:Anchor>
        <t:Assign userId="S::vesojo@unimelb.edu.au::639a674f-8b0a-4311-a5b8-c9a2eb97d1e4" userProvider="AD" userName="Victor Sojo Monzon"/>
      </t:Event>
      <t:Event id="{B2FB620C-4453-414E-B3BA-0509C3AD1B4C}" time="2022-02-27T10:07:45.794Z">
        <t:Attribution userId="S::cfine@unimelb.edu.au::dce9a355-e5a3-493a-833e-74bc6795b65e" userProvider="AD" userName="Cordelia Fine"/>
        <t:Anchor>
          <t:Comment id="10527284"/>
        </t:Anchor>
        <t:SetTitle title="@Victor Sojo Monzon Broke this paragraph into two sentences and tweaked. Check you are happy with it."/>
      </t:Event>
    </t:History>
  </t:Task>
  <t:Task id="{F337D925-B062-40C6-B162-BEA446A855E8}">
    <t:Anchor>
      <t:Comment id="1425193003"/>
    </t:Anchor>
    <t:History>
      <t:Event id="{7D9B551C-2F0B-4CC0-8B2B-0CB63824D434}" time="2022-02-27T10:09:24.883Z">
        <t:Attribution userId="S::cfine@unimelb.edu.au::dce9a355-e5a3-493a-833e-74bc6795b65e" userProvider="AD" userName="Cordelia Fine"/>
        <t:Anchor>
          <t:Comment id="1425193003"/>
        </t:Anchor>
        <t:Create/>
      </t:Event>
      <t:Event id="{830EA489-E537-4E25-BE05-3765241CFC0C}" time="2022-02-27T10:09:24.883Z">
        <t:Attribution userId="S::cfine@unimelb.edu.au::dce9a355-e5a3-493a-833e-74bc6795b65e" userProvider="AD" userName="Cordelia Fine"/>
        <t:Anchor>
          <t:Comment id="1425193003"/>
        </t:Anchor>
        <t:Assign userId="S::vesojo@unimelb.edu.au::639a674f-8b0a-4311-a5b8-c9a2eb97d1e4" userProvider="AD" userName="Victor Sojo Monzon"/>
      </t:Event>
      <t:Event id="{16B41244-E69B-40F2-ADE6-7A1623D71BF3}" time="2022-02-27T10:09:24.883Z">
        <t:Attribution userId="S::cfine@unimelb.edu.au::dce9a355-e5a3-493a-833e-74bc6795b65e" userProvider="AD" userName="Cordelia Fine"/>
        <t:Anchor>
          <t:Comment id="1425193003"/>
        </t:Anchor>
        <t:SetTitle title="@Victor Sojo Monzon I think this should be &quot;decreases&quot;?"/>
      </t:Event>
    </t:History>
  </t:Task>
  <t:Task id="{EA0C760D-44BE-4B66-8C24-6AD029F27E49}">
    <t:Anchor>
      <t:Comment id="1216495041"/>
    </t:Anchor>
    <t:History>
      <t:Event id="{8521EEB6-4709-482D-9293-BA4028937859}" time="2022-02-27T10:33:14.824Z">
        <t:Attribution userId="S::cfine@unimelb.edu.au::dce9a355-e5a3-493a-833e-74bc6795b65e" userProvider="AD" userName="Cordelia Fine"/>
        <t:Anchor>
          <t:Comment id="1216495041"/>
        </t:Anchor>
        <t:Create/>
      </t:Event>
      <t:Event id="{25CAB671-5B37-4217-958C-47DDAB00C93D}" time="2022-02-27T10:33:14.824Z">
        <t:Attribution userId="S::cfine@unimelb.edu.au::dce9a355-e5a3-493a-833e-74bc6795b65e" userProvider="AD" userName="Cordelia Fine"/>
        <t:Anchor>
          <t:Comment id="1216495041"/>
        </t:Anchor>
        <t:Assign userId="S::vesojo@unimelb.edu.au::639a674f-8b0a-4311-a5b8-c9a2eb97d1e4" userProvider="AD" userName="Victor Sojo Monzon"/>
      </t:Event>
      <t:Event id="{2EE90EA6-C36A-4EDE-8D98-376A236F0C97}" time="2022-02-27T10:33:14.824Z">
        <t:Attribution userId="S::cfine@unimelb.edu.au::dce9a355-e5a3-493a-833e-74bc6795b65e" userProvider="AD" userName="Cordelia Fine"/>
        <t:Anchor>
          <t:Comment id="1216495041"/>
        </t:Anchor>
        <t:SetTitle title="@Victor Sojo Monzon Should this be &quot;tens, if not hundreds or thousands&quot;? Although clearly it is many more than &quot;tens&quot; so better &quot;hundreds, if not thousands&quot;?"/>
      </t:Event>
    </t:History>
  </t:Task>
  <t:Task id="{896512A2-0E46-4853-91E5-2834DC2A28B1}">
    <t:Anchor>
      <t:Comment id="422767621"/>
    </t:Anchor>
    <t:History>
      <t:Event id="{42DF9BC6-B943-44C7-B918-9720452043E8}" time="2022-02-27T10:34:05.914Z">
        <t:Attribution userId="S::cfine@unimelb.edu.au::dce9a355-e5a3-493a-833e-74bc6795b65e" userProvider="AD" userName="Cordelia Fine"/>
        <t:Anchor>
          <t:Comment id="422767621"/>
        </t:Anchor>
        <t:Create/>
      </t:Event>
      <t:Event id="{3F87245C-6BDA-442E-8B52-11D7BEE733EC}" time="2022-02-27T10:34:05.914Z">
        <t:Attribution userId="S::cfine@unimelb.edu.au::dce9a355-e5a3-493a-833e-74bc6795b65e" userProvider="AD" userName="Cordelia Fine"/>
        <t:Anchor>
          <t:Comment id="422767621"/>
        </t:Anchor>
        <t:Assign userId="S::vesojo@unimelb.edu.au::639a674f-8b0a-4311-a5b8-c9a2eb97d1e4" userProvider="AD" userName="Victor Sojo Monzon"/>
      </t:Event>
      <t:Event id="{78460333-A546-44DA-B77D-8651F7AD4B9A}" time="2022-02-27T10:34:05.914Z">
        <t:Attribution userId="S::cfine@unimelb.edu.au::dce9a355-e5a3-493a-833e-74bc6795b65e" userProvider="AD" userName="Cordelia Fine"/>
        <t:Anchor>
          <t:Comment id="422767621"/>
        </t:Anchor>
        <t:SetTitle title="@Victor Sojo Monzon th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f00e27-c35f-46eb-9301-c9e2bd24673f">
      <Terms xmlns="http://schemas.microsoft.com/office/infopath/2007/PartnerControls"/>
    </lcf76f155ced4ddcb4097134ff3c332f>
    <TaxCatchAll xmlns="5ce0f2b5-5be5-4508-bce9-d7011ece0659" xsi:nil="true"/>
    <TRIMstatus xmlns="50f00e27-c35f-46eb-9301-c9e2bd24673f" xsi:nil="true"/>
    <TRIMreference xmlns="50f00e27-c35f-46eb-9301-c9e2bd24673f" xsi:nil="true"/>
    <_Flow_SignoffStatus xmlns="50f00e27-c35f-46eb-9301-c9e2bd2467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2" ma:contentTypeDescription="Create a new document." ma:contentTypeScope="" ma:versionID="9be8f34154159b4335760a46b5483835">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44b64c9e9d6435650cd38e7901d94c9b"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A1CC75-3E3D-4FB8-8596-AF39F864BB26}">
  <ds:schemaRefs>
    <ds:schemaRef ds:uri="http://schemas.microsoft.com/sharepoint/v3/contenttype/forms"/>
  </ds:schemaRefs>
</ds:datastoreItem>
</file>

<file path=customXml/itemProps2.xml><?xml version="1.0" encoding="utf-8"?>
<ds:datastoreItem xmlns:ds="http://schemas.openxmlformats.org/officeDocument/2006/customXml" ds:itemID="{776D170F-157B-664C-AACA-4217B7046621}">
  <ds:schemaRefs>
    <ds:schemaRef ds:uri="http://schemas.openxmlformats.org/officeDocument/2006/bibliography"/>
  </ds:schemaRefs>
</ds:datastoreItem>
</file>

<file path=customXml/itemProps3.xml><?xml version="1.0" encoding="utf-8"?>
<ds:datastoreItem xmlns:ds="http://schemas.openxmlformats.org/officeDocument/2006/customXml" ds:itemID="{75A9D5AE-28B6-4F60-994A-E12A465BF452}">
  <ds:schemaRefs>
    <ds:schemaRef ds:uri="http://purl.org/dc/elements/1.1/"/>
    <ds:schemaRef ds:uri="http://schemas.microsoft.com/office/2006/metadata/properties"/>
    <ds:schemaRef ds:uri="http://purl.org/dc/terms/"/>
    <ds:schemaRef ds:uri="http://schemas.openxmlformats.org/package/2006/metadata/core-properties"/>
    <ds:schemaRef ds:uri="50f00e27-c35f-46eb-9301-c9e2bd24673f"/>
    <ds:schemaRef ds:uri="http://schemas.microsoft.com/office/2006/documentManagement/types"/>
    <ds:schemaRef ds:uri="http://schemas.microsoft.com/office/infopath/2007/PartnerControls"/>
    <ds:schemaRef ds:uri="5ce0f2b5-5be5-4508-bce9-d7011ece0659"/>
    <ds:schemaRef ds:uri="27cb37dd-16a1-4d7b-8276-5c0e4168f63b"/>
    <ds:schemaRef ds:uri="http://www.w3.org/XML/1998/namespace"/>
    <ds:schemaRef ds:uri="http://purl.org/dc/dcmitype/"/>
  </ds:schemaRefs>
</ds:datastoreItem>
</file>

<file path=customXml/itemProps4.xml><?xml version="1.0" encoding="utf-8"?>
<ds:datastoreItem xmlns:ds="http://schemas.openxmlformats.org/officeDocument/2006/customXml" ds:itemID="{6832FE50-40FB-4B97-B4DB-5F3D22B2F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48480</Words>
  <Characters>276340</Characters>
  <Application>Microsoft Office Word</Application>
  <DocSecurity>8</DocSecurity>
  <Lines>2302</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324172</CharactersWithSpaces>
  <SharedDoc>false</SharedDoc>
  <HLinks>
    <vt:vector size="1248" baseType="variant">
      <vt:variant>
        <vt:i4>4259926</vt:i4>
      </vt:variant>
      <vt:variant>
        <vt:i4>1005</vt:i4>
      </vt:variant>
      <vt:variant>
        <vt:i4>0</vt:i4>
      </vt:variant>
      <vt:variant>
        <vt:i4>5</vt:i4>
      </vt:variant>
      <vt:variant>
        <vt:lpwstr>https://psychology.anu.edu.au/people/students/kate-western-0</vt:lpwstr>
      </vt:variant>
      <vt:variant>
        <vt:lpwstr/>
      </vt:variant>
      <vt:variant>
        <vt:i4>2883620</vt:i4>
      </vt:variant>
      <vt:variant>
        <vt:i4>1002</vt:i4>
      </vt:variant>
      <vt:variant>
        <vt:i4>0</vt:i4>
      </vt:variant>
      <vt:variant>
        <vt:i4>5</vt:i4>
      </vt:variant>
      <vt:variant>
        <vt:lpwstr>https://www.linkedin.com/in/rachaelhadoux/?originalSubdomain=au</vt:lpwstr>
      </vt:variant>
      <vt:variant>
        <vt:lpwstr/>
      </vt:variant>
      <vt:variant>
        <vt:i4>6750334</vt:i4>
      </vt:variant>
      <vt:variant>
        <vt:i4>999</vt:i4>
      </vt:variant>
      <vt:variant>
        <vt:i4>0</vt:i4>
      </vt:variant>
      <vt:variant>
        <vt:i4>5</vt:i4>
      </vt:variant>
      <vt:variant>
        <vt:lpwstr>https://www.linkedin.com/in/lindsiecatherine/?originalSubdomain=au</vt:lpwstr>
      </vt:variant>
      <vt:variant>
        <vt:lpwstr/>
      </vt:variant>
      <vt:variant>
        <vt:i4>7995517</vt:i4>
      </vt:variant>
      <vt:variant>
        <vt:i4>996</vt:i4>
      </vt:variant>
      <vt:variant>
        <vt:i4>0</vt:i4>
      </vt:variant>
      <vt:variant>
        <vt:i4>5</vt:i4>
      </vt:variant>
      <vt:variant>
        <vt:lpwstr>https://findanexpert.unimelb.edu.au/profile/354660-victoria-roberts</vt:lpwstr>
      </vt:variant>
      <vt:variant>
        <vt:lpwstr/>
      </vt:variant>
      <vt:variant>
        <vt:i4>196631</vt:i4>
      </vt:variant>
      <vt:variant>
        <vt:i4>993</vt:i4>
      </vt:variant>
      <vt:variant>
        <vt:i4>0</vt:i4>
      </vt:variant>
      <vt:variant>
        <vt:i4>5</vt:i4>
      </vt:variant>
      <vt:variant>
        <vt:lpwstr>https://giwl.anu.edu.au/people/dr-miriam-glennie</vt:lpwstr>
      </vt:variant>
      <vt:variant>
        <vt:lpwstr/>
      </vt:variant>
      <vt:variant>
        <vt:i4>3473450</vt:i4>
      </vt:variant>
      <vt:variant>
        <vt:i4>990</vt:i4>
      </vt:variant>
      <vt:variant>
        <vt:i4>0</vt:i4>
      </vt:variant>
      <vt:variant>
        <vt:i4>5</vt:i4>
      </vt:variant>
      <vt:variant>
        <vt:lpwstr>https://www.linkedin.com/in/melanie-mcgrath-3a9aa5117/?originalSubdomain=au</vt:lpwstr>
      </vt:variant>
      <vt:variant>
        <vt:lpwstr/>
      </vt:variant>
      <vt:variant>
        <vt:i4>2752566</vt:i4>
      </vt:variant>
      <vt:variant>
        <vt:i4>987</vt:i4>
      </vt:variant>
      <vt:variant>
        <vt:i4>0</vt:i4>
      </vt:variant>
      <vt:variant>
        <vt:i4>5</vt:i4>
      </vt:variant>
      <vt:variant>
        <vt:lpwstr>https://www.swinburne.edu.au/research/our-research/access-our-research/find-a-researcher-or-supervisor/researcher-profile/?id=mwheeler</vt:lpwstr>
      </vt:variant>
      <vt:variant>
        <vt:lpwstr/>
      </vt:variant>
      <vt:variant>
        <vt:i4>393245</vt:i4>
      </vt:variant>
      <vt:variant>
        <vt:i4>984</vt:i4>
      </vt:variant>
      <vt:variant>
        <vt:i4>0</vt:i4>
      </vt:variant>
      <vt:variant>
        <vt:i4>5</vt:i4>
      </vt:variant>
      <vt:variant>
        <vt:lpwstr>https://findanexpert.unimelb.edu.au/profile/126041-cordelia-fine</vt:lpwstr>
      </vt:variant>
      <vt:variant>
        <vt:lpwstr/>
      </vt:variant>
      <vt:variant>
        <vt:i4>6815843</vt:i4>
      </vt:variant>
      <vt:variant>
        <vt:i4>981</vt:i4>
      </vt:variant>
      <vt:variant>
        <vt:i4>0</vt:i4>
      </vt:variant>
      <vt:variant>
        <vt:i4>5</vt:i4>
      </vt:variant>
      <vt:variant>
        <vt:lpwstr>https://giwl.anu.edu.au/people/professor-michelle-ryan</vt:lpwstr>
      </vt:variant>
      <vt:variant>
        <vt:lpwstr/>
      </vt:variant>
      <vt:variant>
        <vt:i4>786518</vt:i4>
      </vt:variant>
      <vt:variant>
        <vt:i4>978</vt:i4>
      </vt:variant>
      <vt:variant>
        <vt:i4>0</vt:i4>
      </vt:variant>
      <vt:variant>
        <vt:i4>5</vt:i4>
      </vt:variant>
      <vt:variant>
        <vt:lpwstr>https://findanexpert.unimelb.edu.au/profile/219639-victor-sojo-monzon</vt:lpwstr>
      </vt:variant>
      <vt:variant>
        <vt:lpwstr/>
      </vt:variant>
      <vt:variant>
        <vt:i4>7667752</vt:i4>
      </vt:variant>
      <vt:variant>
        <vt:i4>975</vt:i4>
      </vt:variant>
      <vt:variant>
        <vt:i4>0</vt:i4>
      </vt:variant>
      <vt:variant>
        <vt:i4>5</vt:i4>
      </vt:variant>
      <vt:variant>
        <vt:lpwstr>https://www.unimelb.edu.au/pathways-to-politics</vt:lpwstr>
      </vt:variant>
      <vt:variant>
        <vt:lpwstr/>
      </vt:variant>
      <vt:variant>
        <vt:i4>458873</vt:i4>
      </vt:variant>
      <vt:variant>
        <vt:i4>972</vt:i4>
      </vt:variant>
      <vt:variant>
        <vt:i4>0</vt:i4>
      </vt:variant>
      <vt:variant>
        <vt:i4>5</vt:i4>
      </vt:variant>
      <vt:variant>
        <vt:lpwstr>https://djpr.vic.gov.au/__data/assets/pdf_file/0007/1925305/Women-in-STEM-Map.pdf</vt:lpwstr>
      </vt:variant>
      <vt:variant>
        <vt:lpwstr/>
      </vt:variant>
      <vt:variant>
        <vt:i4>589837</vt:i4>
      </vt:variant>
      <vt:variant>
        <vt:i4>969</vt:i4>
      </vt:variant>
      <vt:variant>
        <vt:i4>0</vt:i4>
      </vt:variant>
      <vt:variant>
        <vt:i4>5</vt:i4>
      </vt:variant>
      <vt:variant>
        <vt:lpwstr>https://home.kpmg/content/dam/kpmg/au/pdf/2019/gender-pay-gap-economics-full-report-2019.pdf</vt:lpwstr>
      </vt:variant>
      <vt:variant>
        <vt:lpwstr/>
      </vt:variant>
      <vt:variant>
        <vt:i4>1376345</vt:i4>
      </vt:variant>
      <vt:variant>
        <vt:i4>966</vt:i4>
      </vt:variant>
      <vt:variant>
        <vt:i4>0</vt:i4>
      </vt:variant>
      <vt:variant>
        <vt:i4>5</vt:i4>
      </vt:variant>
      <vt:variant>
        <vt:lpwstr>https://www.wgea.gov.au/publications/australias-gender-equality-scorecard</vt:lpwstr>
      </vt:variant>
      <vt:variant>
        <vt:lpwstr/>
      </vt:variant>
      <vt:variant>
        <vt:i4>5242910</vt:i4>
      </vt:variant>
      <vt:variant>
        <vt:i4>963</vt:i4>
      </vt:variant>
      <vt:variant>
        <vt:i4>0</vt:i4>
      </vt:variant>
      <vt:variant>
        <vt:i4>5</vt:i4>
      </vt:variant>
      <vt:variant>
        <vt:lpwstr>https://giwl.anu.edu.au/sites/default/files/docs/2021/10/Gender pay gap reporting in Australia - time for an upgrade.pdf</vt:lpwstr>
      </vt:variant>
      <vt:variant>
        <vt:lpwstr/>
      </vt:variant>
      <vt:variant>
        <vt:i4>2162748</vt:i4>
      </vt:variant>
      <vt:variant>
        <vt:i4>960</vt:i4>
      </vt:variant>
      <vt:variant>
        <vt:i4>0</vt:i4>
      </vt:variant>
      <vt:variant>
        <vt:i4>5</vt:i4>
      </vt:variant>
      <vt:variant>
        <vt:lpwstr>https://www.kcl.ac.uk/giwl/assets/bridging-the-gap-full-report.pdf</vt:lpwstr>
      </vt:variant>
      <vt:variant>
        <vt:lpwstr/>
      </vt:variant>
      <vt:variant>
        <vt:i4>1179738</vt:i4>
      </vt:variant>
      <vt:variant>
        <vt:i4>957</vt:i4>
      </vt:variant>
      <vt:variant>
        <vt:i4>0</vt:i4>
      </vt:variant>
      <vt:variant>
        <vt:i4>5</vt:i4>
      </vt:variant>
      <vt:variant>
        <vt:lpwstr>https://www.legislation.vic.gov.au/in-force/acts/crimes-act-1958/294</vt:lpwstr>
      </vt:variant>
      <vt:variant>
        <vt:lpwstr/>
      </vt:variant>
      <vt:variant>
        <vt:i4>589916</vt:i4>
      </vt:variant>
      <vt:variant>
        <vt:i4>954</vt:i4>
      </vt:variant>
      <vt:variant>
        <vt:i4>0</vt:i4>
      </vt:variant>
      <vt:variant>
        <vt:i4>5</vt:i4>
      </vt:variant>
      <vt:variant>
        <vt:lpwstr>http://www.jstor.org/stable/10.7758/9781610441384</vt:lpwstr>
      </vt:variant>
      <vt:variant>
        <vt:lpwstr/>
      </vt:variant>
      <vt:variant>
        <vt:i4>6684773</vt:i4>
      </vt:variant>
      <vt:variant>
        <vt:i4>951</vt:i4>
      </vt:variant>
      <vt:variant>
        <vt:i4>0</vt:i4>
      </vt:variant>
      <vt:variant>
        <vt:i4>5</vt:i4>
      </vt:variant>
      <vt:variant>
        <vt:lpwstr>http://dx.doi.org/10.1080/13668800701575002</vt:lpwstr>
      </vt:variant>
      <vt:variant>
        <vt:lpwstr/>
      </vt:variant>
      <vt:variant>
        <vt:i4>6291521</vt:i4>
      </vt:variant>
      <vt:variant>
        <vt:i4>948</vt:i4>
      </vt:variant>
      <vt:variant>
        <vt:i4>0</vt:i4>
      </vt:variant>
      <vt:variant>
        <vt:i4>5</vt:i4>
      </vt:variant>
      <vt:variant>
        <vt:lpwstr>https://www.proquest.com/docview/220175734?accountid=12372&amp;bdid=10814&amp;_bd=DavAfBPozyDKnUlRYsBrdyKDL%2BM%3D</vt:lpwstr>
      </vt:variant>
      <vt:variant>
        <vt:lpwstr/>
      </vt:variant>
      <vt:variant>
        <vt:i4>6684759</vt:i4>
      </vt:variant>
      <vt:variant>
        <vt:i4>945</vt:i4>
      </vt:variant>
      <vt:variant>
        <vt:i4>0</vt:i4>
      </vt:variant>
      <vt:variant>
        <vt:i4>5</vt:i4>
      </vt:variant>
      <vt:variant>
        <vt:lpwstr>https://www.proquest.com/docview/2112444716?accountid=12372&amp;bdid=10814&amp;_bd=cx7lH0FadRNmlGMMiwcX9BDT8p8%3D</vt:lpwstr>
      </vt:variant>
      <vt:variant>
        <vt:lpwstr/>
      </vt:variant>
      <vt:variant>
        <vt:i4>1048699</vt:i4>
      </vt:variant>
      <vt:variant>
        <vt:i4>942</vt:i4>
      </vt:variant>
      <vt:variant>
        <vt:i4>0</vt:i4>
      </vt:variant>
      <vt:variant>
        <vt:i4>5</vt:i4>
      </vt:variant>
      <vt:variant>
        <vt:lpwstr>https://www.proquest.com/docview/2550245776?accountid=12372&amp;bdid=10814&amp;_bd=LNloKTHa0FXCIhVAv4k9D%2Fu1VTI%3D</vt:lpwstr>
      </vt:variant>
      <vt:variant>
        <vt:lpwstr/>
      </vt:variant>
      <vt:variant>
        <vt:i4>8323092</vt:i4>
      </vt:variant>
      <vt:variant>
        <vt:i4>939</vt:i4>
      </vt:variant>
      <vt:variant>
        <vt:i4>0</vt:i4>
      </vt:variant>
      <vt:variant>
        <vt:i4>5</vt:i4>
      </vt:variant>
      <vt:variant>
        <vt:lpwstr>https://www.proquest.com/docview/2523961389?accountid=12372&amp;bdid=10814&amp;_bd=b82okCKNFI9%2Fd5%2BuS2OsqSS7Zqg%3D</vt:lpwstr>
      </vt:variant>
      <vt:variant>
        <vt:lpwstr/>
      </vt:variant>
      <vt:variant>
        <vt:i4>524406</vt:i4>
      </vt:variant>
      <vt:variant>
        <vt:i4>936</vt:i4>
      </vt:variant>
      <vt:variant>
        <vt:i4>0</vt:i4>
      </vt:variant>
      <vt:variant>
        <vt:i4>5</vt:i4>
      </vt:variant>
      <vt:variant>
        <vt:lpwstr>https://www.proquest.com/docview/2540518821?accountid=12372&amp;bdid=10814&amp;_bd=lnYIPmYjyngauzUSx1qcHXwx%2BU0%3D</vt:lpwstr>
      </vt:variant>
      <vt:variant>
        <vt:lpwstr/>
      </vt:variant>
      <vt:variant>
        <vt:i4>7536755</vt:i4>
      </vt:variant>
      <vt:variant>
        <vt:i4>933</vt:i4>
      </vt:variant>
      <vt:variant>
        <vt:i4>0</vt:i4>
      </vt:variant>
      <vt:variant>
        <vt:i4>5</vt:i4>
      </vt:variant>
      <vt:variant>
        <vt:lpwstr>http://dx.doi.org/10.1080/13668803.2019.1608157</vt:lpwstr>
      </vt:variant>
      <vt:variant>
        <vt:lpwstr/>
      </vt:variant>
      <vt:variant>
        <vt:i4>4456556</vt:i4>
      </vt:variant>
      <vt:variant>
        <vt:i4>930</vt:i4>
      </vt:variant>
      <vt:variant>
        <vt:i4>0</vt:i4>
      </vt:variant>
      <vt:variant>
        <vt:i4>5</vt:i4>
      </vt:variant>
      <vt:variant>
        <vt:lpwstr>https://www.proquest.com/docview/1910837511?accountid=12372&amp;bdid=10814&amp;_bd=O1Z1XvL4wmzdYVD9T7%2FQwdFLpRo%3D</vt:lpwstr>
      </vt:variant>
      <vt:variant>
        <vt:lpwstr/>
      </vt:variant>
      <vt:variant>
        <vt:i4>8126558</vt:i4>
      </vt:variant>
      <vt:variant>
        <vt:i4>927</vt:i4>
      </vt:variant>
      <vt:variant>
        <vt:i4>0</vt:i4>
      </vt:variant>
      <vt:variant>
        <vt:i4>5</vt:i4>
      </vt:variant>
      <vt:variant>
        <vt:lpwstr>https://www.proquest.com/docview/2565791754?accountid=12372&amp;bdid=10814&amp;_bd=gTRB7kYRreN3F%2Boq%2FN4oFFGgdaw%3D</vt:lpwstr>
      </vt:variant>
      <vt:variant>
        <vt:lpwstr/>
      </vt:variant>
      <vt:variant>
        <vt:i4>3473535</vt:i4>
      </vt:variant>
      <vt:variant>
        <vt:i4>924</vt:i4>
      </vt:variant>
      <vt:variant>
        <vt:i4>0</vt:i4>
      </vt:variant>
      <vt:variant>
        <vt:i4>5</vt:i4>
      </vt:variant>
      <vt:variant>
        <vt:lpwstr>https://atrium.lib.uoguelph.ca/xmlui/handle/10214/23073</vt:lpwstr>
      </vt:variant>
      <vt:variant>
        <vt:lpwstr/>
      </vt:variant>
      <vt:variant>
        <vt:i4>3604499</vt:i4>
      </vt:variant>
      <vt:variant>
        <vt:i4>921</vt:i4>
      </vt:variant>
      <vt:variant>
        <vt:i4>0</vt:i4>
      </vt:variant>
      <vt:variant>
        <vt:i4>5</vt:i4>
      </vt:variant>
      <vt:variant>
        <vt:lpwstr>https://www.proquest.com/docview/578106480?accountid=12372&amp;bdid=10814&amp;_bd=E7RGoGs4w4RZ8KNlCHGszDle%2FYI%3D </vt:lpwstr>
      </vt:variant>
      <vt:variant>
        <vt:lpwstr/>
      </vt:variant>
      <vt:variant>
        <vt:i4>7929971</vt:i4>
      </vt:variant>
      <vt:variant>
        <vt:i4>918</vt:i4>
      </vt:variant>
      <vt:variant>
        <vt:i4>0</vt:i4>
      </vt:variant>
      <vt:variant>
        <vt:i4>5</vt:i4>
      </vt:variant>
      <vt:variant>
        <vt:lpwstr>http://dx.doi.org/10.1080/13668803.2018.1487828</vt:lpwstr>
      </vt:variant>
      <vt:variant>
        <vt:lpwstr/>
      </vt:variant>
      <vt:variant>
        <vt:i4>4259889</vt:i4>
      </vt:variant>
      <vt:variant>
        <vt:i4>915</vt:i4>
      </vt:variant>
      <vt:variant>
        <vt:i4>0</vt:i4>
      </vt:variant>
      <vt:variant>
        <vt:i4>5</vt:i4>
      </vt:variant>
      <vt:variant>
        <vt:lpwstr>https://www.proquest.com/docview/2164144596?accountid=12372&amp;bdid=10814&amp;_bd=KBB3Odq6JVeb%2FTaawiPdgIXJ1E8%3D</vt:lpwstr>
      </vt:variant>
      <vt:variant>
        <vt:lpwstr/>
      </vt:variant>
      <vt:variant>
        <vt:i4>7602239</vt:i4>
      </vt:variant>
      <vt:variant>
        <vt:i4>912</vt:i4>
      </vt:variant>
      <vt:variant>
        <vt:i4>0</vt:i4>
      </vt:variant>
      <vt:variant>
        <vt:i4>5</vt:i4>
      </vt:variant>
      <vt:variant>
        <vt:lpwstr>http://dx.doi.org/10.3389/fpsyg.2017.01508</vt:lpwstr>
      </vt:variant>
      <vt:variant>
        <vt:lpwstr/>
      </vt:variant>
      <vt:variant>
        <vt:i4>3604595</vt:i4>
      </vt:variant>
      <vt:variant>
        <vt:i4>909</vt:i4>
      </vt:variant>
      <vt:variant>
        <vt:i4>0</vt:i4>
      </vt:variant>
      <vt:variant>
        <vt:i4>5</vt:i4>
      </vt:variant>
      <vt:variant>
        <vt:lpwstr>http://dx.doi.org/10.3149/fth.0803.300</vt:lpwstr>
      </vt:variant>
      <vt:variant>
        <vt:lpwstr/>
      </vt:variant>
      <vt:variant>
        <vt:i4>2097159</vt:i4>
      </vt:variant>
      <vt:variant>
        <vt:i4>906</vt:i4>
      </vt:variant>
      <vt:variant>
        <vt:i4>0</vt:i4>
      </vt:variant>
      <vt:variant>
        <vt:i4>5</vt:i4>
      </vt:variant>
      <vt:variant>
        <vt:lpwstr>https://www.proquest.com/docview/2118139795?accountid=12372&amp;bdid=10814&amp;_bd=ITU2lwLJsDNW8qFHroE8gd3530o%3D</vt:lpwstr>
      </vt:variant>
      <vt:variant>
        <vt:lpwstr/>
      </vt:variant>
      <vt:variant>
        <vt:i4>2752590</vt:i4>
      </vt:variant>
      <vt:variant>
        <vt:i4>903</vt:i4>
      </vt:variant>
      <vt:variant>
        <vt:i4>0</vt:i4>
      </vt:variant>
      <vt:variant>
        <vt:i4>5</vt:i4>
      </vt:variant>
      <vt:variant>
        <vt:lpwstr>https://www.proquest.com/docview/2550243213?accountid=12372&amp;bdid=10814&amp;_bd=31uoL%2F9moHX%2BfrT6T11UDPONxGo%3D</vt:lpwstr>
      </vt:variant>
      <vt:variant>
        <vt:lpwstr/>
      </vt:variant>
      <vt:variant>
        <vt:i4>8323186</vt:i4>
      </vt:variant>
      <vt:variant>
        <vt:i4>900</vt:i4>
      </vt:variant>
      <vt:variant>
        <vt:i4>0</vt:i4>
      </vt:variant>
      <vt:variant>
        <vt:i4>5</vt:i4>
      </vt:variant>
      <vt:variant>
        <vt:lpwstr>http://dx.doi.org/10.1057/jphp.2010.24</vt:lpwstr>
      </vt:variant>
      <vt:variant>
        <vt:lpwstr/>
      </vt:variant>
      <vt:variant>
        <vt:i4>3670129</vt:i4>
      </vt:variant>
      <vt:variant>
        <vt:i4>897</vt:i4>
      </vt:variant>
      <vt:variant>
        <vt:i4>0</vt:i4>
      </vt:variant>
      <vt:variant>
        <vt:i4>5</vt:i4>
      </vt:variant>
      <vt:variant>
        <vt:lpwstr>http://dx.doi.org/10.3149/fth.1003.337</vt:lpwstr>
      </vt:variant>
      <vt:variant>
        <vt:lpwstr/>
      </vt:variant>
      <vt:variant>
        <vt:i4>2490440</vt:i4>
      </vt:variant>
      <vt:variant>
        <vt:i4>894</vt:i4>
      </vt:variant>
      <vt:variant>
        <vt:i4>0</vt:i4>
      </vt:variant>
      <vt:variant>
        <vt:i4>5</vt:i4>
      </vt:variant>
      <vt:variant>
        <vt:lpwstr>https://www.proquest.com/docview/2422941759?accountid=12372&amp;bdid=10814&amp;_bd=3xrqK58Cjr2SkJaFKuyOAauAldc%3D</vt:lpwstr>
      </vt:variant>
      <vt:variant>
        <vt:lpwstr/>
      </vt:variant>
      <vt:variant>
        <vt:i4>4718652</vt:i4>
      </vt:variant>
      <vt:variant>
        <vt:i4>891</vt:i4>
      </vt:variant>
      <vt:variant>
        <vt:i4>0</vt:i4>
      </vt:variant>
      <vt:variant>
        <vt:i4>5</vt:i4>
      </vt:variant>
      <vt:variant>
        <vt:lpwstr>https://www.proquest.com/docview/222714636?accountid=12372&amp;bdid=10814&amp;_bd=jySHbXMccDmcvYJJQV0D9fKW1qc%3D</vt:lpwstr>
      </vt:variant>
      <vt:variant>
        <vt:lpwstr/>
      </vt:variant>
      <vt:variant>
        <vt:i4>4980777</vt:i4>
      </vt:variant>
      <vt:variant>
        <vt:i4>888</vt:i4>
      </vt:variant>
      <vt:variant>
        <vt:i4>0</vt:i4>
      </vt:variant>
      <vt:variant>
        <vt:i4>5</vt:i4>
      </vt:variant>
      <vt:variant>
        <vt:lpwstr>https://www.proquest.com/docview/2533981406?accountid=12372&amp;bdid=10814&amp;_bd=PghKRqJDuq%2F6RUW2uAVSycnEOro%3D</vt:lpwstr>
      </vt:variant>
      <vt:variant>
        <vt:lpwstr/>
      </vt:variant>
      <vt:variant>
        <vt:i4>7536752</vt:i4>
      </vt:variant>
      <vt:variant>
        <vt:i4>885</vt:i4>
      </vt:variant>
      <vt:variant>
        <vt:i4>0</vt:i4>
      </vt:variant>
      <vt:variant>
        <vt:i4>5</vt:i4>
      </vt:variant>
      <vt:variant>
        <vt:lpwstr>http://dx.doi.org/10.1080/13668803.2018.1428174</vt:lpwstr>
      </vt:variant>
      <vt:variant>
        <vt:lpwstr/>
      </vt:variant>
      <vt:variant>
        <vt:i4>7667837</vt:i4>
      </vt:variant>
      <vt:variant>
        <vt:i4>882</vt:i4>
      </vt:variant>
      <vt:variant>
        <vt:i4>0</vt:i4>
      </vt:variant>
      <vt:variant>
        <vt:i4>5</vt:i4>
      </vt:variant>
      <vt:variant>
        <vt:lpwstr>http://dx.doi.org/10.1080/13668803.2017.1346586</vt:lpwstr>
      </vt:variant>
      <vt:variant>
        <vt:lpwstr/>
      </vt:variant>
      <vt:variant>
        <vt:i4>2162757</vt:i4>
      </vt:variant>
      <vt:variant>
        <vt:i4>879</vt:i4>
      </vt:variant>
      <vt:variant>
        <vt:i4>0</vt:i4>
      </vt:variant>
      <vt:variant>
        <vt:i4>5</vt:i4>
      </vt:variant>
      <vt:variant>
        <vt:lpwstr>https://www.proquest.com/docview/2529608689?accountid=12372&amp;bdid=10814&amp;_bd=gYXmKd94BwSySB2WlXkzeUOe4cA%3D</vt:lpwstr>
      </vt:variant>
      <vt:variant>
        <vt:lpwstr/>
      </vt:variant>
      <vt:variant>
        <vt:i4>1572920</vt:i4>
      </vt:variant>
      <vt:variant>
        <vt:i4>876</vt:i4>
      </vt:variant>
      <vt:variant>
        <vt:i4>0</vt:i4>
      </vt:variant>
      <vt:variant>
        <vt:i4>5</vt:i4>
      </vt:variant>
      <vt:variant>
        <vt:lpwstr>https://www.proquest.com/docview/2343561068?accountid=12372&amp;bdid=10814&amp;_bd=sWcDtgIS3C%2FDHVTyydecNtHBVrs%3D</vt:lpwstr>
      </vt:variant>
      <vt:variant>
        <vt:lpwstr/>
      </vt:variant>
      <vt:variant>
        <vt:i4>2162759</vt:i4>
      </vt:variant>
      <vt:variant>
        <vt:i4>873</vt:i4>
      </vt:variant>
      <vt:variant>
        <vt:i4>0</vt:i4>
      </vt:variant>
      <vt:variant>
        <vt:i4>5</vt:i4>
      </vt:variant>
      <vt:variant>
        <vt:lpwstr>https://www.proquest.com/docview/1967711071?accountid=12372&amp;bdid=10814&amp;_bd=MRGSFRlG8ACWi9MGZsFVLFNKKuo%3D</vt:lpwstr>
      </vt:variant>
      <vt:variant>
        <vt:lpwstr/>
      </vt:variant>
      <vt:variant>
        <vt:i4>8323190</vt:i4>
      </vt:variant>
      <vt:variant>
        <vt:i4>870</vt:i4>
      </vt:variant>
      <vt:variant>
        <vt:i4>0</vt:i4>
      </vt:variant>
      <vt:variant>
        <vt:i4>5</vt:i4>
      </vt:variant>
      <vt:variant>
        <vt:lpwstr>http://dx.doi.org/10.1080/13668803.2018.1527756</vt:lpwstr>
      </vt:variant>
      <vt:variant>
        <vt:lpwstr/>
      </vt:variant>
      <vt:variant>
        <vt:i4>7602294</vt:i4>
      </vt:variant>
      <vt:variant>
        <vt:i4>867</vt:i4>
      </vt:variant>
      <vt:variant>
        <vt:i4>0</vt:i4>
      </vt:variant>
      <vt:variant>
        <vt:i4>5</vt:i4>
      </vt:variant>
      <vt:variant>
        <vt:lpwstr>http://dx.doi.org/10.1080/13668803.2011.571398</vt:lpwstr>
      </vt:variant>
      <vt:variant>
        <vt:lpwstr/>
      </vt:variant>
      <vt:variant>
        <vt:i4>7864444</vt:i4>
      </vt:variant>
      <vt:variant>
        <vt:i4>864</vt:i4>
      </vt:variant>
      <vt:variant>
        <vt:i4>0</vt:i4>
      </vt:variant>
      <vt:variant>
        <vt:i4>5</vt:i4>
      </vt:variant>
      <vt:variant>
        <vt:lpwstr>http://dx.doi.org/10.1080/13668803.2018.1495616</vt:lpwstr>
      </vt:variant>
      <vt:variant>
        <vt:lpwstr/>
      </vt:variant>
      <vt:variant>
        <vt:i4>5570650</vt:i4>
      </vt:variant>
      <vt:variant>
        <vt:i4>861</vt:i4>
      </vt:variant>
      <vt:variant>
        <vt:i4>0</vt:i4>
      </vt:variant>
      <vt:variant>
        <vt:i4>5</vt:i4>
      </vt:variant>
      <vt:variant>
        <vt:lpwstr>http://dx.doi.org/10.1080/1366880022000041801</vt:lpwstr>
      </vt:variant>
      <vt:variant>
        <vt:lpwstr/>
      </vt:variant>
      <vt:variant>
        <vt:i4>5177393</vt:i4>
      </vt:variant>
      <vt:variant>
        <vt:i4>858</vt:i4>
      </vt:variant>
      <vt:variant>
        <vt:i4>0</vt:i4>
      </vt:variant>
      <vt:variant>
        <vt:i4>5</vt:i4>
      </vt:variant>
      <vt:variant>
        <vt:lpwstr>https://www.proquest.com/docview/2210376921?accountid=12372&amp;bdid=10814&amp;_bd=m%2FgllmdxEKLIhZxBsrKMtSmvbnc%3D</vt:lpwstr>
      </vt:variant>
      <vt:variant>
        <vt:lpwstr/>
      </vt:variant>
      <vt:variant>
        <vt:i4>3080217</vt:i4>
      </vt:variant>
      <vt:variant>
        <vt:i4>855</vt:i4>
      </vt:variant>
      <vt:variant>
        <vt:i4>0</vt:i4>
      </vt:variant>
      <vt:variant>
        <vt:i4>5</vt:i4>
      </vt:variant>
      <vt:variant>
        <vt:lpwstr>https://www.proquest.com/docview/2413905292?accountid=12372&amp;bdid=10814&amp;_bd=8a20935iBtKzFmpQ7v1cIwJGGj0%3D</vt:lpwstr>
      </vt:variant>
      <vt:variant>
        <vt:lpwstr/>
      </vt:variant>
      <vt:variant>
        <vt:i4>2228248</vt:i4>
      </vt:variant>
      <vt:variant>
        <vt:i4>852</vt:i4>
      </vt:variant>
      <vt:variant>
        <vt:i4>0</vt:i4>
      </vt:variant>
      <vt:variant>
        <vt:i4>5</vt:i4>
      </vt:variant>
      <vt:variant>
        <vt:lpwstr>https://www.proquest.com/docview/1514766135?accountid=12372&amp;bdid=10814&amp;_bd=9H54ozsL6zGoYYV5z3o1TLa7k9g%3D</vt:lpwstr>
      </vt:variant>
      <vt:variant>
        <vt:lpwstr/>
      </vt:variant>
      <vt:variant>
        <vt:i4>7405605</vt:i4>
      </vt:variant>
      <vt:variant>
        <vt:i4>849</vt:i4>
      </vt:variant>
      <vt:variant>
        <vt:i4>0</vt:i4>
      </vt:variant>
      <vt:variant>
        <vt:i4>5</vt:i4>
      </vt:variant>
      <vt:variant>
        <vt:lpwstr>http://dx.doi.org/10.1007/s11199-012-0142-6</vt:lpwstr>
      </vt:variant>
      <vt:variant>
        <vt:lpwstr/>
      </vt:variant>
      <vt:variant>
        <vt:i4>5177461</vt:i4>
      </vt:variant>
      <vt:variant>
        <vt:i4>846</vt:i4>
      </vt:variant>
      <vt:variant>
        <vt:i4>0</vt:i4>
      </vt:variant>
      <vt:variant>
        <vt:i4>5</vt:i4>
      </vt:variant>
      <vt:variant>
        <vt:lpwstr>https://www.proquest.com/docview/2331603492?accountid=12372&amp;bdid=10814&amp;_bd=xgWL7A5bnf8FW71DQBkX0S%2FxLa8%3D</vt:lpwstr>
      </vt:variant>
      <vt:variant>
        <vt:lpwstr/>
      </vt:variant>
      <vt:variant>
        <vt:i4>6160511</vt:i4>
      </vt:variant>
      <vt:variant>
        <vt:i4>843</vt:i4>
      </vt:variant>
      <vt:variant>
        <vt:i4>0</vt:i4>
      </vt:variant>
      <vt:variant>
        <vt:i4>5</vt:i4>
      </vt:variant>
      <vt:variant>
        <vt:lpwstr>https://www.proquest.com/docview/1022965792?accountid=12372&amp;bdid=10814&amp;_bd=%2FnqbOiwCDvDXwdWgLyTmpoB6CbY%3D</vt:lpwstr>
      </vt:variant>
      <vt:variant>
        <vt:lpwstr/>
      </vt:variant>
      <vt:variant>
        <vt:i4>7471111</vt:i4>
      </vt:variant>
      <vt:variant>
        <vt:i4>840</vt:i4>
      </vt:variant>
      <vt:variant>
        <vt:i4>0</vt:i4>
      </vt:variant>
      <vt:variant>
        <vt:i4>5</vt:i4>
      </vt:variant>
      <vt:variant>
        <vt:lpwstr>https://www.proquest.com/docview/2451091754?accountid=12372&amp;bdid=10814&amp;_bd=HM2vQb5ZILDEcqrevFNEIgYxrbk%3D</vt:lpwstr>
      </vt:variant>
      <vt:variant>
        <vt:lpwstr/>
      </vt:variant>
      <vt:variant>
        <vt:i4>5636208</vt:i4>
      </vt:variant>
      <vt:variant>
        <vt:i4>837</vt:i4>
      </vt:variant>
      <vt:variant>
        <vt:i4>0</vt:i4>
      </vt:variant>
      <vt:variant>
        <vt:i4>5</vt:i4>
      </vt:variant>
      <vt:variant>
        <vt:lpwstr>https://www.proquest.com/docview/219764717?accountid=12372&amp;bdid=10814&amp;_bd=%2BnuLtvzHErAgXr3czW%2BwI7eHr98%3D</vt:lpwstr>
      </vt:variant>
      <vt:variant>
        <vt:lpwstr/>
      </vt:variant>
      <vt:variant>
        <vt:i4>393338</vt:i4>
      </vt:variant>
      <vt:variant>
        <vt:i4>834</vt:i4>
      </vt:variant>
      <vt:variant>
        <vt:i4>0</vt:i4>
      </vt:variant>
      <vt:variant>
        <vt:i4>5</vt:i4>
      </vt:variant>
      <vt:variant>
        <vt:lpwstr>https://www.proquest.com/docview/2503244189?accountid=12372&amp;bdid=10814&amp;_bd=pzYT80tmxJ3hXC1Y8s7RW%2BTYzLk%3D</vt:lpwstr>
      </vt:variant>
      <vt:variant>
        <vt:lpwstr/>
      </vt:variant>
      <vt:variant>
        <vt:i4>6619240</vt:i4>
      </vt:variant>
      <vt:variant>
        <vt:i4>831</vt:i4>
      </vt:variant>
      <vt:variant>
        <vt:i4>0</vt:i4>
      </vt:variant>
      <vt:variant>
        <vt:i4>5</vt:i4>
      </vt:variant>
      <vt:variant>
        <vt:lpwstr>http://dx.doi.org/10.1177/0038026118809002</vt:lpwstr>
      </vt:variant>
      <vt:variant>
        <vt:lpwstr/>
      </vt:variant>
      <vt:variant>
        <vt:i4>6488164</vt:i4>
      </vt:variant>
      <vt:variant>
        <vt:i4>828</vt:i4>
      </vt:variant>
      <vt:variant>
        <vt:i4>0</vt:i4>
      </vt:variant>
      <vt:variant>
        <vt:i4>5</vt:i4>
      </vt:variant>
      <vt:variant>
        <vt:lpwstr>http://dx.doi.org/10.1177/09500170122118940</vt:lpwstr>
      </vt:variant>
      <vt:variant>
        <vt:lpwstr/>
      </vt:variant>
      <vt:variant>
        <vt:i4>4784197</vt:i4>
      </vt:variant>
      <vt:variant>
        <vt:i4>825</vt:i4>
      </vt:variant>
      <vt:variant>
        <vt:i4>0</vt:i4>
      </vt:variant>
      <vt:variant>
        <vt:i4>5</vt:i4>
      </vt:variant>
      <vt:variant>
        <vt:lpwstr>http://dx.doi.org/10.1111/gwao.12240</vt:lpwstr>
      </vt:variant>
      <vt:variant>
        <vt:lpwstr/>
      </vt:variant>
      <vt:variant>
        <vt:i4>7012358</vt:i4>
      </vt:variant>
      <vt:variant>
        <vt:i4>822</vt:i4>
      </vt:variant>
      <vt:variant>
        <vt:i4>0</vt:i4>
      </vt:variant>
      <vt:variant>
        <vt:i4>5</vt:i4>
      </vt:variant>
      <vt:variant>
        <vt:lpwstr>https://www.proquest.com/docview/229866211?accountid=12372&amp;bdid=10814&amp;_bd=i7NnNJ9S%2BXuMJQ5h6dlCiZQ4FwI%3D</vt:lpwstr>
      </vt:variant>
      <vt:variant>
        <vt:lpwstr/>
      </vt:variant>
      <vt:variant>
        <vt:i4>5832719</vt:i4>
      </vt:variant>
      <vt:variant>
        <vt:i4>819</vt:i4>
      </vt:variant>
      <vt:variant>
        <vt:i4>0</vt:i4>
      </vt:variant>
      <vt:variant>
        <vt:i4>5</vt:i4>
      </vt:variant>
      <vt:variant>
        <vt:lpwstr>http://dx.doi.org/10.1007/s11199-020-01165-7</vt:lpwstr>
      </vt:variant>
      <vt:variant>
        <vt:lpwstr/>
      </vt:variant>
      <vt:variant>
        <vt:i4>2556014</vt:i4>
      </vt:variant>
      <vt:variant>
        <vt:i4>816</vt:i4>
      </vt:variant>
      <vt:variant>
        <vt:i4>0</vt:i4>
      </vt:variant>
      <vt:variant>
        <vt:i4>5</vt:i4>
      </vt:variant>
      <vt:variant>
        <vt:lpwstr>https://doi.org/10.1111/josi.12012</vt:lpwstr>
      </vt:variant>
      <vt:variant>
        <vt:lpwstr/>
      </vt:variant>
      <vt:variant>
        <vt:i4>7405674</vt:i4>
      </vt:variant>
      <vt:variant>
        <vt:i4>813</vt:i4>
      </vt:variant>
      <vt:variant>
        <vt:i4>0</vt:i4>
      </vt:variant>
      <vt:variant>
        <vt:i4>5</vt:i4>
      </vt:variant>
      <vt:variant>
        <vt:lpwstr>https://doi.org/10.1177%2F0018726717733313</vt:lpwstr>
      </vt:variant>
      <vt:variant>
        <vt:lpwstr/>
      </vt:variant>
      <vt:variant>
        <vt:i4>4128891</vt:i4>
      </vt:variant>
      <vt:variant>
        <vt:i4>810</vt:i4>
      </vt:variant>
      <vt:variant>
        <vt:i4>0</vt:i4>
      </vt:variant>
      <vt:variant>
        <vt:i4>5</vt:i4>
      </vt:variant>
      <vt:variant>
        <vt:lpwstr>https://stats.oecd.org/index.aspx?queryid=54757</vt:lpwstr>
      </vt:variant>
      <vt:variant>
        <vt:lpwstr/>
      </vt:variant>
      <vt:variant>
        <vt:i4>4784199</vt:i4>
      </vt:variant>
      <vt:variant>
        <vt:i4>807</vt:i4>
      </vt:variant>
      <vt:variant>
        <vt:i4>0</vt:i4>
      </vt:variant>
      <vt:variant>
        <vt:i4>5</vt:i4>
      </vt:variant>
      <vt:variant>
        <vt:lpwstr>https://doi.org/10.1371/journal.pmed.1000097 </vt:lpwstr>
      </vt:variant>
      <vt:variant>
        <vt:lpwstr/>
      </vt:variant>
      <vt:variant>
        <vt:i4>1966169</vt:i4>
      </vt:variant>
      <vt:variant>
        <vt:i4>804</vt:i4>
      </vt:variant>
      <vt:variant>
        <vt:i4>0</vt:i4>
      </vt:variant>
      <vt:variant>
        <vt:i4>5</vt:i4>
      </vt:variant>
      <vt:variant>
        <vt:lpwstr>https://doi.org/10.1177/0002716209334435</vt:lpwstr>
      </vt:variant>
      <vt:variant>
        <vt:lpwstr/>
      </vt:variant>
      <vt:variant>
        <vt:i4>1638486</vt:i4>
      </vt:variant>
      <vt:variant>
        <vt:i4>801</vt:i4>
      </vt:variant>
      <vt:variant>
        <vt:i4>0</vt:i4>
      </vt:variant>
      <vt:variant>
        <vt:i4>5</vt:i4>
      </vt:variant>
      <vt:variant>
        <vt:lpwstr>https://doi.org/10.1080/09585190601167441</vt:lpwstr>
      </vt:variant>
      <vt:variant>
        <vt:lpwstr/>
      </vt:variant>
      <vt:variant>
        <vt:i4>3604590</vt:i4>
      </vt:variant>
      <vt:variant>
        <vt:i4>798</vt:i4>
      </vt:variant>
      <vt:variant>
        <vt:i4>0</vt:i4>
      </vt:variant>
      <vt:variant>
        <vt:i4>5</vt:i4>
      </vt:variant>
      <vt:variant>
        <vt:lpwstr>https://doi.org/10.1111/jftr.12363</vt:lpwstr>
      </vt:variant>
      <vt:variant>
        <vt:lpwstr/>
      </vt:variant>
      <vt:variant>
        <vt:i4>589916</vt:i4>
      </vt:variant>
      <vt:variant>
        <vt:i4>795</vt:i4>
      </vt:variant>
      <vt:variant>
        <vt:i4>0</vt:i4>
      </vt:variant>
      <vt:variant>
        <vt:i4>5</vt:i4>
      </vt:variant>
      <vt:variant>
        <vt:lpwstr>http://www.jstor.org/stable/10.7758/9781610441384</vt:lpwstr>
      </vt:variant>
      <vt:variant>
        <vt:lpwstr/>
      </vt:variant>
      <vt:variant>
        <vt:i4>262156</vt:i4>
      </vt:variant>
      <vt:variant>
        <vt:i4>792</vt:i4>
      </vt:variant>
      <vt:variant>
        <vt:i4>0</vt:i4>
      </vt:variant>
      <vt:variant>
        <vt:i4>5</vt:i4>
      </vt:variant>
      <vt:variant>
        <vt:lpwstr>http://doi.apa.org/getdoi.cfm?doi=10.1037/rev0000209</vt:lpwstr>
      </vt:variant>
      <vt:variant>
        <vt:lpwstr/>
      </vt:variant>
      <vt:variant>
        <vt:i4>6226015</vt:i4>
      </vt:variant>
      <vt:variant>
        <vt:i4>789</vt:i4>
      </vt:variant>
      <vt:variant>
        <vt:i4>0</vt:i4>
      </vt:variant>
      <vt:variant>
        <vt:i4>5</vt:i4>
      </vt:variant>
      <vt:variant>
        <vt:lpwstr>https://vpsc.vic.gov.au/resources/flexible-work-policy-and-resources/</vt:lpwstr>
      </vt:variant>
      <vt:variant>
        <vt:lpwstr/>
      </vt:variant>
      <vt:variant>
        <vt:i4>1441865</vt:i4>
      </vt:variant>
      <vt:variant>
        <vt:i4>786</vt:i4>
      </vt:variant>
      <vt:variant>
        <vt:i4>0</vt:i4>
      </vt:variant>
      <vt:variant>
        <vt:i4>5</vt:i4>
      </vt:variant>
      <vt:variant>
        <vt:lpwstr>https://workfamilyhealthnetwork.org/</vt:lpwstr>
      </vt:variant>
      <vt:variant>
        <vt:lpwstr/>
      </vt:variant>
      <vt:variant>
        <vt:i4>458764</vt:i4>
      </vt:variant>
      <vt:variant>
        <vt:i4>783</vt:i4>
      </vt:variant>
      <vt:variant>
        <vt:i4>0</vt:i4>
      </vt:variant>
      <vt:variant>
        <vt:i4>5</vt:i4>
      </vt:variant>
      <vt:variant>
        <vt:lpwstr>https://www.wgea.gov.au/flexible-work</vt:lpwstr>
      </vt:variant>
      <vt:variant>
        <vt:lpwstr/>
      </vt:variant>
      <vt:variant>
        <vt:i4>4128803</vt:i4>
      </vt:variant>
      <vt:variant>
        <vt:i4>780</vt:i4>
      </vt:variant>
      <vt:variant>
        <vt:i4>0</vt:i4>
      </vt:variant>
      <vt:variant>
        <vt:i4>5</vt:i4>
      </vt:variant>
      <vt:variant>
        <vt:lpwstr>https://www.vic.gov.au/recruit-smarter</vt:lpwstr>
      </vt:variant>
      <vt:variant>
        <vt:lpwstr/>
      </vt:variant>
      <vt:variant>
        <vt:i4>2293867</vt:i4>
      </vt:variant>
      <vt:variant>
        <vt:i4>777</vt:i4>
      </vt:variant>
      <vt:variant>
        <vt:i4>0</vt:i4>
      </vt:variant>
      <vt:variant>
        <vt:i4>5</vt:i4>
      </vt:variant>
      <vt:variant>
        <vt:lpwstr>https://doi.org/10.5465/257057</vt:lpwstr>
      </vt:variant>
      <vt:variant>
        <vt:lpwstr/>
      </vt:variant>
      <vt:variant>
        <vt:i4>3276858</vt:i4>
      </vt:variant>
      <vt:variant>
        <vt:i4>774</vt:i4>
      </vt:variant>
      <vt:variant>
        <vt:i4>0</vt:i4>
      </vt:variant>
      <vt:variant>
        <vt:i4>5</vt:i4>
      </vt:variant>
      <vt:variant>
        <vt:lpwstr>http://hdl.handle.net/11343/225853</vt:lpwstr>
      </vt:variant>
      <vt:variant>
        <vt:lpwstr/>
      </vt:variant>
      <vt:variant>
        <vt:i4>1900633</vt:i4>
      </vt:variant>
      <vt:variant>
        <vt:i4>771</vt:i4>
      </vt:variant>
      <vt:variant>
        <vt:i4>0</vt:i4>
      </vt:variant>
      <vt:variant>
        <vt:i4>5</vt:i4>
      </vt:variant>
      <vt:variant>
        <vt:lpwstr>https://doi.org/10.1177/09637214211013775</vt:lpwstr>
      </vt:variant>
      <vt:variant>
        <vt:lpwstr/>
      </vt:variant>
      <vt:variant>
        <vt:i4>589916</vt:i4>
      </vt:variant>
      <vt:variant>
        <vt:i4>768</vt:i4>
      </vt:variant>
      <vt:variant>
        <vt:i4>0</vt:i4>
      </vt:variant>
      <vt:variant>
        <vt:i4>5</vt:i4>
      </vt:variant>
      <vt:variant>
        <vt:lpwstr>http://www.jstor.org/stable/10.7758/9781610441384</vt:lpwstr>
      </vt:variant>
      <vt:variant>
        <vt:lpwstr/>
      </vt:variant>
      <vt:variant>
        <vt:i4>2424939</vt:i4>
      </vt:variant>
      <vt:variant>
        <vt:i4>765</vt:i4>
      </vt:variant>
      <vt:variant>
        <vt:i4>0</vt:i4>
      </vt:variant>
      <vt:variant>
        <vt:i4>5</vt:i4>
      </vt:variant>
      <vt:variant>
        <vt:lpwstr>https://doi.org/https://doi.org/10.1016/j.hrmr.2021.100832</vt:lpwstr>
      </vt:variant>
      <vt:variant>
        <vt:lpwstr/>
      </vt:variant>
      <vt:variant>
        <vt:i4>1900633</vt:i4>
      </vt:variant>
      <vt:variant>
        <vt:i4>762</vt:i4>
      </vt:variant>
      <vt:variant>
        <vt:i4>0</vt:i4>
      </vt:variant>
      <vt:variant>
        <vt:i4>5</vt:i4>
      </vt:variant>
      <vt:variant>
        <vt:lpwstr>https://doi.org/10.1177/09637214211013775</vt:lpwstr>
      </vt:variant>
      <vt:variant>
        <vt:lpwstr/>
      </vt:variant>
      <vt:variant>
        <vt:i4>262149</vt:i4>
      </vt:variant>
      <vt:variant>
        <vt:i4>759</vt:i4>
      </vt:variant>
      <vt:variant>
        <vt:i4>0</vt:i4>
      </vt:variant>
      <vt:variant>
        <vt:i4>5</vt:i4>
      </vt:variant>
      <vt:variant>
        <vt:lpwstr>https://www.legislation.vic.gov.au/as-made/acts/gender-equality-act-2020</vt:lpwstr>
      </vt:variant>
      <vt:variant>
        <vt:lpwstr/>
      </vt:variant>
      <vt:variant>
        <vt:i4>1114175</vt:i4>
      </vt:variant>
      <vt:variant>
        <vt:i4>752</vt:i4>
      </vt:variant>
      <vt:variant>
        <vt:i4>0</vt:i4>
      </vt:variant>
      <vt:variant>
        <vt:i4>5</vt:i4>
      </vt:variant>
      <vt:variant>
        <vt:lpwstr/>
      </vt:variant>
      <vt:variant>
        <vt:lpwstr>_Toc96878661</vt:lpwstr>
      </vt:variant>
      <vt:variant>
        <vt:i4>1048639</vt:i4>
      </vt:variant>
      <vt:variant>
        <vt:i4>746</vt:i4>
      </vt:variant>
      <vt:variant>
        <vt:i4>0</vt:i4>
      </vt:variant>
      <vt:variant>
        <vt:i4>5</vt:i4>
      </vt:variant>
      <vt:variant>
        <vt:lpwstr/>
      </vt:variant>
      <vt:variant>
        <vt:lpwstr>_Toc96878660</vt:lpwstr>
      </vt:variant>
      <vt:variant>
        <vt:i4>1638460</vt:i4>
      </vt:variant>
      <vt:variant>
        <vt:i4>740</vt:i4>
      </vt:variant>
      <vt:variant>
        <vt:i4>0</vt:i4>
      </vt:variant>
      <vt:variant>
        <vt:i4>5</vt:i4>
      </vt:variant>
      <vt:variant>
        <vt:lpwstr/>
      </vt:variant>
      <vt:variant>
        <vt:lpwstr>_Toc96878659</vt:lpwstr>
      </vt:variant>
      <vt:variant>
        <vt:i4>1572924</vt:i4>
      </vt:variant>
      <vt:variant>
        <vt:i4>734</vt:i4>
      </vt:variant>
      <vt:variant>
        <vt:i4>0</vt:i4>
      </vt:variant>
      <vt:variant>
        <vt:i4>5</vt:i4>
      </vt:variant>
      <vt:variant>
        <vt:lpwstr/>
      </vt:variant>
      <vt:variant>
        <vt:lpwstr>_Toc96878658</vt:lpwstr>
      </vt:variant>
      <vt:variant>
        <vt:i4>1507388</vt:i4>
      </vt:variant>
      <vt:variant>
        <vt:i4>728</vt:i4>
      </vt:variant>
      <vt:variant>
        <vt:i4>0</vt:i4>
      </vt:variant>
      <vt:variant>
        <vt:i4>5</vt:i4>
      </vt:variant>
      <vt:variant>
        <vt:lpwstr/>
      </vt:variant>
      <vt:variant>
        <vt:lpwstr>_Toc96878657</vt:lpwstr>
      </vt:variant>
      <vt:variant>
        <vt:i4>1441852</vt:i4>
      </vt:variant>
      <vt:variant>
        <vt:i4>722</vt:i4>
      </vt:variant>
      <vt:variant>
        <vt:i4>0</vt:i4>
      </vt:variant>
      <vt:variant>
        <vt:i4>5</vt:i4>
      </vt:variant>
      <vt:variant>
        <vt:lpwstr/>
      </vt:variant>
      <vt:variant>
        <vt:lpwstr>_Toc96878656</vt:lpwstr>
      </vt:variant>
      <vt:variant>
        <vt:i4>1376316</vt:i4>
      </vt:variant>
      <vt:variant>
        <vt:i4>716</vt:i4>
      </vt:variant>
      <vt:variant>
        <vt:i4>0</vt:i4>
      </vt:variant>
      <vt:variant>
        <vt:i4>5</vt:i4>
      </vt:variant>
      <vt:variant>
        <vt:lpwstr/>
      </vt:variant>
      <vt:variant>
        <vt:lpwstr>_Toc96878655</vt:lpwstr>
      </vt:variant>
      <vt:variant>
        <vt:i4>1310780</vt:i4>
      </vt:variant>
      <vt:variant>
        <vt:i4>710</vt:i4>
      </vt:variant>
      <vt:variant>
        <vt:i4>0</vt:i4>
      </vt:variant>
      <vt:variant>
        <vt:i4>5</vt:i4>
      </vt:variant>
      <vt:variant>
        <vt:lpwstr/>
      </vt:variant>
      <vt:variant>
        <vt:lpwstr>_Toc96878654</vt:lpwstr>
      </vt:variant>
      <vt:variant>
        <vt:i4>1245244</vt:i4>
      </vt:variant>
      <vt:variant>
        <vt:i4>704</vt:i4>
      </vt:variant>
      <vt:variant>
        <vt:i4>0</vt:i4>
      </vt:variant>
      <vt:variant>
        <vt:i4>5</vt:i4>
      </vt:variant>
      <vt:variant>
        <vt:lpwstr/>
      </vt:variant>
      <vt:variant>
        <vt:lpwstr>_Toc96878653</vt:lpwstr>
      </vt:variant>
      <vt:variant>
        <vt:i4>1179708</vt:i4>
      </vt:variant>
      <vt:variant>
        <vt:i4>698</vt:i4>
      </vt:variant>
      <vt:variant>
        <vt:i4>0</vt:i4>
      </vt:variant>
      <vt:variant>
        <vt:i4>5</vt:i4>
      </vt:variant>
      <vt:variant>
        <vt:lpwstr/>
      </vt:variant>
      <vt:variant>
        <vt:lpwstr>_Toc96878652</vt:lpwstr>
      </vt:variant>
      <vt:variant>
        <vt:i4>1114172</vt:i4>
      </vt:variant>
      <vt:variant>
        <vt:i4>692</vt:i4>
      </vt:variant>
      <vt:variant>
        <vt:i4>0</vt:i4>
      </vt:variant>
      <vt:variant>
        <vt:i4>5</vt:i4>
      </vt:variant>
      <vt:variant>
        <vt:lpwstr/>
      </vt:variant>
      <vt:variant>
        <vt:lpwstr>_Toc96878651</vt:lpwstr>
      </vt:variant>
      <vt:variant>
        <vt:i4>1048636</vt:i4>
      </vt:variant>
      <vt:variant>
        <vt:i4>686</vt:i4>
      </vt:variant>
      <vt:variant>
        <vt:i4>0</vt:i4>
      </vt:variant>
      <vt:variant>
        <vt:i4>5</vt:i4>
      </vt:variant>
      <vt:variant>
        <vt:lpwstr/>
      </vt:variant>
      <vt:variant>
        <vt:lpwstr>_Toc96878650</vt:lpwstr>
      </vt:variant>
      <vt:variant>
        <vt:i4>1638461</vt:i4>
      </vt:variant>
      <vt:variant>
        <vt:i4>680</vt:i4>
      </vt:variant>
      <vt:variant>
        <vt:i4>0</vt:i4>
      </vt:variant>
      <vt:variant>
        <vt:i4>5</vt:i4>
      </vt:variant>
      <vt:variant>
        <vt:lpwstr/>
      </vt:variant>
      <vt:variant>
        <vt:lpwstr>_Toc96878649</vt:lpwstr>
      </vt:variant>
      <vt:variant>
        <vt:i4>1572925</vt:i4>
      </vt:variant>
      <vt:variant>
        <vt:i4>674</vt:i4>
      </vt:variant>
      <vt:variant>
        <vt:i4>0</vt:i4>
      </vt:variant>
      <vt:variant>
        <vt:i4>5</vt:i4>
      </vt:variant>
      <vt:variant>
        <vt:lpwstr/>
      </vt:variant>
      <vt:variant>
        <vt:lpwstr>_Toc96878648</vt:lpwstr>
      </vt:variant>
      <vt:variant>
        <vt:i4>1507389</vt:i4>
      </vt:variant>
      <vt:variant>
        <vt:i4>668</vt:i4>
      </vt:variant>
      <vt:variant>
        <vt:i4>0</vt:i4>
      </vt:variant>
      <vt:variant>
        <vt:i4>5</vt:i4>
      </vt:variant>
      <vt:variant>
        <vt:lpwstr/>
      </vt:variant>
      <vt:variant>
        <vt:lpwstr>_Toc96878647</vt:lpwstr>
      </vt:variant>
      <vt:variant>
        <vt:i4>1441853</vt:i4>
      </vt:variant>
      <vt:variant>
        <vt:i4>662</vt:i4>
      </vt:variant>
      <vt:variant>
        <vt:i4>0</vt:i4>
      </vt:variant>
      <vt:variant>
        <vt:i4>5</vt:i4>
      </vt:variant>
      <vt:variant>
        <vt:lpwstr/>
      </vt:variant>
      <vt:variant>
        <vt:lpwstr>_Toc96878646</vt:lpwstr>
      </vt:variant>
      <vt:variant>
        <vt:i4>1376317</vt:i4>
      </vt:variant>
      <vt:variant>
        <vt:i4>656</vt:i4>
      </vt:variant>
      <vt:variant>
        <vt:i4>0</vt:i4>
      </vt:variant>
      <vt:variant>
        <vt:i4>5</vt:i4>
      </vt:variant>
      <vt:variant>
        <vt:lpwstr/>
      </vt:variant>
      <vt:variant>
        <vt:lpwstr>_Toc96878645</vt:lpwstr>
      </vt:variant>
      <vt:variant>
        <vt:i4>1310781</vt:i4>
      </vt:variant>
      <vt:variant>
        <vt:i4>650</vt:i4>
      </vt:variant>
      <vt:variant>
        <vt:i4>0</vt:i4>
      </vt:variant>
      <vt:variant>
        <vt:i4>5</vt:i4>
      </vt:variant>
      <vt:variant>
        <vt:lpwstr/>
      </vt:variant>
      <vt:variant>
        <vt:lpwstr>_Toc96878644</vt:lpwstr>
      </vt:variant>
      <vt:variant>
        <vt:i4>1245245</vt:i4>
      </vt:variant>
      <vt:variant>
        <vt:i4>644</vt:i4>
      </vt:variant>
      <vt:variant>
        <vt:i4>0</vt:i4>
      </vt:variant>
      <vt:variant>
        <vt:i4>5</vt:i4>
      </vt:variant>
      <vt:variant>
        <vt:lpwstr/>
      </vt:variant>
      <vt:variant>
        <vt:lpwstr>_Toc96878643</vt:lpwstr>
      </vt:variant>
      <vt:variant>
        <vt:i4>1179709</vt:i4>
      </vt:variant>
      <vt:variant>
        <vt:i4>638</vt:i4>
      </vt:variant>
      <vt:variant>
        <vt:i4>0</vt:i4>
      </vt:variant>
      <vt:variant>
        <vt:i4>5</vt:i4>
      </vt:variant>
      <vt:variant>
        <vt:lpwstr/>
      </vt:variant>
      <vt:variant>
        <vt:lpwstr>_Toc96878642</vt:lpwstr>
      </vt:variant>
      <vt:variant>
        <vt:i4>1441850</vt:i4>
      </vt:variant>
      <vt:variant>
        <vt:i4>632</vt:i4>
      </vt:variant>
      <vt:variant>
        <vt:i4>0</vt:i4>
      </vt:variant>
      <vt:variant>
        <vt:i4>5</vt:i4>
      </vt:variant>
      <vt:variant>
        <vt:lpwstr/>
      </vt:variant>
      <vt:variant>
        <vt:lpwstr>_Toc96878636</vt:lpwstr>
      </vt:variant>
      <vt:variant>
        <vt:i4>1376314</vt:i4>
      </vt:variant>
      <vt:variant>
        <vt:i4>626</vt:i4>
      </vt:variant>
      <vt:variant>
        <vt:i4>0</vt:i4>
      </vt:variant>
      <vt:variant>
        <vt:i4>5</vt:i4>
      </vt:variant>
      <vt:variant>
        <vt:lpwstr/>
      </vt:variant>
      <vt:variant>
        <vt:lpwstr>_Toc96878635</vt:lpwstr>
      </vt:variant>
      <vt:variant>
        <vt:i4>1769531</vt:i4>
      </vt:variant>
      <vt:variant>
        <vt:i4>617</vt:i4>
      </vt:variant>
      <vt:variant>
        <vt:i4>0</vt:i4>
      </vt:variant>
      <vt:variant>
        <vt:i4>5</vt:i4>
      </vt:variant>
      <vt:variant>
        <vt:lpwstr/>
      </vt:variant>
      <vt:variant>
        <vt:lpwstr>_Toc96878429</vt:lpwstr>
      </vt:variant>
      <vt:variant>
        <vt:i4>1048633</vt:i4>
      </vt:variant>
      <vt:variant>
        <vt:i4>611</vt:i4>
      </vt:variant>
      <vt:variant>
        <vt:i4>0</vt:i4>
      </vt:variant>
      <vt:variant>
        <vt:i4>5</vt:i4>
      </vt:variant>
      <vt:variant>
        <vt:lpwstr/>
      </vt:variant>
      <vt:variant>
        <vt:lpwstr>_Toc96878402</vt:lpwstr>
      </vt:variant>
      <vt:variant>
        <vt:i4>1310780</vt:i4>
      </vt:variant>
      <vt:variant>
        <vt:i4>605</vt:i4>
      </vt:variant>
      <vt:variant>
        <vt:i4>0</vt:i4>
      </vt:variant>
      <vt:variant>
        <vt:i4>5</vt:i4>
      </vt:variant>
      <vt:variant>
        <vt:lpwstr/>
      </vt:variant>
      <vt:variant>
        <vt:lpwstr>_Toc96878351</vt:lpwstr>
      </vt:variant>
      <vt:variant>
        <vt:i4>1376313</vt:i4>
      </vt:variant>
      <vt:variant>
        <vt:i4>599</vt:i4>
      </vt:variant>
      <vt:variant>
        <vt:i4>0</vt:i4>
      </vt:variant>
      <vt:variant>
        <vt:i4>5</vt:i4>
      </vt:variant>
      <vt:variant>
        <vt:lpwstr/>
      </vt:variant>
      <vt:variant>
        <vt:lpwstr>_Toc96878300</vt:lpwstr>
      </vt:variant>
      <vt:variant>
        <vt:i4>1114161</vt:i4>
      </vt:variant>
      <vt:variant>
        <vt:i4>593</vt:i4>
      </vt:variant>
      <vt:variant>
        <vt:i4>0</vt:i4>
      </vt:variant>
      <vt:variant>
        <vt:i4>5</vt:i4>
      </vt:variant>
      <vt:variant>
        <vt:lpwstr/>
      </vt:variant>
      <vt:variant>
        <vt:lpwstr>_Toc96878285</vt:lpwstr>
      </vt:variant>
      <vt:variant>
        <vt:i4>1048625</vt:i4>
      </vt:variant>
      <vt:variant>
        <vt:i4>587</vt:i4>
      </vt:variant>
      <vt:variant>
        <vt:i4>0</vt:i4>
      </vt:variant>
      <vt:variant>
        <vt:i4>5</vt:i4>
      </vt:variant>
      <vt:variant>
        <vt:lpwstr/>
      </vt:variant>
      <vt:variant>
        <vt:lpwstr>_Toc96878284</vt:lpwstr>
      </vt:variant>
      <vt:variant>
        <vt:i4>1900604</vt:i4>
      </vt:variant>
      <vt:variant>
        <vt:i4>581</vt:i4>
      </vt:variant>
      <vt:variant>
        <vt:i4>0</vt:i4>
      </vt:variant>
      <vt:variant>
        <vt:i4>5</vt:i4>
      </vt:variant>
      <vt:variant>
        <vt:lpwstr/>
      </vt:variant>
      <vt:variant>
        <vt:lpwstr>_Toc96878259</vt:lpwstr>
      </vt:variant>
      <vt:variant>
        <vt:i4>1245234</vt:i4>
      </vt:variant>
      <vt:variant>
        <vt:i4>572</vt:i4>
      </vt:variant>
      <vt:variant>
        <vt:i4>0</vt:i4>
      </vt:variant>
      <vt:variant>
        <vt:i4>5</vt:i4>
      </vt:variant>
      <vt:variant>
        <vt:lpwstr/>
      </vt:variant>
      <vt:variant>
        <vt:lpwstr>_Toc96957750</vt:lpwstr>
      </vt:variant>
      <vt:variant>
        <vt:i4>1703987</vt:i4>
      </vt:variant>
      <vt:variant>
        <vt:i4>566</vt:i4>
      </vt:variant>
      <vt:variant>
        <vt:i4>0</vt:i4>
      </vt:variant>
      <vt:variant>
        <vt:i4>5</vt:i4>
      </vt:variant>
      <vt:variant>
        <vt:lpwstr/>
      </vt:variant>
      <vt:variant>
        <vt:lpwstr>_Toc96957749</vt:lpwstr>
      </vt:variant>
      <vt:variant>
        <vt:i4>1769523</vt:i4>
      </vt:variant>
      <vt:variant>
        <vt:i4>560</vt:i4>
      </vt:variant>
      <vt:variant>
        <vt:i4>0</vt:i4>
      </vt:variant>
      <vt:variant>
        <vt:i4>5</vt:i4>
      </vt:variant>
      <vt:variant>
        <vt:lpwstr/>
      </vt:variant>
      <vt:variant>
        <vt:lpwstr>_Toc96957748</vt:lpwstr>
      </vt:variant>
      <vt:variant>
        <vt:i4>1310771</vt:i4>
      </vt:variant>
      <vt:variant>
        <vt:i4>554</vt:i4>
      </vt:variant>
      <vt:variant>
        <vt:i4>0</vt:i4>
      </vt:variant>
      <vt:variant>
        <vt:i4>5</vt:i4>
      </vt:variant>
      <vt:variant>
        <vt:lpwstr/>
      </vt:variant>
      <vt:variant>
        <vt:lpwstr>_Toc96957747</vt:lpwstr>
      </vt:variant>
      <vt:variant>
        <vt:i4>1376307</vt:i4>
      </vt:variant>
      <vt:variant>
        <vt:i4>548</vt:i4>
      </vt:variant>
      <vt:variant>
        <vt:i4>0</vt:i4>
      </vt:variant>
      <vt:variant>
        <vt:i4>5</vt:i4>
      </vt:variant>
      <vt:variant>
        <vt:lpwstr/>
      </vt:variant>
      <vt:variant>
        <vt:lpwstr>_Toc96957746</vt:lpwstr>
      </vt:variant>
      <vt:variant>
        <vt:i4>1441843</vt:i4>
      </vt:variant>
      <vt:variant>
        <vt:i4>542</vt:i4>
      </vt:variant>
      <vt:variant>
        <vt:i4>0</vt:i4>
      </vt:variant>
      <vt:variant>
        <vt:i4>5</vt:i4>
      </vt:variant>
      <vt:variant>
        <vt:lpwstr/>
      </vt:variant>
      <vt:variant>
        <vt:lpwstr>_Toc96957745</vt:lpwstr>
      </vt:variant>
      <vt:variant>
        <vt:i4>1507379</vt:i4>
      </vt:variant>
      <vt:variant>
        <vt:i4>536</vt:i4>
      </vt:variant>
      <vt:variant>
        <vt:i4>0</vt:i4>
      </vt:variant>
      <vt:variant>
        <vt:i4>5</vt:i4>
      </vt:variant>
      <vt:variant>
        <vt:lpwstr/>
      </vt:variant>
      <vt:variant>
        <vt:lpwstr>_Toc96957744</vt:lpwstr>
      </vt:variant>
      <vt:variant>
        <vt:i4>1048627</vt:i4>
      </vt:variant>
      <vt:variant>
        <vt:i4>530</vt:i4>
      </vt:variant>
      <vt:variant>
        <vt:i4>0</vt:i4>
      </vt:variant>
      <vt:variant>
        <vt:i4>5</vt:i4>
      </vt:variant>
      <vt:variant>
        <vt:lpwstr/>
      </vt:variant>
      <vt:variant>
        <vt:lpwstr>_Toc96957743</vt:lpwstr>
      </vt:variant>
      <vt:variant>
        <vt:i4>1114163</vt:i4>
      </vt:variant>
      <vt:variant>
        <vt:i4>524</vt:i4>
      </vt:variant>
      <vt:variant>
        <vt:i4>0</vt:i4>
      </vt:variant>
      <vt:variant>
        <vt:i4>5</vt:i4>
      </vt:variant>
      <vt:variant>
        <vt:lpwstr/>
      </vt:variant>
      <vt:variant>
        <vt:lpwstr>_Toc96957742</vt:lpwstr>
      </vt:variant>
      <vt:variant>
        <vt:i4>1179699</vt:i4>
      </vt:variant>
      <vt:variant>
        <vt:i4>518</vt:i4>
      </vt:variant>
      <vt:variant>
        <vt:i4>0</vt:i4>
      </vt:variant>
      <vt:variant>
        <vt:i4>5</vt:i4>
      </vt:variant>
      <vt:variant>
        <vt:lpwstr/>
      </vt:variant>
      <vt:variant>
        <vt:lpwstr>_Toc96957741</vt:lpwstr>
      </vt:variant>
      <vt:variant>
        <vt:i4>1245235</vt:i4>
      </vt:variant>
      <vt:variant>
        <vt:i4>512</vt:i4>
      </vt:variant>
      <vt:variant>
        <vt:i4>0</vt:i4>
      </vt:variant>
      <vt:variant>
        <vt:i4>5</vt:i4>
      </vt:variant>
      <vt:variant>
        <vt:lpwstr/>
      </vt:variant>
      <vt:variant>
        <vt:lpwstr>_Toc96957740</vt:lpwstr>
      </vt:variant>
      <vt:variant>
        <vt:i4>1703988</vt:i4>
      </vt:variant>
      <vt:variant>
        <vt:i4>506</vt:i4>
      </vt:variant>
      <vt:variant>
        <vt:i4>0</vt:i4>
      </vt:variant>
      <vt:variant>
        <vt:i4>5</vt:i4>
      </vt:variant>
      <vt:variant>
        <vt:lpwstr/>
      </vt:variant>
      <vt:variant>
        <vt:lpwstr>_Toc96957739</vt:lpwstr>
      </vt:variant>
      <vt:variant>
        <vt:i4>1769524</vt:i4>
      </vt:variant>
      <vt:variant>
        <vt:i4>500</vt:i4>
      </vt:variant>
      <vt:variant>
        <vt:i4>0</vt:i4>
      </vt:variant>
      <vt:variant>
        <vt:i4>5</vt:i4>
      </vt:variant>
      <vt:variant>
        <vt:lpwstr/>
      </vt:variant>
      <vt:variant>
        <vt:lpwstr>_Toc96957738</vt:lpwstr>
      </vt:variant>
      <vt:variant>
        <vt:i4>1310772</vt:i4>
      </vt:variant>
      <vt:variant>
        <vt:i4>494</vt:i4>
      </vt:variant>
      <vt:variant>
        <vt:i4>0</vt:i4>
      </vt:variant>
      <vt:variant>
        <vt:i4>5</vt:i4>
      </vt:variant>
      <vt:variant>
        <vt:lpwstr/>
      </vt:variant>
      <vt:variant>
        <vt:lpwstr>_Toc96957737</vt:lpwstr>
      </vt:variant>
      <vt:variant>
        <vt:i4>1376308</vt:i4>
      </vt:variant>
      <vt:variant>
        <vt:i4>488</vt:i4>
      </vt:variant>
      <vt:variant>
        <vt:i4>0</vt:i4>
      </vt:variant>
      <vt:variant>
        <vt:i4>5</vt:i4>
      </vt:variant>
      <vt:variant>
        <vt:lpwstr/>
      </vt:variant>
      <vt:variant>
        <vt:lpwstr>_Toc96957736</vt:lpwstr>
      </vt:variant>
      <vt:variant>
        <vt:i4>1441844</vt:i4>
      </vt:variant>
      <vt:variant>
        <vt:i4>482</vt:i4>
      </vt:variant>
      <vt:variant>
        <vt:i4>0</vt:i4>
      </vt:variant>
      <vt:variant>
        <vt:i4>5</vt:i4>
      </vt:variant>
      <vt:variant>
        <vt:lpwstr/>
      </vt:variant>
      <vt:variant>
        <vt:lpwstr>_Toc96957735</vt:lpwstr>
      </vt:variant>
      <vt:variant>
        <vt:i4>1507380</vt:i4>
      </vt:variant>
      <vt:variant>
        <vt:i4>476</vt:i4>
      </vt:variant>
      <vt:variant>
        <vt:i4>0</vt:i4>
      </vt:variant>
      <vt:variant>
        <vt:i4>5</vt:i4>
      </vt:variant>
      <vt:variant>
        <vt:lpwstr/>
      </vt:variant>
      <vt:variant>
        <vt:lpwstr>_Toc96957734</vt:lpwstr>
      </vt:variant>
      <vt:variant>
        <vt:i4>1048628</vt:i4>
      </vt:variant>
      <vt:variant>
        <vt:i4>470</vt:i4>
      </vt:variant>
      <vt:variant>
        <vt:i4>0</vt:i4>
      </vt:variant>
      <vt:variant>
        <vt:i4>5</vt:i4>
      </vt:variant>
      <vt:variant>
        <vt:lpwstr/>
      </vt:variant>
      <vt:variant>
        <vt:lpwstr>_Toc96957733</vt:lpwstr>
      </vt:variant>
      <vt:variant>
        <vt:i4>1114164</vt:i4>
      </vt:variant>
      <vt:variant>
        <vt:i4>464</vt:i4>
      </vt:variant>
      <vt:variant>
        <vt:i4>0</vt:i4>
      </vt:variant>
      <vt:variant>
        <vt:i4>5</vt:i4>
      </vt:variant>
      <vt:variant>
        <vt:lpwstr/>
      </vt:variant>
      <vt:variant>
        <vt:lpwstr>_Toc96957732</vt:lpwstr>
      </vt:variant>
      <vt:variant>
        <vt:i4>1179700</vt:i4>
      </vt:variant>
      <vt:variant>
        <vt:i4>458</vt:i4>
      </vt:variant>
      <vt:variant>
        <vt:i4>0</vt:i4>
      </vt:variant>
      <vt:variant>
        <vt:i4>5</vt:i4>
      </vt:variant>
      <vt:variant>
        <vt:lpwstr/>
      </vt:variant>
      <vt:variant>
        <vt:lpwstr>_Toc96957731</vt:lpwstr>
      </vt:variant>
      <vt:variant>
        <vt:i4>1245236</vt:i4>
      </vt:variant>
      <vt:variant>
        <vt:i4>452</vt:i4>
      </vt:variant>
      <vt:variant>
        <vt:i4>0</vt:i4>
      </vt:variant>
      <vt:variant>
        <vt:i4>5</vt:i4>
      </vt:variant>
      <vt:variant>
        <vt:lpwstr/>
      </vt:variant>
      <vt:variant>
        <vt:lpwstr>_Toc96957730</vt:lpwstr>
      </vt:variant>
      <vt:variant>
        <vt:i4>1703989</vt:i4>
      </vt:variant>
      <vt:variant>
        <vt:i4>446</vt:i4>
      </vt:variant>
      <vt:variant>
        <vt:i4>0</vt:i4>
      </vt:variant>
      <vt:variant>
        <vt:i4>5</vt:i4>
      </vt:variant>
      <vt:variant>
        <vt:lpwstr/>
      </vt:variant>
      <vt:variant>
        <vt:lpwstr>_Toc96957729</vt:lpwstr>
      </vt:variant>
      <vt:variant>
        <vt:i4>1769525</vt:i4>
      </vt:variant>
      <vt:variant>
        <vt:i4>440</vt:i4>
      </vt:variant>
      <vt:variant>
        <vt:i4>0</vt:i4>
      </vt:variant>
      <vt:variant>
        <vt:i4>5</vt:i4>
      </vt:variant>
      <vt:variant>
        <vt:lpwstr/>
      </vt:variant>
      <vt:variant>
        <vt:lpwstr>_Toc96957728</vt:lpwstr>
      </vt:variant>
      <vt:variant>
        <vt:i4>1310773</vt:i4>
      </vt:variant>
      <vt:variant>
        <vt:i4>434</vt:i4>
      </vt:variant>
      <vt:variant>
        <vt:i4>0</vt:i4>
      </vt:variant>
      <vt:variant>
        <vt:i4>5</vt:i4>
      </vt:variant>
      <vt:variant>
        <vt:lpwstr/>
      </vt:variant>
      <vt:variant>
        <vt:lpwstr>_Toc96957727</vt:lpwstr>
      </vt:variant>
      <vt:variant>
        <vt:i4>1376309</vt:i4>
      </vt:variant>
      <vt:variant>
        <vt:i4>428</vt:i4>
      </vt:variant>
      <vt:variant>
        <vt:i4>0</vt:i4>
      </vt:variant>
      <vt:variant>
        <vt:i4>5</vt:i4>
      </vt:variant>
      <vt:variant>
        <vt:lpwstr/>
      </vt:variant>
      <vt:variant>
        <vt:lpwstr>_Toc96957726</vt:lpwstr>
      </vt:variant>
      <vt:variant>
        <vt:i4>1441845</vt:i4>
      </vt:variant>
      <vt:variant>
        <vt:i4>422</vt:i4>
      </vt:variant>
      <vt:variant>
        <vt:i4>0</vt:i4>
      </vt:variant>
      <vt:variant>
        <vt:i4>5</vt:i4>
      </vt:variant>
      <vt:variant>
        <vt:lpwstr/>
      </vt:variant>
      <vt:variant>
        <vt:lpwstr>_Toc96957725</vt:lpwstr>
      </vt:variant>
      <vt:variant>
        <vt:i4>1507381</vt:i4>
      </vt:variant>
      <vt:variant>
        <vt:i4>416</vt:i4>
      </vt:variant>
      <vt:variant>
        <vt:i4>0</vt:i4>
      </vt:variant>
      <vt:variant>
        <vt:i4>5</vt:i4>
      </vt:variant>
      <vt:variant>
        <vt:lpwstr/>
      </vt:variant>
      <vt:variant>
        <vt:lpwstr>_Toc96957724</vt:lpwstr>
      </vt:variant>
      <vt:variant>
        <vt:i4>1048629</vt:i4>
      </vt:variant>
      <vt:variant>
        <vt:i4>410</vt:i4>
      </vt:variant>
      <vt:variant>
        <vt:i4>0</vt:i4>
      </vt:variant>
      <vt:variant>
        <vt:i4>5</vt:i4>
      </vt:variant>
      <vt:variant>
        <vt:lpwstr/>
      </vt:variant>
      <vt:variant>
        <vt:lpwstr>_Toc96957723</vt:lpwstr>
      </vt:variant>
      <vt:variant>
        <vt:i4>1114165</vt:i4>
      </vt:variant>
      <vt:variant>
        <vt:i4>404</vt:i4>
      </vt:variant>
      <vt:variant>
        <vt:i4>0</vt:i4>
      </vt:variant>
      <vt:variant>
        <vt:i4>5</vt:i4>
      </vt:variant>
      <vt:variant>
        <vt:lpwstr/>
      </vt:variant>
      <vt:variant>
        <vt:lpwstr>_Toc96957722</vt:lpwstr>
      </vt:variant>
      <vt:variant>
        <vt:i4>1179701</vt:i4>
      </vt:variant>
      <vt:variant>
        <vt:i4>398</vt:i4>
      </vt:variant>
      <vt:variant>
        <vt:i4>0</vt:i4>
      </vt:variant>
      <vt:variant>
        <vt:i4>5</vt:i4>
      </vt:variant>
      <vt:variant>
        <vt:lpwstr/>
      </vt:variant>
      <vt:variant>
        <vt:lpwstr>_Toc96957721</vt:lpwstr>
      </vt:variant>
      <vt:variant>
        <vt:i4>1245237</vt:i4>
      </vt:variant>
      <vt:variant>
        <vt:i4>392</vt:i4>
      </vt:variant>
      <vt:variant>
        <vt:i4>0</vt:i4>
      </vt:variant>
      <vt:variant>
        <vt:i4>5</vt:i4>
      </vt:variant>
      <vt:variant>
        <vt:lpwstr/>
      </vt:variant>
      <vt:variant>
        <vt:lpwstr>_Toc96957720</vt:lpwstr>
      </vt:variant>
      <vt:variant>
        <vt:i4>1703990</vt:i4>
      </vt:variant>
      <vt:variant>
        <vt:i4>386</vt:i4>
      </vt:variant>
      <vt:variant>
        <vt:i4>0</vt:i4>
      </vt:variant>
      <vt:variant>
        <vt:i4>5</vt:i4>
      </vt:variant>
      <vt:variant>
        <vt:lpwstr/>
      </vt:variant>
      <vt:variant>
        <vt:lpwstr>_Toc96957719</vt:lpwstr>
      </vt:variant>
      <vt:variant>
        <vt:i4>1769526</vt:i4>
      </vt:variant>
      <vt:variant>
        <vt:i4>380</vt:i4>
      </vt:variant>
      <vt:variant>
        <vt:i4>0</vt:i4>
      </vt:variant>
      <vt:variant>
        <vt:i4>5</vt:i4>
      </vt:variant>
      <vt:variant>
        <vt:lpwstr/>
      </vt:variant>
      <vt:variant>
        <vt:lpwstr>_Toc96957718</vt:lpwstr>
      </vt:variant>
      <vt:variant>
        <vt:i4>1310774</vt:i4>
      </vt:variant>
      <vt:variant>
        <vt:i4>374</vt:i4>
      </vt:variant>
      <vt:variant>
        <vt:i4>0</vt:i4>
      </vt:variant>
      <vt:variant>
        <vt:i4>5</vt:i4>
      </vt:variant>
      <vt:variant>
        <vt:lpwstr/>
      </vt:variant>
      <vt:variant>
        <vt:lpwstr>_Toc96957717</vt:lpwstr>
      </vt:variant>
      <vt:variant>
        <vt:i4>1376310</vt:i4>
      </vt:variant>
      <vt:variant>
        <vt:i4>368</vt:i4>
      </vt:variant>
      <vt:variant>
        <vt:i4>0</vt:i4>
      </vt:variant>
      <vt:variant>
        <vt:i4>5</vt:i4>
      </vt:variant>
      <vt:variant>
        <vt:lpwstr/>
      </vt:variant>
      <vt:variant>
        <vt:lpwstr>_Toc96957716</vt:lpwstr>
      </vt:variant>
      <vt:variant>
        <vt:i4>1441846</vt:i4>
      </vt:variant>
      <vt:variant>
        <vt:i4>362</vt:i4>
      </vt:variant>
      <vt:variant>
        <vt:i4>0</vt:i4>
      </vt:variant>
      <vt:variant>
        <vt:i4>5</vt:i4>
      </vt:variant>
      <vt:variant>
        <vt:lpwstr/>
      </vt:variant>
      <vt:variant>
        <vt:lpwstr>_Toc96957715</vt:lpwstr>
      </vt:variant>
      <vt:variant>
        <vt:i4>1507382</vt:i4>
      </vt:variant>
      <vt:variant>
        <vt:i4>356</vt:i4>
      </vt:variant>
      <vt:variant>
        <vt:i4>0</vt:i4>
      </vt:variant>
      <vt:variant>
        <vt:i4>5</vt:i4>
      </vt:variant>
      <vt:variant>
        <vt:lpwstr/>
      </vt:variant>
      <vt:variant>
        <vt:lpwstr>_Toc96957714</vt:lpwstr>
      </vt:variant>
      <vt:variant>
        <vt:i4>1048630</vt:i4>
      </vt:variant>
      <vt:variant>
        <vt:i4>350</vt:i4>
      </vt:variant>
      <vt:variant>
        <vt:i4>0</vt:i4>
      </vt:variant>
      <vt:variant>
        <vt:i4>5</vt:i4>
      </vt:variant>
      <vt:variant>
        <vt:lpwstr/>
      </vt:variant>
      <vt:variant>
        <vt:lpwstr>_Toc96957713</vt:lpwstr>
      </vt:variant>
      <vt:variant>
        <vt:i4>1114166</vt:i4>
      </vt:variant>
      <vt:variant>
        <vt:i4>344</vt:i4>
      </vt:variant>
      <vt:variant>
        <vt:i4>0</vt:i4>
      </vt:variant>
      <vt:variant>
        <vt:i4>5</vt:i4>
      </vt:variant>
      <vt:variant>
        <vt:lpwstr/>
      </vt:variant>
      <vt:variant>
        <vt:lpwstr>_Toc96957712</vt:lpwstr>
      </vt:variant>
      <vt:variant>
        <vt:i4>1179702</vt:i4>
      </vt:variant>
      <vt:variant>
        <vt:i4>338</vt:i4>
      </vt:variant>
      <vt:variant>
        <vt:i4>0</vt:i4>
      </vt:variant>
      <vt:variant>
        <vt:i4>5</vt:i4>
      </vt:variant>
      <vt:variant>
        <vt:lpwstr/>
      </vt:variant>
      <vt:variant>
        <vt:lpwstr>_Toc96957711</vt:lpwstr>
      </vt:variant>
      <vt:variant>
        <vt:i4>1245238</vt:i4>
      </vt:variant>
      <vt:variant>
        <vt:i4>332</vt:i4>
      </vt:variant>
      <vt:variant>
        <vt:i4>0</vt:i4>
      </vt:variant>
      <vt:variant>
        <vt:i4>5</vt:i4>
      </vt:variant>
      <vt:variant>
        <vt:lpwstr/>
      </vt:variant>
      <vt:variant>
        <vt:lpwstr>_Toc96957710</vt:lpwstr>
      </vt:variant>
      <vt:variant>
        <vt:i4>1703991</vt:i4>
      </vt:variant>
      <vt:variant>
        <vt:i4>326</vt:i4>
      </vt:variant>
      <vt:variant>
        <vt:i4>0</vt:i4>
      </vt:variant>
      <vt:variant>
        <vt:i4>5</vt:i4>
      </vt:variant>
      <vt:variant>
        <vt:lpwstr/>
      </vt:variant>
      <vt:variant>
        <vt:lpwstr>_Toc96957709</vt:lpwstr>
      </vt:variant>
      <vt:variant>
        <vt:i4>1769527</vt:i4>
      </vt:variant>
      <vt:variant>
        <vt:i4>320</vt:i4>
      </vt:variant>
      <vt:variant>
        <vt:i4>0</vt:i4>
      </vt:variant>
      <vt:variant>
        <vt:i4>5</vt:i4>
      </vt:variant>
      <vt:variant>
        <vt:lpwstr/>
      </vt:variant>
      <vt:variant>
        <vt:lpwstr>_Toc96957708</vt:lpwstr>
      </vt:variant>
      <vt:variant>
        <vt:i4>1310775</vt:i4>
      </vt:variant>
      <vt:variant>
        <vt:i4>314</vt:i4>
      </vt:variant>
      <vt:variant>
        <vt:i4>0</vt:i4>
      </vt:variant>
      <vt:variant>
        <vt:i4>5</vt:i4>
      </vt:variant>
      <vt:variant>
        <vt:lpwstr/>
      </vt:variant>
      <vt:variant>
        <vt:lpwstr>_Toc96957707</vt:lpwstr>
      </vt:variant>
      <vt:variant>
        <vt:i4>1376311</vt:i4>
      </vt:variant>
      <vt:variant>
        <vt:i4>308</vt:i4>
      </vt:variant>
      <vt:variant>
        <vt:i4>0</vt:i4>
      </vt:variant>
      <vt:variant>
        <vt:i4>5</vt:i4>
      </vt:variant>
      <vt:variant>
        <vt:lpwstr/>
      </vt:variant>
      <vt:variant>
        <vt:lpwstr>_Toc96957706</vt:lpwstr>
      </vt:variant>
      <vt:variant>
        <vt:i4>1441847</vt:i4>
      </vt:variant>
      <vt:variant>
        <vt:i4>302</vt:i4>
      </vt:variant>
      <vt:variant>
        <vt:i4>0</vt:i4>
      </vt:variant>
      <vt:variant>
        <vt:i4>5</vt:i4>
      </vt:variant>
      <vt:variant>
        <vt:lpwstr/>
      </vt:variant>
      <vt:variant>
        <vt:lpwstr>_Toc96957705</vt:lpwstr>
      </vt:variant>
      <vt:variant>
        <vt:i4>1507383</vt:i4>
      </vt:variant>
      <vt:variant>
        <vt:i4>296</vt:i4>
      </vt:variant>
      <vt:variant>
        <vt:i4>0</vt:i4>
      </vt:variant>
      <vt:variant>
        <vt:i4>5</vt:i4>
      </vt:variant>
      <vt:variant>
        <vt:lpwstr/>
      </vt:variant>
      <vt:variant>
        <vt:lpwstr>_Toc96957704</vt:lpwstr>
      </vt:variant>
      <vt:variant>
        <vt:i4>1048631</vt:i4>
      </vt:variant>
      <vt:variant>
        <vt:i4>290</vt:i4>
      </vt:variant>
      <vt:variant>
        <vt:i4>0</vt:i4>
      </vt:variant>
      <vt:variant>
        <vt:i4>5</vt:i4>
      </vt:variant>
      <vt:variant>
        <vt:lpwstr/>
      </vt:variant>
      <vt:variant>
        <vt:lpwstr>_Toc96957703</vt:lpwstr>
      </vt:variant>
      <vt:variant>
        <vt:i4>1114167</vt:i4>
      </vt:variant>
      <vt:variant>
        <vt:i4>284</vt:i4>
      </vt:variant>
      <vt:variant>
        <vt:i4>0</vt:i4>
      </vt:variant>
      <vt:variant>
        <vt:i4>5</vt:i4>
      </vt:variant>
      <vt:variant>
        <vt:lpwstr/>
      </vt:variant>
      <vt:variant>
        <vt:lpwstr>_Toc96957702</vt:lpwstr>
      </vt:variant>
      <vt:variant>
        <vt:i4>1179703</vt:i4>
      </vt:variant>
      <vt:variant>
        <vt:i4>278</vt:i4>
      </vt:variant>
      <vt:variant>
        <vt:i4>0</vt:i4>
      </vt:variant>
      <vt:variant>
        <vt:i4>5</vt:i4>
      </vt:variant>
      <vt:variant>
        <vt:lpwstr/>
      </vt:variant>
      <vt:variant>
        <vt:lpwstr>_Toc96957701</vt:lpwstr>
      </vt:variant>
      <vt:variant>
        <vt:i4>1245239</vt:i4>
      </vt:variant>
      <vt:variant>
        <vt:i4>272</vt:i4>
      </vt:variant>
      <vt:variant>
        <vt:i4>0</vt:i4>
      </vt:variant>
      <vt:variant>
        <vt:i4>5</vt:i4>
      </vt:variant>
      <vt:variant>
        <vt:lpwstr/>
      </vt:variant>
      <vt:variant>
        <vt:lpwstr>_Toc96957700</vt:lpwstr>
      </vt:variant>
      <vt:variant>
        <vt:i4>1769534</vt:i4>
      </vt:variant>
      <vt:variant>
        <vt:i4>266</vt:i4>
      </vt:variant>
      <vt:variant>
        <vt:i4>0</vt:i4>
      </vt:variant>
      <vt:variant>
        <vt:i4>5</vt:i4>
      </vt:variant>
      <vt:variant>
        <vt:lpwstr/>
      </vt:variant>
      <vt:variant>
        <vt:lpwstr>_Toc96957699</vt:lpwstr>
      </vt:variant>
      <vt:variant>
        <vt:i4>1703998</vt:i4>
      </vt:variant>
      <vt:variant>
        <vt:i4>260</vt:i4>
      </vt:variant>
      <vt:variant>
        <vt:i4>0</vt:i4>
      </vt:variant>
      <vt:variant>
        <vt:i4>5</vt:i4>
      </vt:variant>
      <vt:variant>
        <vt:lpwstr/>
      </vt:variant>
      <vt:variant>
        <vt:lpwstr>_Toc96957698</vt:lpwstr>
      </vt:variant>
      <vt:variant>
        <vt:i4>1376318</vt:i4>
      </vt:variant>
      <vt:variant>
        <vt:i4>254</vt:i4>
      </vt:variant>
      <vt:variant>
        <vt:i4>0</vt:i4>
      </vt:variant>
      <vt:variant>
        <vt:i4>5</vt:i4>
      </vt:variant>
      <vt:variant>
        <vt:lpwstr/>
      </vt:variant>
      <vt:variant>
        <vt:lpwstr>_Toc96957697</vt:lpwstr>
      </vt:variant>
      <vt:variant>
        <vt:i4>1310782</vt:i4>
      </vt:variant>
      <vt:variant>
        <vt:i4>248</vt:i4>
      </vt:variant>
      <vt:variant>
        <vt:i4>0</vt:i4>
      </vt:variant>
      <vt:variant>
        <vt:i4>5</vt:i4>
      </vt:variant>
      <vt:variant>
        <vt:lpwstr/>
      </vt:variant>
      <vt:variant>
        <vt:lpwstr>_Toc96957696</vt:lpwstr>
      </vt:variant>
      <vt:variant>
        <vt:i4>1507390</vt:i4>
      </vt:variant>
      <vt:variant>
        <vt:i4>242</vt:i4>
      </vt:variant>
      <vt:variant>
        <vt:i4>0</vt:i4>
      </vt:variant>
      <vt:variant>
        <vt:i4>5</vt:i4>
      </vt:variant>
      <vt:variant>
        <vt:lpwstr/>
      </vt:variant>
      <vt:variant>
        <vt:lpwstr>_Toc96957695</vt:lpwstr>
      </vt:variant>
      <vt:variant>
        <vt:i4>1441854</vt:i4>
      </vt:variant>
      <vt:variant>
        <vt:i4>236</vt:i4>
      </vt:variant>
      <vt:variant>
        <vt:i4>0</vt:i4>
      </vt:variant>
      <vt:variant>
        <vt:i4>5</vt:i4>
      </vt:variant>
      <vt:variant>
        <vt:lpwstr/>
      </vt:variant>
      <vt:variant>
        <vt:lpwstr>_Toc96957694</vt:lpwstr>
      </vt:variant>
      <vt:variant>
        <vt:i4>1114174</vt:i4>
      </vt:variant>
      <vt:variant>
        <vt:i4>230</vt:i4>
      </vt:variant>
      <vt:variant>
        <vt:i4>0</vt:i4>
      </vt:variant>
      <vt:variant>
        <vt:i4>5</vt:i4>
      </vt:variant>
      <vt:variant>
        <vt:lpwstr/>
      </vt:variant>
      <vt:variant>
        <vt:lpwstr>_Toc96957693</vt:lpwstr>
      </vt:variant>
      <vt:variant>
        <vt:i4>1048638</vt:i4>
      </vt:variant>
      <vt:variant>
        <vt:i4>224</vt:i4>
      </vt:variant>
      <vt:variant>
        <vt:i4>0</vt:i4>
      </vt:variant>
      <vt:variant>
        <vt:i4>5</vt:i4>
      </vt:variant>
      <vt:variant>
        <vt:lpwstr/>
      </vt:variant>
      <vt:variant>
        <vt:lpwstr>_Toc96957692</vt:lpwstr>
      </vt:variant>
      <vt:variant>
        <vt:i4>1245246</vt:i4>
      </vt:variant>
      <vt:variant>
        <vt:i4>218</vt:i4>
      </vt:variant>
      <vt:variant>
        <vt:i4>0</vt:i4>
      </vt:variant>
      <vt:variant>
        <vt:i4>5</vt:i4>
      </vt:variant>
      <vt:variant>
        <vt:lpwstr/>
      </vt:variant>
      <vt:variant>
        <vt:lpwstr>_Toc96957691</vt:lpwstr>
      </vt:variant>
      <vt:variant>
        <vt:i4>1179710</vt:i4>
      </vt:variant>
      <vt:variant>
        <vt:i4>212</vt:i4>
      </vt:variant>
      <vt:variant>
        <vt:i4>0</vt:i4>
      </vt:variant>
      <vt:variant>
        <vt:i4>5</vt:i4>
      </vt:variant>
      <vt:variant>
        <vt:lpwstr/>
      </vt:variant>
      <vt:variant>
        <vt:lpwstr>_Toc96957690</vt:lpwstr>
      </vt:variant>
      <vt:variant>
        <vt:i4>1769535</vt:i4>
      </vt:variant>
      <vt:variant>
        <vt:i4>206</vt:i4>
      </vt:variant>
      <vt:variant>
        <vt:i4>0</vt:i4>
      </vt:variant>
      <vt:variant>
        <vt:i4>5</vt:i4>
      </vt:variant>
      <vt:variant>
        <vt:lpwstr/>
      </vt:variant>
      <vt:variant>
        <vt:lpwstr>_Toc96957689</vt:lpwstr>
      </vt:variant>
      <vt:variant>
        <vt:i4>1703999</vt:i4>
      </vt:variant>
      <vt:variant>
        <vt:i4>200</vt:i4>
      </vt:variant>
      <vt:variant>
        <vt:i4>0</vt:i4>
      </vt:variant>
      <vt:variant>
        <vt:i4>5</vt:i4>
      </vt:variant>
      <vt:variant>
        <vt:lpwstr/>
      </vt:variant>
      <vt:variant>
        <vt:lpwstr>_Toc96957688</vt:lpwstr>
      </vt:variant>
      <vt:variant>
        <vt:i4>1376319</vt:i4>
      </vt:variant>
      <vt:variant>
        <vt:i4>194</vt:i4>
      </vt:variant>
      <vt:variant>
        <vt:i4>0</vt:i4>
      </vt:variant>
      <vt:variant>
        <vt:i4>5</vt:i4>
      </vt:variant>
      <vt:variant>
        <vt:lpwstr/>
      </vt:variant>
      <vt:variant>
        <vt:lpwstr>_Toc96957687</vt:lpwstr>
      </vt:variant>
      <vt:variant>
        <vt:i4>1310783</vt:i4>
      </vt:variant>
      <vt:variant>
        <vt:i4>188</vt:i4>
      </vt:variant>
      <vt:variant>
        <vt:i4>0</vt:i4>
      </vt:variant>
      <vt:variant>
        <vt:i4>5</vt:i4>
      </vt:variant>
      <vt:variant>
        <vt:lpwstr/>
      </vt:variant>
      <vt:variant>
        <vt:lpwstr>_Toc96957686</vt:lpwstr>
      </vt:variant>
      <vt:variant>
        <vt:i4>1507391</vt:i4>
      </vt:variant>
      <vt:variant>
        <vt:i4>182</vt:i4>
      </vt:variant>
      <vt:variant>
        <vt:i4>0</vt:i4>
      </vt:variant>
      <vt:variant>
        <vt:i4>5</vt:i4>
      </vt:variant>
      <vt:variant>
        <vt:lpwstr/>
      </vt:variant>
      <vt:variant>
        <vt:lpwstr>_Toc96957685</vt:lpwstr>
      </vt:variant>
      <vt:variant>
        <vt:i4>1441855</vt:i4>
      </vt:variant>
      <vt:variant>
        <vt:i4>176</vt:i4>
      </vt:variant>
      <vt:variant>
        <vt:i4>0</vt:i4>
      </vt:variant>
      <vt:variant>
        <vt:i4>5</vt:i4>
      </vt:variant>
      <vt:variant>
        <vt:lpwstr/>
      </vt:variant>
      <vt:variant>
        <vt:lpwstr>_Toc96957684</vt:lpwstr>
      </vt:variant>
      <vt:variant>
        <vt:i4>1114175</vt:i4>
      </vt:variant>
      <vt:variant>
        <vt:i4>170</vt:i4>
      </vt:variant>
      <vt:variant>
        <vt:i4>0</vt:i4>
      </vt:variant>
      <vt:variant>
        <vt:i4>5</vt:i4>
      </vt:variant>
      <vt:variant>
        <vt:lpwstr/>
      </vt:variant>
      <vt:variant>
        <vt:lpwstr>_Toc96957683</vt:lpwstr>
      </vt:variant>
      <vt:variant>
        <vt:i4>1048639</vt:i4>
      </vt:variant>
      <vt:variant>
        <vt:i4>164</vt:i4>
      </vt:variant>
      <vt:variant>
        <vt:i4>0</vt:i4>
      </vt:variant>
      <vt:variant>
        <vt:i4>5</vt:i4>
      </vt:variant>
      <vt:variant>
        <vt:lpwstr/>
      </vt:variant>
      <vt:variant>
        <vt:lpwstr>_Toc96957682</vt:lpwstr>
      </vt:variant>
      <vt:variant>
        <vt:i4>1245247</vt:i4>
      </vt:variant>
      <vt:variant>
        <vt:i4>158</vt:i4>
      </vt:variant>
      <vt:variant>
        <vt:i4>0</vt:i4>
      </vt:variant>
      <vt:variant>
        <vt:i4>5</vt:i4>
      </vt:variant>
      <vt:variant>
        <vt:lpwstr/>
      </vt:variant>
      <vt:variant>
        <vt:lpwstr>_Toc96957681</vt:lpwstr>
      </vt:variant>
      <vt:variant>
        <vt:i4>1179711</vt:i4>
      </vt:variant>
      <vt:variant>
        <vt:i4>152</vt:i4>
      </vt:variant>
      <vt:variant>
        <vt:i4>0</vt:i4>
      </vt:variant>
      <vt:variant>
        <vt:i4>5</vt:i4>
      </vt:variant>
      <vt:variant>
        <vt:lpwstr/>
      </vt:variant>
      <vt:variant>
        <vt:lpwstr>_Toc96957680</vt:lpwstr>
      </vt:variant>
      <vt:variant>
        <vt:i4>1769520</vt:i4>
      </vt:variant>
      <vt:variant>
        <vt:i4>146</vt:i4>
      </vt:variant>
      <vt:variant>
        <vt:i4>0</vt:i4>
      </vt:variant>
      <vt:variant>
        <vt:i4>5</vt:i4>
      </vt:variant>
      <vt:variant>
        <vt:lpwstr/>
      </vt:variant>
      <vt:variant>
        <vt:lpwstr>_Toc96957679</vt:lpwstr>
      </vt:variant>
      <vt:variant>
        <vt:i4>1703984</vt:i4>
      </vt:variant>
      <vt:variant>
        <vt:i4>140</vt:i4>
      </vt:variant>
      <vt:variant>
        <vt:i4>0</vt:i4>
      </vt:variant>
      <vt:variant>
        <vt:i4>5</vt:i4>
      </vt:variant>
      <vt:variant>
        <vt:lpwstr/>
      </vt:variant>
      <vt:variant>
        <vt:lpwstr>_Toc96957678</vt:lpwstr>
      </vt:variant>
      <vt:variant>
        <vt:i4>1376304</vt:i4>
      </vt:variant>
      <vt:variant>
        <vt:i4>134</vt:i4>
      </vt:variant>
      <vt:variant>
        <vt:i4>0</vt:i4>
      </vt:variant>
      <vt:variant>
        <vt:i4>5</vt:i4>
      </vt:variant>
      <vt:variant>
        <vt:lpwstr/>
      </vt:variant>
      <vt:variant>
        <vt:lpwstr>_Toc96957677</vt:lpwstr>
      </vt:variant>
      <vt:variant>
        <vt:i4>1310768</vt:i4>
      </vt:variant>
      <vt:variant>
        <vt:i4>128</vt:i4>
      </vt:variant>
      <vt:variant>
        <vt:i4>0</vt:i4>
      </vt:variant>
      <vt:variant>
        <vt:i4>5</vt:i4>
      </vt:variant>
      <vt:variant>
        <vt:lpwstr/>
      </vt:variant>
      <vt:variant>
        <vt:lpwstr>_Toc96957676</vt:lpwstr>
      </vt:variant>
      <vt:variant>
        <vt:i4>1507376</vt:i4>
      </vt:variant>
      <vt:variant>
        <vt:i4>122</vt:i4>
      </vt:variant>
      <vt:variant>
        <vt:i4>0</vt:i4>
      </vt:variant>
      <vt:variant>
        <vt:i4>5</vt:i4>
      </vt:variant>
      <vt:variant>
        <vt:lpwstr/>
      </vt:variant>
      <vt:variant>
        <vt:lpwstr>_Toc96957675</vt:lpwstr>
      </vt:variant>
      <vt:variant>
        <vt:i4>1441840</vt:i4>
      </vt:variant>
      <vt:variant>
        <vt:i4>116</vt:i4>
      </vt:variant>
      <vt:variant>
        <vt:i4>0</vt:i4>
      </vt:variant>
      <vt:variant>
        <vt:i4>5</vt:i4>
      </vt:variant>
      <vt:variant>
        <vt:lpwstr/>
      </vt:variant>
      <vt:variant>
        <vt:lpwstr>_Toc96957674</vt:lpwstr>
      </vt:variant>
      <vt:variant>
        <vt:i4>1114160</vt:i4>
      </vt:variant>
      <vt:variant>
        <vt:i4>110</vt:i4>
      </vt:variant>
      <vt:variant>
        <vt:i4>0</vt:i4>
      </vt:variant>
      <vt:variant>
        <vt:i4>5</vt:i4>
      </vt:variant>
      <vt:variant>
        <vt:lpwstr/>
      </vt:variant>
      <vt:variant>
        <vt:lpwstr>_Toc96957673</vt:lpwstr>
      </vt:variant>
      <vt:variant>
        <vt:i4>1048624</vt:i4>
      </vt:variant>
      <vt:variant>
        <vt:i4>104</vt:i4>
      </vt:variant>
      <vt:variant>
        <vt:i4>0</vt:i4>
      </vt:variant>
      <vt:variant>
        <vt:i4>5</vt:i4>
      </vt:variant>
      <vt:variant>
        <vt:lpwstr/>
      </vt:variant>
      <vt:variant>
        <vt:lpwstr>_Toc96957672</vt:lpwstr>
      </vt:variant>
      <vt:variant>
        <vt:i4>1245232</vt:i4>
      </vt:variant>
      <vt:variant>
        <vt:i4>98</vt:i4>
      </vt:variant>
      <vt:variant>
        <vt:i4>0</vt:i4>
      </vt:variant>
      <vt:variant>
        <vt:i4>5</vt:i4>
      </vt:variant>
      <vt:variant>
        <vt:lpwstr/>
      </vt:variant>
      <vt:variant>
        <vt:lpwstr>_Toc96957671</vt:lpwstr>
      </vt:variant>
      <vt:variant>
        <vt:i4>1179696</vt:i4>
      </vt:variant>
      <vt:variant>
        <vt:i4>92</vt:i4>
      </vt:variant>
      <vt:variant>
        <vt:i4>0</vt:i4>
      </vt:variant>
      <vt:variant>
        <vt:i4>5</vt:i4>
      </vt:variant>
      <vt:variant>
        <vt:lpwstr/>
      </vt:variant>
      <vt:variant>
        <vt:lpwstr>_Toc96957670</vt:lpwstr>
      </vt:variant>
      <vt:variant>
        <vt:i4>1769521</vt:i4>
      </vt:variant>
      <vt:variant>
        <vt:i4>86</vt:i4>
      </vt:variant>
      <vt:variant>
        <vt:i4>0</vt:i4>
      </vt:variant>
      <vt:variant>
        <vt:i4>5</vt:i4>
      </vt:variant>
      <vt:variant>
        <vt:lpwstr/>
      </vt:variant>
      <vt:variant>
        <vt:lpwstr>_Toc96957669</vt:lpwstr>
      </vt:variant>
      <vt:variant>
        <vt:i4>1703985</vt:i4>
      </vt:variant>
      <vt:variant>
        <vt:i4>80</vt:i4>
      </vt:variant>
      <vt:variant>
        <vt:i4>0</vt:i4>
      </vt:variant>
      <vt:variant>
        <vt:i4>5</vt:i4>
      </vt:variant>
      <vt:variant>
        <vt:lpwstr/>
      </vt:variant>
      <vt:variant>
        <vt:lpwstr>_Toc96957668</vt:lpwstr>
      </vt:variant>
      <vt:variant>
        <vt:i4>1376305</vt:i4>
      </vt:variant>
      <vt:variant>
        <vt:i4>74</vt:i4>
      </vt:variant>
      <vt:variant>
        <vt:i4>0</vt:i4>
      </vt:variant>
      <vt:variant>
        <vt:i4>5</vt:i4>
      </vt:variant>
      <vt:variant>
        <vt:lpwstr/>
      </vt:variant>
      <vt:variant>
        <vt:lpwstr>_Toc96957667</vt:lpwstr>
      </vt:variant>
      <vt:variant>
        <vt:i4>1310769</vt:i4>
      </vt:variant>
      <vt:variant>
        <vt:i4>68</vt:i4>
      </vt:variant>
      <vt:variant>
        <vt:i4>0</vt:i4>
      </vt:variant>
      <vt:variant>
        <vt:i4>5</vt:i4>
      </vt:variant>
      <vt:variant>
        <vt:lpwstr/>
      </vt:variant>
      <vt:variant>
        <vt:lpwstr>_Toc96957666</vt:lpwstr>
      </vt:variant>
      <vt:variant>
        <vt:i4>1507377</vt:i4>
      </vt:variant>
      <vt:variant>
        <vt:i4>62</vt:i4>
      </vt:variant>
      <vt:variant>
        <vt:i4>0</vt:i4>
      </vt:variant>
      <vt:variant>
        <vt:i4>5</vt:i4>
      </vt:variant>
      <vt:variant>
        <vt:lpwstr/>
      </vt:variant>
      <vt:variant>
        <vt:lpwstr>_Toc96957665</vt:lpwstr>
      </vt:variant>
      <vt:variant>
        <vt:i4>1441841</vt:i4>
      </vt:variant>
      <vt:variant>
        <vt:i4>56</vt:i4>
      </vt:variant>
      <vt:variant>
        <vt:i4>0</vt:i4>
      </vt:variant>
      <vt:variant>
        <vt:i4>5</vt:i4>
      </vt:variant>
      <vt:variant>
        <vt:lpwstr/>
      </vt:variant>
      <vt:variant>
        <vt:lpwstr>_Toc96957664</vt:lpwstr>
      </vt:variant>
      <vt:variant>
        <vt:i4>1114161</vt:i4>
      </vt:variant>
      <vt:variant>
        <vt:i4>50</vt:i4>
      </vt:variant>
      <vt:variant>
        <vt:i4>0</vt:i4>
      </vt:variant>
      <vt:variant>
        <vt:i4>5</vt:i4>
      </vt:variant>
      <vt:variant>
        <vt:lpwstr/>
      </vt:variant>
      <vt:variant>
        <vt:lpwstr>_Toc96957663</vt:lpwstr>
      </vt:variant>
      <vt:variant>
        <vt:i4>1048625</vt:i4>
      </vt:variant>
      <vt:variant>
        <vt:i4>44</vt:i4>
      </vt:variant>
      <vt:variant>
        <vt:i4>0</vt:i4>
      </vt:variant>
      <vt:variant>
        <vt:i4>5</vt:i4>
      </vt:variant>
      <vt:variant>
        <vt:lpwstr/>
      </vt:variant>
      <vt:variant>
        <vt:lpwstr>_Toc96957662</vt:lpwstr>
      </vt:variant>
      <vt:variant>
        <vt:i4>1245233</vt:i4>
      </vt:variant>
      <vt:variant>
        <vt:i4>38</vt:i4>
      </vt:variant>
      <vt:variant>
        <vt:i4>0</vt:i4>
      </vt:variant>
      <vt:variant>
        <vt:i4>5</vt:i4>
      </vt:variant>
      <vt:variant>
        <vt:lpwstr/>
      </vt:variant>
      <vt:variant>
        <vt:lpwstr>_Toc96957661</vt:lpwstr>
      </vt:variant>
      <vt:variant>
        <vt:i4>1179697</vt:i4>
      </vt:variant>
      <vt:variant>
        <vt:i4>32</vt:i4>
      </vt:variant>
      <vt:variant>
        <vt:i4>0</vt:i4>
      </vt:variant>
      <vt:variant>
        <vt:i4>5</vt:i4>
      </vt:variant>
      <vt:variant>
        <vt:lpwstr/>
      </vt:variant>
      <vt:variant>
        <vt:lpwstr>_Toc96957660</vt:lpwstr>
      </vt:variant>
      <vt:variant>
        <vt:i4>1769522</vt:i4>
      </vt:variant>
      <vt:variant>
        <vt:i4>26</vt:i4>
      </vt:variant>
      <vt:variant>
        <vt:i4>0</vt:i4>
      </vt:variant>
      <vt:variant>
        <vt:i4>5</vt:i4>
      </vt:variant>
      <vt:variant>
        <vt:lpwstr/>
      </vt:variant>
      <vt:variant>
        <vt:lpwstr>_Toc96957659</vt:lpwstr>
      </vt:variant>
      <vt:variant>
        <vt:i4>1703986</vt:i4>
      </vt:variant>
      <vt:variant>
        <vt:i4>20</vt:i4>
      </vt:variant>
      <vt:variant>
        <vt:i4>0</vt:i4>
      </vt:variant>
      <vt:variant>
        <vt:i4>5</vt:i4>
      </vt:variant>
      <vt:variant>
        <vt:lpwstr/>
      </vt:variant>
      <vt:variant>
        <vt:lpwstr>_Toc96957658</vt:lpwstr>
      </vt:variant>
      <vt:variant>
        <vt:i4>1179698</vt:i4>
      </vt:variant>
      <vt:variant>
        <vt:i4>14</vt:i4>
      </vt:variant>
      <vt:variant>
        <vt:i4>0</vt:i4>
      </vt:variant>
      <vt:variant>
        <vt:i4>5</vt:i4>
      </vt:variant>
      <vt:variant>
        <vt:lpwstr/>
      </vt:variant>
      <vt:variant>
        <vt:lpwstr>_Toc96957650</vt:lpwstr>
      </vt:variant>
      <vt:variant>
        <vt:i4>1769523</vt:i4>
      </vt:variant>
      <vt:variant>
        <vt:i4>8</vt:i4>
      </vt:variant>
      <vt:variant>
        <vt:i4>0</vt:i4>
      </vt:variant>
      <vt:variant>
        <vt:i4>5</vt:i4>
      </vt:variant>
      <vt:variant>
        <vt:lpwstr/>
      </vt:variant>
      <vt:variant>
        <vt:lpwstr>_Toc96957649</vt:lpwstr>
      </vt:variant>
      <vt:variant>
        <vt:i4>1703987</vt:i4>
      </vt:variant>
      <vt:variant>
        <vt:i4>2</vt:i4>
      </vt:variant>
      <vt:variant>
        <vt:i4>0</vt:i4>
      </vt:variant>
      <vt:variant>
        <vt:i4>5</vt:i4>
      </vt:variant>
      <vt:variant>
        <vt:lpwstr/>
      </vt:variant>
      <vt:variant>
        <vt:lpwstr>_Toc96957648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Sojo Monzon</dc:creator>
  <cp:keywords/>
  <dc:description/>
  <cp:lastModifiedBy>Emma Gibson (CGEPS)</cp:lastModifiedBy>
  <cp:revision>2</cp:revision>
  <cp:lastPrinted>2022-02-22T23:28:00Z</cp:lastPrinted>
  <dcterms:created xsi:type="dcterms:W3CDTF">2023-05-29T05:09:00Z</dcterms:created>
  <dcterms:modified xsi:type="dcterms:W3CDTF">2023-05-29T05:09:00Z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0x010100555DF7B4C3396B4DA0F821E47AA844D3</vt:lpwstr>
  </property>
  <property fmtid="{D5CDD505-2E9C-101B-9397-08002B2CF9AE}" pid="3" name="MediaServiceImageTags">
    <vt:lpwstr/>
  </property>
</Properties>
</file>