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0E779FFC" w14:textId="59F34817" w:rsidR="006A2F78" w:rsidRPr="0009050A" w:rsidRDefault="00A82222" w:rsidP="002151B0">
      <w:pPr>
        <w:pStyle w:val="Documenttitle"/>
        <w:ind w:left="2127"/>
      </w:pPr>
      <w:r>
        <w:t xml:space="preserve">Proposed working from home </w:t>
      </w:r>
      <w:r w:rsidR="00914E1E">
        <w:t>l</w:t>
      </w:r>
      <w:r>
        <w:t>egislation</w:t>
      </w:r>
    </w:p>
    <w:p w14:paraId="1E413F1F" w14:textId="42B2A06C" w:rsidR="006A2F78" w:rsidRPr="0016037B" w:rsidRDefault="00A82222" w:rsidP="002151B0">
      <w:pPr>
        <w:pStyle w:val="Documentsubtitle"/>
        <w:ind w:left="2127"/>
      </w:pPr>
      <w:r>
        <w:t xml:space="preserve">Submission </w:t>
      </w:r>
      <w:r w:rsidR="002151B0">
        <w:t xml:space="preserve">of the Public Sector Gender </w:t>
      </w:r>
      <w:r w:rsidR="00DA233F">
        <w:t>E</w:t>
      </w:r>
      <w:r w:rsidR="002151B0">
        <w:t>quality Commissioner</w:t>
      </w:r>
    </w:p>
    <w:p w14:paraId="481F410F" w14:textId="77777777" w:rsidR="006A2F78" w:rsidRPr="00250DC4" w:rsidRDefault="006A2F78" w:rsidP="0002285C">
      <w:pPr>
        <w:pStyle w:val="Bannermarking"/>
        <w:ind w:left="33"/>
      </w:pPr>
    </w:p>
    <w:p w14:paraId="2AF78354" w14:textId="77777777" w:rsidR="0002285C" w:rsidRDefault="0002285C" w:rsidP="0038129A">
      <w:pPr>
        <w:pStyle w:val="TOCheadingfactsheet"/>
        <w:sectPr w:rsidR="0002285C" w:rsidSect="006A5FE9">
          <w:headerReference w:type="default" r:id="rId14"/>
          <w:footerReference w:type="default" r:id="rId15"/>
          <w:type w:val="continuous"/>
          <w:pgSz w:w="11906" w:h="16838" w:code="9"/>
          <w:pgMar w:top="851" w:right="851" w:bottom="851" w:left="851" w:header="851" w:footer="567" w:gutter="0"/>
          <w:cols w:space="340"/>
          <w:titlePg/>
          <w:docGrid w:linePitch="360"/>
        </w:sectPr>
      </w:pPr>
    </w:p>
    <w:p w14:paraId="2B29CD62" w14:textId="77777777" w:rsidR="00FC64CB" w:rsidRDefault="00FC64CB" w:rsidP="0038129A">
      <w:pPr>
        <w:pStyle w:val="TOCheadingfactsheet"/>
      </w:pPr>
    </w:p>
    <w:p w14:paraId="0CBF5D9A" w14:textId="06955D52" w:rsidR="00AD784C" w:rsidRPr="00917A07" w:rsidRDefault="00AD784C" w:rsidP="0038129A">
      <w:pPr>
        <w:pStyle w:val="TOCheadingfactsheet"/>
      </w:pPr>
      <w:r w:rsidRPr="00917A07">
        <w:t>Contents</w:t>
      </w:r>
    </w:p>
    <w:p w14:paraId="2EB33C7B" w14:textId="5B3BC53E" w:rsidR="00C766E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517813" w:history="1">
        <w:r w:rsidR="00C766E7" w:rsidRPr="00B132DC">
          <w:rPr>
            <w:rStyle w:val="Hyperlink"/>
          </w:rPr>
          <w:t>Introduction</w:t>
        </w:r>
        <w:r w:rsidR="00C766E7">
          <w:rPr>
            <w:webHidden/>
          </w:rPr>
          <w:tab/>
        </w:r>
        <w:r w:rsidR="00C766E7">
          <w:rPr>
            <w:webHidden/>
          </w:rPr>
          <w:fldChar w:fldCharType="begin"/>
        </w:r>
        <w:r w:rsidR="00C766E7">
          <w:rPr>
            <w:webHidden/>
          </w:rPr>
          <w:instrText xml:space="preserve"> PAGEREF _Toc209517813 \h </w:instrText>
        </w:r>
        <w:r w:rsidR="00C766E7">
          <w:rPr>
            <w:webHidden/>
          </w:rPr>
        </w:r>
        <w:r w:rsidR="00C766E7">
          <w:rPr>
            <w:webHidden/>
          </w:rPr>
          <w:fldChar w:fldCharType="separate"/>
        </w:r>
        <w:r w:rsidR="00C766E7">
          <w:rPr>
            <w:webHidden/>
          </w:rPr>
          <w:t>1</w:t>
        </w:r>
        <w:r w:rsidR="00C766E7">
          <w:rPr>
            <w:webHidden/>
          </w:rPr>
          <w:fldChar w:fldCharType="end"/>
        </w:r>
      </w:hyperlink>
    </w:p>
    <w:p w14:paraId="2D2408FC" w14:textId="7D3AB025" w:rsidR="00C766E7" w:rsidRDefault="00C766E7">
      <w:pPr>
        <w:pStyle w:val="TOC2"/>
        <w:rPr>
          <w:rFonts w:asciiTheme="minorHAnsi" w:eastAsiaTheme="minorEastAsia" w:hAnsiTheme="minorHAnsi" w:cstheme="minorBidi"/>
          <w:kern w:val="2"/>
          <w:sz w:val="24"/>
          <w:szCs w:val="24"/>
          <w:lang w:eastAsia="en-AU"/>
          <w14:ligatures w14:val="standardContextual"/>
        </w:rPr>
      </w:pPr>
      <w:hyperlink w:anchor="_Toc209517814" w:history="1">
        <w:r w:rsidRPr="00B132DC">
          <w:rPr>
            <w:rStyle w:val="Hyperlink"/>
          </w:rPr>
          <w:t>The Act and workplace flexibility</w:t>
        </w:r>
        <w:r>
          <w:rPr>
            <w:webHidden/>
          </w:rPr>
          <w:tab/>
        </w:r>
        <w:r>
          <w:rPr>
            <w:webHidden/>
          </w:rPr>
          <w:fldChar w:fldCharType="begin"/>
        </w:r>
        <w:r>
          <w:rPr>
            <w:webHidden/>
          </w:rPr>
          <w:instrText xml:space="preserve"> PAGEREF _Toc209517814 \h </w:instrText>
        </w:r>
        <w:r>
          <w:rPr>
            <w:webHidden/>
          </w:rPr>
        </w:r>
        <w:r>
          <w:rPr>
            <w:webHidden/>
          </w:rPr>
          <w:fldChar w:fldCharType="separate"/>
        </w:r>
        <w:r>
          <w:rPr>
            <w:webHidden/>
          </w:rPr>
          <w:t>1</w:t>
        </w:r>
        <w:r>
          <w:rPr>
            <w:webHidden/>
          </w:rPr>
          <w:fldChar w:fldCharType="end"/>
        </w:r>
      </w:hyperlink>
    </w:p>
    <w:p w14:paraId="5A797E44" w14:textId="29B04D72" w:rsidR="00C766E7" w:rsidRDefault="00C766E7">
      <w:pPr>
        <w:pStyle w:val="TOC2"/>
        <w:rPr>
          <w:rFonts w:asciiTheme="minorHAnsi" w:eastAsiaTheme="minorEastAsia" w:hAnsiTheme="minorHAnsi" w:cstheme="minorBidi"/>
          <w:kern w:val="2"/>
          <w:sz w:val="24"/>
          <w:szCs w:val="24"/>
          <w:lang w:eastAsia="en-AU"/>
          <w14:ligatures w14:val="standardContextual"/>
        </w:rPr>
      </w:pPr>
      <w:hyperlink w:anchor="_Toc209517815" w:history="1">
        <w:r w:rsidRPr="00B132DC">
          <w:rPr>
            <w:rStyle w:val="Hyperlink"/>
            <w:rFonts w:eastAsia="Times"/>
          </w:rPr>
          <w:t>Undertaking a GIA on the proposed legislation</w:t>
        </w:r>
        <w:r>
          <w:rPr>
            <w:webHidden/>
          </w:rPr>
          <w:tab/>
        </w:r>
        <w:r>
          <w:rPr>
            <w:webHidden/>
          </w:rPr>
          <w:fldChar w:fldCharType="begin"/>
        </w:r>
        <w:r>
          <w:rPr>
            <w:webHidden/>
          </w:rPr>
          <w:instrText xml:space="preserve"> PAGEREF _Toc209517815 \h </w:instrText>
        </w:r>
        <w:r>
          <w:rPr>
            <w:webHidden/>
          </w:rPr>
        </w:r>
        <w:r>
          <w:rPr>
            <w:webHidden/>
          </w:rPr>
          <w:fldChar w:fldCharType="separate"/>
        </w:r>
        <w:r>
          <w:rPr>
            <w:webHidden/>
          </w:rPr>
          <w:t>2</w:t>
        </w:r>
        <w:r>
          <w:rPr>
            <w:webHidden/>
          </w:rPr>
          <w:fldChar w:fldCharType="end"/>
        </w:r>
      </w:hyperlink>
    </w:p>
    <w:p w14:paraId="01EDE4ED" w14:textId="399CA67D" w:rsidR="00C766E7" w:rsidRDefault="00C766E7">
      <w:pPr>
        <w:pStyle w:val="TOC2"/>
        <w:rPr>
          <w:rFonts w:asciiTheme="minorHAnsi" w:eastAsiaTheme="minorEastAsia" w:hAnsiTheme="minorHAnsi" w:cstheme="minorBidi"/>
          <w:kern w:val="2"/>
          <w:sz w:val="24"/>
          <w:szCs w:val="24"/>
          <w:lang w:eastAsia="en-AU"/>
          <w14:ligatures w14:val="standardContextual"/>
        </w:rPr>
      </w:pPr>
      <w:hyperlink w:anchor="_Toc209517816" w:history="1">
        <w:r w:rsidRPr="00B132DC">
          <w:rPr>
            <w:rStyle w:val="Hyperlink"/>
            <w:rFonts w:eastAsia="Times"/>
          </w:rPr>
          <w:t>Summary of recommendations made in this submission</w:t>
        </w:r>
        <w:r>
          <w:rPr>
            <w:webHidden/>
          </w:rPr>
          <w:tab/>
        </w:r>
        <w:r>
          <w:rPr>
            <w:webHidden/>
          </w:rPr>
          <w:fldChar w:fldCharType="begin"/>
        </w:r>
        <w:r>
          <w:rPr>
            <w:webHidden/>
          </w:rPr>
          <w:instrText xml:space="preserve"> PAGEREF _Toc209517816 \h </w:instrText>
        </w:r>
        <w:r>
          <w:rPr>
            <w:webHidden/>
          </w:rPr>
        </w:r>
        <w:r>
          <w:rPr>
            <w:webHidden/>
          </w:rPr>
          <w:fldChar w:fldCharType="separate"/>
        </w:r>
        <w:r>
          <w:rPr>
            <w:webHidden/>
          </w:rPr>
          <w:t>4</w:t>
        </w:r>
        <w:r>
          <w:rPr>
            <w:webHidden/>
          </w:rPr>
          <w:fldChar w:fldCharType="end"/>
        </w:r>
      </w:hyperlink>
    </w:p>
    <w:p w14:paraId="1E7412FE" w14:textId="635F12BB" w:rsidR="00C766E7" w:rsidRDefault="00C766E7">
      <w:pPr>
        <w:pStyle w:val="TOC1"/>
        <w:rPr>
          <w:rFonts w:asciiTheme="minorHAnsi" w:eastAsiaTheme="minorEastAsia" w:hAnsiTheme="minorHAnsi" w:cstheme="minorBidi"/>
          <w:b w:val="0"/>
          <w:kern w:val="2"/>
          <w:sz w:val="24"/>
          <w:szCs w:val="24"/>
          <w:lang w:eastAsia="en-AU"/>
          <w14:ligatures w14:val="standardContextual"/>
        </w:rPr>
      </w:pPr>
      <w:hyperlink w:anchor="_Toc209517817" w:history="1">
        <w:r w:rsidRPr="00B132DC">
          <w:rPr>
            <w:rStyle w:val="Hyperlink"/>
          </w:rPr>
          <w:t>Submission</w:t>
        </w:r>
        <w:r>
          <w:rPr>
            <w:webHidden/>
          </w:rPr>
          <w:tab/>
        </w:r>
        <w:r>
          <w:rPr>
            <w:webHidden/>
          </w:rPr>
          <w:fldChar w:fldCharType="begin"/>
        </w:r>
        <w:r>
          <w:rPr>
            <w:webHidden/>
          </w:rPr>
          <w:instrText xml:space="preserve"> PAGEREF _Toc209517817 \h </w:instrText>
        </w:r>
        <w:r>
          <w:rPr>
            <w:webHidden/>
          </w:rPr>
        </w:r>
        <w:r>
          <w:rPr>
            <w:webHidden/>
          </w:rPr>
          <w:fldChar w:fldCharType="separate"/>
        </w:r>
        <w:r>
          <w:rPr>
            <w:webHidden/>
          </w:rPr>
          <w:t>4</w:t>
        </w:r>
        <w:r>
          <w:rPr>
            <w:webHidden/>
          </w:rPr>
          <w:fldChar w:fldCharType="end"/>
        </w:r>
      </w:hyperlink>
    </w:p>
    <w:p w14:paraId="66096B45" w14:textId="2E3AA089" w:rsidR="00C766E7" w:rsidRDefault="00C766E7">
      <w:pPr>
        <w:pStyle w:val="TOC2"/>
        <w:rPr>
          <w:rFonts w:asciiTheme="minorHAnsi" w:eastAsiaTheme="minorEastAsia" w:hAnsiTheme="minorHAnsi" w:cstheme="minorBidi"/>
          <w:kern w:val="2"/>
          <w:sz w:val="24"/>
          <w:szCs w:val="24"/>
          <w:lang w:eastAsia="en-AU"/>
          <w14:ligatures w14:val="standardContextual"/>
        </w:rPr>
      </w:pPr>
      <w:hyperlink w:anchor="_Toc209517818" w:history="1">
        <w:r w:rsidRPr="00B132DC">
          <w:rPr>
            <w:rStyle w:val="Hyperlink"/>
          </w:rPr>
          <w:t>The challenges and benefits of geographical flexibility</w:t>
        </w:r>
        <w:r>
          <w:rPr>
            <w:webHidden/>
          </w:rPr>
          <w:tab/>
        </w:r>
        <w:r>
          <w:rPr>
            <w:webHidden/>
          </w:rPr>
          <w:fldChar w:fldCharType="begin"/>
        </w:r>
        <w:r>
          <w:rPr>
            <w:webHidden/>
          </w:rPr>
          <w:instrText xml:space="preserve"> PAGEREF _Toc209517818 \h </w:instrText>
        </w:r>
        <w:r>
          <w:rPr>
            <w:webHidden/>
          </w:rPr>
        </w:r>
        <w:r>
          <w:rPr>
            <w:webHidden/>
          </w:rPr>
          <w:fldChar w:fldCharType="separate"/>
        </w:r>
        <w:r>
          <w:rPr>
            <w:webHidden/>
          </w:rPr>
          <w:t>4</w:t>
        </w:r>
        <w:r>
          <w:rPr>
            <w:webHidden/>
          </w:rPr>
          <w:fldChar w:fldCharType="end"/>
        </w:r>
      </w:hyperlink>
    </w:p>
    <w:p w14:paraId="12653479" w14:textId="5A9EFFB6" w:rsidR="00C766E7" w:rsidRDefault="00C766E7">
      <w:pPr>
        <w:pStyle w:val="TOC2"/>
        <w:rPr>
          <w:rFonts w:asciiTheme="minorHAnsi" w:eastAsiaTheme="minorEastAsia" w:hAnsiTheme="minorHAnsi" w:cstheme="minorBidi"/>
          <w:kern w:val="2"/>
          <w:sz w:val="24"/>
          <w:szCs w:val="24"/>
          <w:lang w:eastAsia="en-AU"/>
          <w14:ligatures w14:val="standardContextual"/>
        </w:rPr>
      </w:pPr>
      <w:hyperlink w:anchor="_Toc209517819" w:history="1">
        <w:r w:rsidRPr="00B132DC">
          <w:rPr>
            <w:rStyle w:val="Hyperlink"/>
          </w:rPr>
          <w:t>The gendered impacts of traditional work structures</w:t>
        </w:r>
        <w:r>
          <w:rPr>
            <w:webHidden/>
          </w:rPr>
          <w:tab/>
        </w:r>
        <w:r>
          <w:rPr>
            <w:webHidden/>
          </w:rPr>
          <w:fldChar w:fldCharType="begin"/>
        </w:r>
        <w:r>
          <w:rPr>
            <w:webHidden/>
          </w:rPr>
          <w:instrText xml:space="preserve"> PAGEREF _Toc209517819 \h </w:instrText>
        </w:r>
        <w:r>
          <w:rPr>
            <w:webHidden/>
          </w:rPr>
        </w:r>
        <w:r>
          <w:rPr>
            <w:webHidden/>
          </w:rPr>
          <w:fldChar w:fldCharType="separate"/>
        </w:r>
        <w:r>
          <w:rPr>
            <w:webHidden/>
          </w:rPr>
          <w:t>6</w:t>
        </w:r>
        <w:r>
          <w:rPr>
            <w:webHidden/>
          </w:rPr>
          <w:fldChar w:fldCharType="end"/>
        </w:r>
      </w:hyperlink>
    </w:p>
    <w:p w14:paraId="4F9AC9D7" w14:textId="386977D0" w:rsidR="00C766E7" w:rsidRDefault="00C766E7">
      <w:pPr>
        <w:pStyle w:val="TOC1"/>
        <w:rPr>
          <w:rFonts w:asciiTheme="minorHAnsi" w:eastAsiaTheme="minorEastAsia" w:hAnsiTheme="minorHAnsi" w:cstheme="minorBidi"/>
          <w:b w:val="0"/>
          <w:kern w:val="2"/>
          <w:sz w:val="24"/>
          <w:szCs w:val="24"/>
          <w:lang w:eastAsia="en-AU"/>
          <w14:ligatures w14:val="standardContextual"/>
        </w:rPr>
      </w:pPr>
      <w:hyperlink w:anchor="_Toc209517820" w:history="1">
        <w:r w:rsidRPr="00B132DC">
          <w:rPr>
            <w:rStyle w:val="Hyperlink"/>
          </w:rPr>
          <w:t>References</w:t>
        </w:r>
        <w:r>
          <w:rPr>
            <w:webHidden/>
          </w:rPr>
          <w:tab/>
        </w:r>
        <w:r>
          <w:rPr>
            <w:webHidden/>
          </w:rPr>
          <w:fldChar w:fldCharType="begin"/>
        </w:r>
        <w:r>
          <w:rPr>
            <w:webHidden/>
          </w:rPr>
          <w:instrText xml:space="preserve"> PAGEREF _Toc209517820 \h </w:instrText>
        </w:r>
        <w:r>
          <w:rPr>
            <w:webHidden/>
          </w:rPr>
        </w:r>
        <w:r>
          <w:rPr>
            <w:webHidden/>
          </w:rPr>
          <w:fldChar w:fldCharType="separate"/>
        </w:r>
        <w:r>
          <w:rPr>
            <w:webHidden/>
          </w:rPr>
          <w:t>9</w:t>
        </w:r>
        <w:r>
          <w:rPr>
            <w:webHidden/>
          </w:rPr>
          <w:fldChar w:fldCharType="end"/>
        </w:r>
      </w:hyperlink>
    </w:p>
    <w:p w14:paraId="13445742" w14:textId="003E2CAE" w:rsidR="00580394" w:rsidRPr="00B519CD" w:rsidRDefault="00AD784C" w:rsidP="007173CA">
      <w:pPr>
        <w:pStyle w:val="Body"/>
        <w:sectPr w:rsidR="00580394" w:rsidRPr="00B519CD" w:rsidSect="006A5FE9">
          <w:type w:val="continuous"/>
          <w:pgSz w:w="11906" w:h="16838" w:code="9"/>
          <w:pgMar w:top="851" w:right="851" w:bottom="851" w:left="851" w:header="851" w:footer="567" w:gutter="0"/>
          <w:cols w:space="340"/>
          <w:titlePg/>
          <w:docGrid w:linePitch="360"/>
        </w:sectPr>
      </w:pPr>
      <w:r>
        <w:fldChar w:fldCharType="end"/>
      </w:r>
    </w:p>
    <w:p w14:paraId="3FD43261" w14:textId="77777777" w:rsidR="00F32368" w:rsidRPr="00F32368" w:rsidRDefault="00F32368" w:rsidP="00F32368">
      <w:pPr>
        <w:pStyle w:val="Body"/>
      </w:pPr>
      <w:bookmarkStart w:id="0" w:name="_Hlk41913885"/>
    </w:p>
    <w:p w14:paraId="6500107F" w14:textId="6F99EC04" w:rsidR="008A5D60" w:rsidRPr="00C44141" w:rsidRDefault="009D124B" w:rsidP="00C44141">
      <w:pPr>
        <w:pStyle w:val="Heading1"/>
      </w:pPr>
      <w:bookmarkStart w:id="1" w:name="_Toc209517813"/>
      <w:bookmarkEnd w:id="0"/>
      <w:r>
        <w:t>Introduction</w:t>
      </w:r>
      <w:bookmarkEnd w:id="1"/>
    </w:p>
    <w:p w14:paraId="44BD388F" w14:textId="6A1D41F9" w:rsidR="00C6612E" w:rsidRDefault="00C6612E" w:rsidP="00C6612E">
      <w:pPr>
        <w:spacing w:before="120"/>
        <w:rPr>
          <w:rFonts w:eastAsiaTheme="minorHAnsi" w:cs="Arial"/>
        </w:rPr>
      </w:pPr>
      <w:r w:rsidRPr="009D49D2">
        <w:rPr>
          <w:rFonts w:eastAsiaTheme="minorHAnsi" w:cs="Arial"/>
        </w:rPr>
        <w:t>As Victoria’s</w:t>
      </w:r>
      <w:r>
        <w:rPr>
          <w:rFonts w:eastAsiaTheme="minorHAnsi" w:cs="Arial"/>
        </w:rPr>
        <w:t xml:space="preserve"> inaugural</w:t>
      </w:r>
      <w:r w:rsidRPr="009D49D2">
        <w:rPr>
          <w:rFonts w:eastAsiaTheme="minorHAnsi" w:cs="Arial"/>
        </w:rPr>
        <w:t xml:space="preserve"> Public Sector Gender Equality Commissioner, I welcome the opportunity to make this submission to the</w:t>
      </w:r>
      <w:r w:rsidR="00914E1E">
        <w:rPr>
          <w:rFonts w:eastAsiaTheme="minorHAnsi" w:cs="Arial"/>
        </w:rPr>
        <w:t xml:space="preserve"> Department of Premier and Cabinet (</w:t>
      </w:r>
      <w:r w:rsidR="0049321A">
        <w:rPr>
          <w:rFonts w:eastAsiaTheme="minorHAnsi" w:cs="Arial"/>
        </w:rPr>
        <w:t>department</w:t>
      </w:r>
      <w:r w:rsidR="00914E1E">
        <w:rPr>
          <w:rFonts w:eastAsiaTheme="minorHAnsi" w:cs="Arial"/>
        </w:rPr>
        <w:t xml:space="preserve">) in relation to the development of </w:t>
      </w:r>
      <w:r w:rsidR="00A23CFD">
        <w:rPr>
          <w:rFonts w:eastAsiaTheme="minorHAnsi" w:cs="Arial"/>
        </w:rPr>
        <w:t xml:space="preserve">the </w:t>
      </w:r>
      <w:r w:rsidR="00914E1E">
        <w:rPr>
          <w:rFonts w:eastAsiaTheme="minorHAnsi" w:cs="Arial"/>
        </w:rPr>
        <w:t>potential working from home legislation.</w:t>
      </w:r>
      <w:r w:rsidRPr="009D49D2">
        <w:rPr>
          <w:rFonts w:eastAsiaTheme="minorHAnsi" w:cs="Arial"/>
        </w:rPr>
        <w:t xml:space="preserve"> </w:t>
      </w:r>
    </w:p>
    <w:p w14:paraId="6B358060" w14:textId="7D1CD9EE" w:rsidR="003525CC" w:rsidRDefault="003525CC" w:rsidP="003525CC">
      <w:pPr>
        <w:pStyle w:val="Body"/>
      </w:pPr>
      <w:r>
        <w:t xml:space="preserve">I strongly support the core principle of making working from home a protected, legal entitlement. This </w:t>
      </w:r>
      <w:r w:rsidRPr="00AD11CC">
        <w:t>acknowledges the evolving nature of work and has the potential to be transformative for individuals of all genders, particularly those with caring responsibilities, or who face other barriers with traditional work structures. It recogni</w:t>
      </w:r>
      <w:r>
        <w:t>s</w:t>
      </w:r>
      <w:r w:rsidRPr="00AD11CC">
        <w:t>es the diverse needs of a modern workforce.</w:t>
      </w:r>
      <w:r>
        <w:t xml:space="preserve"> </w:t>
      </w:r>
    </w:p>
    <w:p w14:paraId="39D1F84A" w14:textId="5C060C4A" w:rsidR="005263C4" w:rsidRPr="00034DD9" w:rsidRDefault="00A6233D" w:rsidP="00CD192C">
      <w:pPr>
        <w:pStyle w:val="Body"/>
      </w:pPr>
      <w:r>
        <w:t xml:space="preserve">However, it is important that in the development of the proposed legislation that the </w:t>
      </w:r>
      <w:r w:rsidR="0049321A">
        <w:t>department</w:t>
      </w:r>
      <w:r>
        <w:t xml:space="preserve"> consider </w:t>
      </w:r>
      <w:r w:rsidR="003E06FA">
        <w:t xml:space="preserve">the specific challenges </w:t>
      </w:r>
      <w:r w:rsidR="00366922">
        <w:t>presented by hybrid working environments</w:t>
      </w:r>
      <w:r w:rsidR="00B94BD4">
        <w:t xml:space="preserve">, including: </w:t>
      </w:r>
    </w:p>
    <w:p w14:paraId="117E9330" w14:textId="27A57154" w:rsidR="00A6233D" w:rsidRPr="00034DD9" w:rsidRDefault="00B94BD4" w:rsidP="00CD192C">
      <w:pPr>
        <w:pStyle w:val="Bullet1"/>
      </w:pPr>
      <w:r>
        <w:t xml:space="preserve">proximity bias and its potential to exacerbate the impacts of </w:t>
      </w:r>
      <w:r w:rsidR="005263C4">
        <w:t xml:space="preserve">workplace </w:t>
      </w:r>
      <w:r w:rsidR="002F699B">
        <w:t xml:space="preserve">bias and </w:t>
      </w:r>
      <w:r w:rsidR="005263C4">
        <w:t>discrimination on women and other marginalised individuals</w:t>
      </w:r>
      <w:r w:rsidR="00C5104B">
        <w:t xml:space="preserve"> (Williamson et al. 2024; Williamson and Colley 2022; Parmelee and Codd 2023)</w:t>
      </w:r>
      <w:r w:rsidR="005263C4">
        <w:t>;</w:t>
      </w:r>
    </w:p>
    <w:p w14:paraId="741696C8" w14:textId="4AE9B03B" w:rsidR="005263C4" w:rsidRPr="00034DD9" w:rsidRDefault="009E442F" w:rsidP="00CD192C">
      <w:pPr>
        <w:pStyle w:val="Bullet1"/>
      </w:pPr>
      <w:r>
        <w:t>the increased safety risk posed by hybrid working arrangements for individuals experiencing domestic and family violence (DFV)</w:t>
      </w:r>
      <w:r w:rsidR="00C5104B">
        <w:t xml:space="preserve"> (Boxall et al. 2020)</w:t>
      </w:r>
      <w:r w:rsidR="00515806">
        <w:t>;</w:t>
      </w:r>
    </w:p>
    <w:p w14:paraId="65FA64E9" w14:textId="6D4B1BBB" w:rsidR="00515806" w:rsidRDefault="003E7D67" w:rsidP="00CD192C">
      <w:pPr>
        <w:pStyle w:val="Bullet1"/>
      </w:pPr>
      <w:r>
        <w:t xml:space="preserve">workplace technology-facilitated sexual </w:t>
      </w:r>
      <w:r w:rsidR="001617DA">
        <w:t>harassment</w:t>
      </w:r>
      <w:r w:rsidR="00516DBA">
        <w:t xml:space="preserve"> (WTFSH)</w:t>
      </w:r>
      <w:r w:rsidR="001617DA">
        <w:t xml:space="preserve">, with women and young people being </w:t>
      </w:r>
      <w:r w:rsidR="0011742A">
        <w:t>particularly at risk of victimisation</w:t>
      </w:r>
      <w:r w:rsidR="00C5104B">
        <w:t xml:space="preserve"> (Flynn et al. 2024)</w:t>
      </w:r>
      <w:r w:rsidR="008D10EF">
        <w:t>; and</w:t>
      </w:r>
    </w:p>
    <w:p w14:paraId="76D5DC1E" w14:textId="1D0BB932" w:rsidR="008D10EF" w:rsidRPr="00034DD9" w:rsidRDefault="00EC2605" w:rsidP="00CD192C">
      <w:pPr>
        <w:pStyle w:val="Bullet1"/>
      </w:pPr>
      <w:r>
        <w:t xml:space="preserve">the </w:t>
      </w:r>
      <w:r w:rsidR="005142A8">
        <w:t xml:space="preserve">potential for </w:t>
      </w:r>
      <w:r w:rsidR="00843ACB">
        <w:t xml:space="preserve">flexible working arrangements, including those related to geographical flexibility, to </w:t>
      </w:r>
      <w:r w:rsidR="00FA7335">
        <w:t xml:space="preserve">reinforce existing gender stereotypes and roles. </w:t>
      </w:r>
    </w:p>
    <w:p w14:paraId="4F6F0401" w14:textId="30B67199" w:rsidR="00830A31" w:rsidRPr="003525CC" w:rsidRDefault="00034DD9" w:rsidP="00034DD9">
      <w:pPr>
        <w:pStyle w:val="Bullet1"/>
        <w:numPr>
          <w:ilvl w:val="0"/>
          <w:numId w:val="0"/>
        </w:numPr>
        <w:spacing w:before="120"/>
      </w:pPr>
      <w:r>
        <w:t xml:space="preserve">The </w:t>
      </w:r>
      <w:r w:rsidR="0049321A">
        <w:t>department</w:t>
      </w:r>
      <w:r>
        <w:t xml:space="preserve"> should also</w:t>
      </w:r>
      <w:r w:rsidR="0015365A">
        <w:t>, in developing its</w:t>
      </w:r>
      <w:r w:rsidR="007F635D">
        <w:t xml:space="preserve"> implementation and</w:t>
      </w:r>
      <w:r w:rsidR="0015365A">
        <w:t xml:space="preserve"> communication </w:t>
      </w:r>
      <w:r w:rsidR="000C6D3B">
        <w:t xml:space="preserve">plan with respect to the proposed legislation, ensure that due consideration is given to </w:t>
      </w:r>
      <w:r w:rsidR="00CA620A">
        <w:t>these issues</w:t>
      </w:r>
      <w:r w:rsidR="007F635D">
        <w:t>.</w:t>
      </w:r>
      <w:r w:rsidR="009444DD">
        <w:t xml:space="preserve"> </w:t>
      </w:r>
    </w:p>
    <w:p w14:paraId="4052D6EE" w14:textId="4C085F0B" w:rsidR="008C3279" w:rsidRDefault="008D715B" w:rsidP="000C35F3">
      <w:pPr>
        <w:pStyle w:val="Heading2"/>
      </w:pPr>
      <w:bookmarkStart w:id="2" w:name="_Toc209517814"/>
      <w:r>
        <w:lastRenderedPageBreak/>
        <w:t xml:space="preserve">The Act </w:t>
      </w:r>
      <w:r w:rsidR="005203D4">
        <w:t>and workplace flexibility</w:t>
      </w:r>
      <w:bookmarkEnd w:id="2"/>
    </w:p>
    <w:p w14:paraId="6874C067" w14:textId="7BB7CA1D" w:rsidR="00E935FB" w:rsidRDefault="00E935FB" w:rsidP="000D0122">
      <w:pPr>
        <w:spacing w:before="120"/>
        <w:rPr>
          <w:rFonts w:eastAsiaTheme="minorEastAsia" w:cs="Arial"/>
          <w:szCs w:val="21"/>
        </w:rPr>
      </w:pPr>
      <w:r w:rsidRPr="00E935FB">
        <w:rPr>
          <w:rFonts w:eastAsiaTheme="minorEastAsia" w:cs="Arial"/>
          <w:szCs w:val="21"/>
        </w:rPr>
        <w:t xml:space="preserve">As Commissioner, I am responsible for the implementation of the nation-leading </w:t>
      </w:r>
      <w:r w:rsidRPr="00BA55E1">
        <w:rPr>
          <w:rFonts w:eastAsiaTheme="minorEastAsia" w:cs="Arial"/>
          <w:i/>
          <w:iCs/>
          <w:szCs w:val="21"/>
        </w:rPr>
        <w:t>Gender Equality Act 2020</w:t>
      </w:r>
      <w:r w:rsidRPr="00E935FB">
        <w:rPr>
          <w:rFonts w:eastAsiaTheme="minorEastAsia" w:cs="Arial"/>
          <w:szCs w:val="21"/>
        </w:rPr>
        <w:t xml:space="preserve"> (Vic) (the Act) and for promoting gender equality across public sector workplaces and in the broader Victorian community.</w:t>
      </w:r>
    </w:p>
    <w:p w14:paraId="451C5529" w14:textId="70A44194" w:rsidR="000D0122" w:rsidRPr="000D0122" w:rsidRDefault="000D0122" w:rsidP="000D0122">
      <w:pPr>
        <w:spacing w:before="120"/>
        <w:rPr>
          <w:rFonts w:eastAsiaTheme="minorEastAsia" w:cs="Arial"/>
          <w:szCs w:val="21"/>
        </w:rPr>
      </w:pPr>
      <w:r w:rsidRPr="000D0122">
        <w:rPr>
          <w:rFonts w:eastAsiaTheme="minorEastAsia" w:cs="Arial"/>
          <w:szCs w:val="21"/>
        </w:rPr>
        <w:t>The Act covers approximately 300 Victorian public sector organisations, universities and local councils that are required to make gender equality progress in their workplaces and public-facing policies, programs and services. In particular, duty holders are required to:</w:t>
      </w:r>
    </w:p>
    <w:p w14:paraId="5400E8B6" w14:textId="0EB9128C" w:rsidR="00937560" w:rsidRPr="000D0122" w:rsidRDefault="00937560" w:rsidP="00937560">
      <w:pPr>
        <w:numPr>
          <w:ilvl w:val="0"/>
          <w:numId w:val="9"/>
        </w:numPr>
        <w:spacing w:before="120"/>
        <w:rPr>
          <w:rFonts w:eastAsiaTheme="minorEastAsia" w:cs="Arial"/>
          <w:szCs w:val="21"/>
        </w:rPr>
      </w:pPr>
      <w:r w:rsidRPr="000D0122">
        <w:rPr>
          <w:rFonts w:eastAsiaTheme="minorEastAsia" w:cs="Arial"/>
          <w:szCs w:val="21"/>
        </w:rPr>
        <w:t>consider and promote gender equality and take necessary and proportionate action towards achieving workplace gender equality</w:t>
      </w:r>
      <w:r w:rsidRPr="005F2321">
        <w:rPr>
          <w:rFonts w:eastAsiaTheme="minorEastAsia" w:cs="Arial"/>
          <w:szCs w:val="21"/>
        </w:rPr>
        <w:t>;</w:t>
      </w:r>
    </w:p>
    <w:p w14:paraId="0CCA9D4A" w14:textId="49183163" w:rsidR="00937560" w:rsidRPr="005F2321" w:rsidRDefault="00937560" w:rsidP="005F2321">
      <w:pPr>
        <w:numPr>
          <w:ilvl w:val="0"/>
          <w:numId w:val="9"/>
        </w:numPr>
        <w:spacing w:before="120"/>
        <w:rPr>
          <w:rFonts w:eastAsiaTheme="minorEastAsia" w:cs="Arial"/>
          <w:szCs w:val="21"/>
        </w:rPr>
      </w:pPr>
      <w:r w:rsidRPr="000D0122">
        <w:rPr>
          <w:rFonts w:eastAsiaTheme="minorEastAsia" w:cs="Arial"/>
          <w:szCs w:val="21"/>
        </w:rPr>
        <w:t>undertake a gender impact assessment (GIA) when developing or reviewing policies, programs and services that have a direct and significant impact on the public, and report on these GIAs in their progress reports;</w:t>
      </w:r>
    </w:p>
    <w:p w14:paraId="6AFBD012" w14:textId="5A2F9985" w:rsidR="000D0122" w:rsidRPr="000D0122" w:rsidRDefault="000D0122" w:rsidP="000D0122">
      <w:pPr>
        <w:numPr>
          <w:ilvl w:val="0"/>
          <w:numId w:val="9"/>
        </w:numPr>
        <w:spacing w:before="120"/>
        <w:rPr>
          <w:rFonts w:eastAsiaTheme="minorEastAsia" w:cs="Arial"/>
          <w:szCs w:val="21"/>
        </w:rPr>
      </w:pPr>
      <w:r w:rsidRPr="000D0122">
        <w:rPr>
          <w:rFonts w:eastAsiaTheme="minorEastAsia" w:cs="Arial"/>
          <w:szCs w:val="21"/>
        </w:rPr>
        <w:t xml:space="preserve">conduct a workplace gender audit and develop a Gender Equality Action Plan (GEAP) every four years; </w:t>
      </w:r>
      <w:r w:rsidR="00937560" w:rsidRPr="005F2321">
        <w:rPr>
          <w:rFonts w:eastAsiaTheme="minorEastAsia" w:cs="Arial"/>
          <w:szCs w:val="21"/>
        </w:rPr>
        <w:t>and</w:t>
      </w:r>
    </w:p>
    <w:p w14:paraId="596A3BFF" w14:textId="6DF6F997" w:rsidR="000D0122" w:rsidRPr="005F2321" w:rsidRDefault="000D0122" w:rsidP="000D0122">
      <w:pPr>
        <w:numPr>
          <w:ilvl w:val="0"/>
          <w:numId w:val="9"/>
        </w:numPr>
        <w:spacing w:before="120"/>
        <w:rPr>
          <w:rFonts w:eastAsiaTheme="minorEastAsia" w:cs="Arial"/>
          <w:szCs w:val="21"/>
        </w:rPr>
      </w:pPr>
      <w:r w:rsidRPr="000D0122">
        <w:rPr>
          <w:rFonts w:eastAsiaTheme="minorEastAsia" w:cs="Arial"/>
          <w:szCs w:val="21"/>
        </w:rPr>
        <w:t>make reasonable and material progress in relation to the seven workplace gender equality indicators</w:t>
      </w:r>
      <w:r w:rsidR="00FE0051" w:rsidRPr="005F2321">
        <w:rPr>
          <w:rFonts w:eastAsiaTheme="minorEastAsia" w:cs="Arial"/>
          <w:szCs w:val="21"/>
        </w:rPr>
        <w:t xml:space="preserve"> (WGEIs)</w:t>
      </w:r>
      <w:r w:rsidRPr="000D0122">
        <w:rPr>
          <w:rFonts w:eastAsiaTheme="minorEastAsia" w:cs="Arial"/>
          <w:szCs w:val="21"/>
        </w:rPr>
        <w:t xml:space="preserve"> and their GEAP strategies and measures, and report on this progress every two years</w:t>
      </w:r>
      <w:r w:rsidR="00937560" w:rsidRPr="005F2321">
        <w:rPr>
          <w:rFonts w:eastAsiaTheme="minorEastAsia" w:cs="Arial"/>
          <w:szCs w:val="21"/>
        </w:rPr>
        <w:t>.</w:t>
      </w:r>
    </w:p>
    <w:p w14:paraId="73CDAF7E" w14:textId="2A86A652" w:rsidR="00361418" w:rsidRPr="000D0122" w:rsidRDefault="00D03487" w:rsidP="00937560">
      <w:pPr>
        <w:spacing w:before="120"/>
        <w:rPr>
          <w:rFonts w:eastAsiaTheme="minorEastAsia" w:cs="Arial"/>
          <w:szCs w:val="21"/>
        </w:rPr>
      </w:pPr>
      <w:r w:rsidRPr="005F2321">
        <w:rPr>
          <w:rFonts w:eastAsiaTheme="minorEastAsia" w:cs="Arial"/>
          <w:szCs w:val="21"/>
        </w:rPr>
        <w:t>The seven WGEIs</w:t>
      </w:r>
      <w:r w:rsidR="00ED789F" w:rsidRPr="005F2321">
        <w:rPr>
          <w:rFonts w:eastAsiaTheme="minorEastAsia" w:cs="Arial"/>
          <w:szCs w:val="21"/>
        </w:rPr>
        <w:t xml:space="preserve"> represent the key areas where workplace gender inequality persists and where progress towards gender equality can be achieved through focused action. Relevantly, </w:t>
      </w:r>
      <w:r w:rsidR="006D041E" w:rsidRPr="005F2321">
        <w:rPr>
          <w:rFonts w:eastAsiaTheme="minorEastAsia" w:cs="Arial"/>
          <w:szCs w:val="21"/>
        </w:rPr>
        <w:t xml:space="preserve">they include </w:t>
      </w:r>
      <w:r w:rsidR="002E5DB8" w:rsidRPr="005F2321">
        <w:rPr>
          <w:rFonts w:eastAsiaTheme="minorEastAsia" w:cs="Arial"/>
          <w:szCs w:val="21"/>
        </w:rPr>
        <w:t>the availability and utilisation of terms, conditions and practices related to, among other things, flexible working arrangements and working arrangements supporting employees</w:t>
      </w:r>
      <w:r w:rsidR="0004024E" w:rsidRPr="005F2321">
        <w:rPr>
          <w:rFonts w:eastAsiaTheme="minorEastAsia" w:cs="Arial"/>
          <w:szCs w:val="21"/>
        </w:rPr>
        <w:t xml:space="preserve"> with family or caring responsibilities.</w:t>
      </w:r>
      <w:r w:rsidR="00274A2E" w:rsidRPr="005F2321">
        <w:rPr>
          <w:rFonts w:eastAsiaTheme="minorEastAsia" w:cs="Arial"/>
          <w:szCs w:val="21"/>
        </w:rPr>
        <w:t xml:space="preserve"> </w:t>
      </w:r>
      <w:r w:rsidR="0015575F" w:rsidRPr="005F2321">
        <w:rPr>
          <w:rFonts w:eastAsiaTheme="minorEastAsia" w:cs="Arial"/>
          <w:szCs w:val="21"/>
        </w:rPr>
        <w:t xml:space="preserve">As will be discussed further below, </w:t>
      </w:r>
      <w:r w:rsidR="005715D8">
        <w:rPr>
          <w:rFonts w:eastAsiaTheme="minorEastAsia" w:cs="Arial"/>
          <w:szCs w:val="21"/>
        </w:rPr>
        <w:t xml:space="preserve">geographical </w:t>
      </w:r>
      <w:r w:rsidR="005715D8" w:rsidRPr="005F2321">
        <w:rPr>
          <w:rFonts w:eastAsiaTheme="minorEastAsia" w:cs="Arial"/>
          <w:szCs w:val="21"/>
        </w:rPr>
        <w:t>flexib</w:t>
      </w:r>
      <w:r w:rsidR="005715D8">
        <w:rPr>
          <w:rFonts w:eastAsiaTheme="minorEastAsia" w:cs="Arial"/>
          <w:szCs w:val="21"/>
        </w:rPr>
        <w:t>ility</w:t>
      </w:r>
      <w:r w:rsidR="0015575F" w:rsidRPr="005F2321">
        <w:rPr>
          <w:rFonts w:eastAsiaTheme="minorEastAsia" w:cs="Arial"/>
          <w:szCs w:val="21"/>
        </w:rPr>
        <w:t xml:space="preserve"> is crucial </w:t>
      </w:r>
      <w:r w:rsidR="00FE75ED" w:rsidRPr="005F2321">
        <w:rPr>
          <w:rFonts w:eastAsiaTheme="minorEastAsia" w:cs="Arial"/>
          <w:szCs w:val="21"/>
        </w:rPr>
        <w:t>to workplace gender equality, as it supports employees to balance work with caring and other responsibilities,</w:t>
      </w:r>
      <w:r w:rsidR="00F70659">
        <w:rPr>
          <w:rFonts w:eastAsiaTheme="minorEastAsia" w:cs="Arial"/>
          <w:szCs w:val="21"/>
        </w:rPr>
        <w:t xml:space="preserve"> recognises </w:t>
      </w:r>
      <w:r w:rsidR="00F4508D">
        <w:rPr>
          <w:rFonts w:eastAsiaTheme="minorEastAsia" w:cs="Arial"/>
          <w:szCs w:val="21"/>
        </w:rPr>
        <w:t>the barriers faced by individuals who experience compounded forms of inequality,</w:t>
      </w:r>
      <w:r w:rsidR="00FE75ED" w:rsidRPr="005F2321">
        <w:rPr>
          <w:rFonts w:eastAsiaTheme="minorEastAsia" w:cs="Arial"/>
          <w:szCs w:val="21"/>
        </w:rPr>
        <w:t xml:space="preserve"> and facilitates</w:t>
      </w:r>
      <w:r w:rsidR="002614E0" w:rsidRPr="005F2321">
        <w:rPr>
          <w:rFonts w:eastAsiaTheme="minorEastAsia" w:cs="Arial"/>
          <w:szCs w:val="21"/>
        </w:rPr>
        <w:t xml:space="preserve"> more equitable workforce participation and career progression – all of which can lead the reduction of the gender pay gap (WGEA 2024). </w:t>
      </w:r>
    </w:p>
    <w:p w14:paraId="69B60564" w14:textId="4BE19212" w:rsidR="000D0122" w:rsidRDefault="00065AFF" w:rsidP="00065AFF">
      <w:pPr>
        <w:spacing w:before="120"/>
        <w:rPr>
          <w:rFonts w:eastAsia="Times" w:cs="Arial"/>
          <w:szCs w:val="21"/>
        </w:rPr>
      </w:pPr>
      <w:r w:rsidRPr="005F2321">
        <w:rPr>
          <w:rFonts w:eastAsia="Times" w:cs="Arial"/>
          <w:szCs w:val="21"/>
        </w:rPr>
        <w:t>Finally, a</w:t>
      </w:r>
      <w:r w:rsidR="000D0122" w:rsidRPr="000D0122">
        <w:rPr>
          <w:rFonts w:eastAsia="Times" w:cs="Arial"/>
          <w:szCs w:val="21"/>
        </w:rPr>
        <w:t>s you may be aware, the Act is</w:t>
      </w:r>
      <w:r w:rsidRPr="005F2321">
        <w:rPr>
          <w:rFonts w:eastAsia="Times" w:cs="Arial"/>
          <w:szCs w:val="21"/>
        </w:rPr>
        <w:t xml:space="preserve"> also</w:t>
      </w:r>
      <w:r w:rsidR="000D0122" w:rsidRPr="000D0122">
        <w:rPr>
          <w:rFonts w:eastAsia="Times" w:cs="Arial"/>
          <w:szCs w:val="21"/>
        </w:rPr>
        <w:t xml:space="preserve"> ground-breaking in its recognition that gender inequality may be compounded by other forms of disadvantage or discrimination that a person may experience on the basis of their Aboriginality, age, disability, ethnicity, gender identity, race, religion, sexual orientation, and other attributes. As part of fulfilling their requirements under the Act, duty holders are required to consider intersectionality when conducting their workplace gender audits, in the development of their GEAPs, and where practicable, when undertaking GIAs. </w:t>
      </w:r>
    </w:p>
    <w:p w14:paraId="3B2DBE69" w14:textId="42A2AB4D" w:rsidR="003051CA" w:rsidRDefault="0045215B" w:rsidP="00A15D55">
      <w:pPr>
        <w:pStyle w:val="Heading2"/>
        <w:rPr>
          <w:rFonts w:eastAsia="Times"/>
        </w:rPr>
      </w:pPr>
      <w:bookmarkStart w:id="3" w:name="_Toc209517815"/>
      <w:r>
        <w:rPr>
          <w:rFonts w:eastAsia="Times"/>
        </w:rPr>
        <w:t>Undertaking a GIA on the proposed legislation</w:t>
      </w:r>
      <w:bookmarkEnd w:id="3"/>
    </w:p>
    <w:p w14:paraId="0F9A63C8" w14:textId="5B92E8DA" w:rsidR="0045215B" w:rsidRDefault="00181362" w:rsidP="0045215B">
      <w:pPr>
        <w:pStyle w:val="Body"/>
      </w:pPr>
      <w:r>
        <w:t>The obligation to undertake a GIA under the Act</w:t>
      </w:r>
      <w:r w:rsidR="00A51B1B">
        <w:t xml:space="preserve"> </w:t>
      </w:r>
      <w:r w:rsidR="008A65C8">
        <w:t>extends to</w:t>
      </w:r>
      <w:r w:rsidR="00A51B1B">
        <w:t xml:space="preserve"> legislative proposals that have a direct and significant impact on the public</w:t>
      </w:r>
      <w:r w:rsidR="00543ED7">
        <w:t>.</w:t>
      </w:r>
      <w:r w:rsidR="00F372B0">
        <w:t xml:space="preserve"> </w:t>
      </w:r>
      <w:r w:rsidR="00543ED7">
        <w:t>This includes the development of</w:t>
      </w:r>
      <w:r w:rsidR="00F372B0">
        <w:t xml:space="preserve"> the proposed legislation. </w:t>
      </w:r>
    </w:p>
    <w:p w14:paraId="478F8FFF" w14:textId="4B8F2622" w:rsidR="00F372B0" w:rsidRDefault="00D15049" w:rsidP="00AA615D">
      <w:pPr>
        <w:pStyle w:val="Body"/>
      </w:pPr>
      <w:r>
        <w:t>T</w:t>
      </w:r>
      <w:r w:rsidR="00545403">
        <w:t>he</w:t>
      </w:r>
      <w:r>
        <w:t xml:space="preserve"> </w:t>
      </w:r>
      <w:r w:rsidR="0049321A">
        <w:t>department</w:t>
      </w:r>
      <w:r>
        <w:t xml:space="preserve"> must </w:t>
      </w:r>
      <w:r w:rsidR="00543ED7">
        <w:t xml:space="preserve">therefore </w:t>
      </w:r>
      <w:r w:rsidR="00AA615D">
        <w:t>assess the effects that</w:t>
      </w:r>
      <w:r w:rsidR="00543ED7">
        <w:t xml:space="preserve"> the</w:t>
      </w:r>
      <w:r w:rsidR="00AA615D">
        <w:t xml:space="preserve"> proposed legislation may have on people of different genders</w:t>
      </w:r>
      <w:r w:rsidR="00BE5E0E">
        <w:t xml:space="preserve"> and document</w:t>
      </w:r>
      <w:r w:rsidR="00AA615D">
        <w:t xml:space="preserve"> how </w:t>
      </w:r>
      <w:r w:rsidR="00BE5E0E">
        <w:t xml:space="preserve">it was developed </w:t>
      </w:r>
      <w:r w:rsidR="00AA615D">
        <w:t xml:space="preserve">to meet the needs of people of different genders, address gender inequality and to promote gender equality. Where practicable, </w:t>
      </w:r>
      <w:r w:rsidR="001247D6">
        <w:t xml:space="preserve">the </w:t>
      </w:r>
      <w:r w:rsidR="0049321A">
        <w:t>department</w:t>
      </w:r>
      <w:r w:rsidR="001247D6">
        <w:t xml:space="preserve"> </w:t>
      </w:r>
      <w:r w:rsidR="00AA615D">
        <w:t>must take into account that gender inequality may be compounded by disadvantage or discrimination that a person may experience on the basis of Aboriginality, age, disability, ethnicity, gender identity, race, religion, sexual orientation, and other attributes.</w:t>
      </w:r>
    </w:p>
    <w:p w14:paraId="685673D2" w14:textId="7D3ED683" w:rsidR="009E0F30" w:rsidRDefault="009E0F30" w:rsidP="00AA615D">
      <w:pPr>
        <w:pStyle w:val="Body"/>
      </w:pPr>
      <w:r>
        <w:t xml:space="preserve">It is important that the </w:t>
      </w:r>
      <w:r w:rsidR="0049321A">
        <w:t>department</w:t>
      </w:r>
      <w:r>
        <w:t xml:space="preserve"> undertake this GIA </w:t>
      </w:r>
      <w:r w:rsidRPr="001732AA">
        <w:rPr>
          <w:i/>
          <w:iCs/>
        </w:rPr>
        <w:t>concurrently</w:t>
      </w:r>
      <w:r>
        <w:t xml:space="preserve"> with the development of the proposed legislation</w:t>
      </w:r>
      <w:r w:rsidR="00531C46">
        <w:t xml:space="preserve">. I therefore recommend that the </w:t>
      </w:r>
      <w:r w:rsidR="0049321A">
        <w:t>department</w:t>
      </w:r>
      <w:r w:rsidR="00531C46">
        <w:t xml:space="preserve"> undertakes the GIA</w:t>
      </w:r>
      <w:r w:rsidR="006F0EC4">
        <w:t xml:space="preserve"> alongside </w:t>
      </w:r>
      <w:r w:rsidR="001247D6">
        <w:t>its</w:t>
      </w:r>
      <w:r w:rsidR="006F0EC4">
        <w:t xml:space="preserve"> Legislative Impact Assessment</w:t>
      </w:r>
      <w:r w:rsidR="00035E8F">
        <w:t xml:space="preserve"> (LIA)</w:t>
      </w:r>
      <w:r w:rsidR="006F0EC4">
        <w:t>.</w:t>
      </w:r>
      <w:r>
        <w:t xml:space="preserve"> </w:t>
      </w:r>
      <w:r w:rsidR="006F0EC4">
        <w:t>T</w:t>
      </w:r>
      <w:r>
        <w:t>his will reduce duplication of consultation and ensure the GIA</w:t>
      </w:r>
      <w:r w:rsidR="00557886">
        <w:t xml:space="preserve"> on the proposed legislation</w:t>
      </w:r>
      <w:r>
        <w:t xml:space="preserve"> is genuine and meaningful.</w:t>
      </w:r>
      <w:r w:rsidR="001732AA">
        <w:t xml:space="preserve"> I have set out below some guidance for the </w:t>
      </w:r>
      <w:r w:rsidR="0049321A">
        <w:t>department</w:t>
      </w:r>
      <w:r w:rsidR="000E3BD3">
        <w:t xml:space="preserve"> in line </w:t>
      </w:r>
      <w:r w:rsidR="00643338">
        <w:t xml:space="preserve">with the LIA process and </w:t>
      </w:r>
      <w:r w:rsidR="000E3BD3">
        <w:t xml:space="preserve">my </w:t>
      </w:r>
      <w:hyperlink r:id="rId16" w:history="1">
        <w:r w:rsidR="003F769F" w:rsidRPr="00F46319">
          <w:rPr>
            <w:rStyle w:val="Hyperlink"/>
            <w:i/>
            <w:iCs/>
          </w:rPr>
          <w:t>Gender Impact Assessment Toolkit</w:t>
        </w:r>
      </w:hyperlink>
      <w:r w:rsidR="003F769F">
        <w:t>.</w:t>
      </w:r>
    </w:p>
    <w:p w14:paraId="0555811A" w14:textId="6C282F1A" w:rsidR="00871A26" w:rsidRDefault="00871A26" w:rsidP="00871A26">
      <w:pPr>
        <w:pStyle w:val="Heading3"/>
      </w:pPr>
      <w:r>
        <w:lastRenderedPageBreak/>
        <w:t xml:space="preserve">Step </w:t>
      </w:r>
      <w:r w:rsidR="003F769F">
        <w:t>1</w:t>
      </w:r>
      <w:r>
        <w:t xml:space="preserve">: </w:t>
      </w:r>
      <w:r w:rsidR="00A13ACE">
        <w:t>Problem analysis</w:t>
      </w:r>
    </w:p>
    <w:p w14:paraId="20E9CD2F" w14:textId="3256BF76" w:rsidR="00162840" w:rsidRDefault="00C10194" w:rsidP="00162840">
      <w:pPr>
        <w:pStyle w:val="Body"/>
      </w:pPr>
      <w:r>
        <w:t xml:space="preserve">In identifying the case for action, the </w:t>
      </w:r>
      <w:r w:rsidR="0049321A">
        <w:t>department</w:t>
      </w:r>
      <w:r>
        <w:t xml:space="preserve"> should consider how gender shapes</w:t>
      </w:r>
      <w:r w:rsidR="00783E9B">
        <w:t xml:space="preserve"> </w:t>
      </w:r>
      <w:r w:rsidR="00783E9B" w:rsidRPr="000E3BD3">
        <w:t>the ‘problem’</w:t>
      </w:r>
      <w:r w:rsidR="00783E9B">
        <w:t xml:space="preserve"> that the proposed legislation is seeking to address</w:t>
      </w:r>
      <w:r w:rsidR="00301F38">
        <w:t>:</w:t>
      </w:r>
    </w:p>
    <w:p w14:paraId="0433FD54" w14:textId="4B2E6FBF" w:rsidR="000E3BD3" w:rsidRDefault="000E3BD3" w:rsidP="000E3BD3">
      <w:pPr>
        <w:pStyle w:val="Bullet1"/>
      </w:pPr>
      <w:r>
        <w:t>c</w:t>
      </w:r>
      <w:r w:rsidRPr="000E3BD3">
        <w:t>halleng</w:t>
      </w:r>
      <w:r w:rsidR="00C1699E">
        <w:t>ing</w:t>
      </w:r>
      <w:r w:rsidRPr="000E3BD3">
        <w:t xml:space="preserve"> any gender-based assumptions and stereotypes about the ‘problem’. This includes its significance, underlying causes, who is affected by it and who benefits from the current system</w:t>
      </w:r>
      <w:r w:rsidR="00783E9B">
        <w:t>;</w:t>
      </w:r>
      <w:r w:rsidR="00557886">
        <w:t xml:space="preserve"> and</w:t>
      </w:r>
    </w:p>
    <w:p w14:paraId="20B11B66" w14:textId="3102D339" w:rsidR="003F769F" w:rsidRDefault="00866BB3" w:rsidP="000E3BD3">
      <w:pPr>
        <w:pStyle w:val="Bullet1"/>
      </w:pPr>
      <w:r>
        <w:t>i</w:t>
      </w:r>
      <w:r w:rsidRPr="00866BB3">
        <w:t>dentif</w:t>
      </w:r>
      <w:r>
        <w:t>ying</w:t>
      </w:r>
      <w:r w:rsidRPr="00866BB3">
        <w:t xml:space="preserve"> any gaps in understanding and information about how gender shapes the </w:t>
      </w:r>
      <w:r w:rsidR="00783E9B">
        <w:t>‘problem’</w:t>
      </w:r>
      <w:r>
        <w:t xml:space="preserve">. </w:t>
      </w:r>
    </w:p>
    <w:p w14:paraId="52C2B015" w14:textId="2A70AF72" w:rsidR="00CF30D6" w:rsidRDefault="00CF30D6" w:rsidP="00E12140">
      <w:pPr>
        <w:pStyle w:val="Bullet1"/>
        <w:numPr>
          <w:ilvl w:val="0"/>
          <w:numId w:val="0"/>
        </w:numPr>
        <w:spacing w:before="120"/>
      </w:pPr>
      <w:r>
        <w:t xml:space="preserve">The </w:t>
      </w:r>
      <w:r w:rsidR="0049321A">
        <w:t>d</w:t>
      </w:r>
      <w:r>
        <w:t xml:space="preserve">epartment should then collect evidence to determine any intersectional gendered impacts </w:t>
      </w:r>
      <w:r w:rsidR="00E12140">
        <w:t xml:space="preserve">of the </w:t>
      </w:r>
      <w:r w:rsidR="00543F96">
        <w:t xml:space="preserve">‘problem’ and the </w:t>
      </w:r>
      <w:r w:rsidR="00E12140">
        <w:t>proposed legislation, including by:</w:t>
      </w:r>
    </w:p>
    <w:p w14:paraId="6D99AA10" w14:textId="51FDCC2B" w:rsidR="00E12140" w:rsidRDefault="00E12140" w:rsidP="00E12140">
      <w:pPr>
        <w:pStyle w:val="Bullet1"/>
      </w:pPr>
      <w:r>
        <w:t xml:space="preserve">conducting desktop research and gathering internal data. </w:t>
      </w:r>
      <w:r w:rsidR="00287CD5">
        <w:t>You will see that</w:t>
      </w:r>
      <w:r w:rsidR="00814ED4">
        <w:t xml:space="preserve"> I</w:t>
      </w:r>
      <w:r w:rsidR="00287CD5">
        <w:t xml:space="preserve"> have included some relevant data and observations in my submission below</w:t>
      </w:r>
      <w:r w:rsidR="00543F96">
        <w:t>;</w:t>
      </w:r>
      <w:r w:rsidR="00287CD5">
        <w:t xml:space="preserve"> this may act as a starting point for </w:t>
      </w:r>
      <w:r w:rsidR="00543F96">
        <w:t xml:space="preserve">the </w:t>
      </w:r>
      <w:r w:rsidR="0049321A">
        <w:t>department</w:t>
      </w:r>
      <w:r w:rsidR="00543F96">
        <w:t xml:space="preserve">’s </w:t>
      </w:r>
      <w:r w:rsidR="00287CD5">
        <w:t xml:space="preserve">further </w:t>
      </w:r>
      <w:r w:rsidR="00543F96">
        <w:t xml:space="preserve">desktop </w:t>
      </w:r>
      <w:r w:rsidR="00287CD5">
        <w:t>research</w:t>
      </w:r>
      <w:r w:rsidR="00543F96">
        <w:t>; and</w:t>
      </w:r>
    </w:p>
    <w:p w14:paraId="0BF0CC3F" w14:textId="17104EE1" w:rsidR="00BD6BF1" w:rsidRDefault="00BD6BF1" w:rsidP="00E12140">
      <w:pPr>
        <w:pStyle w:val="Bullet1"/>
      </w:pPr>
      <w:r>
        <w:t xml:space="preserve">undertaking early consultation (as the </w:t>
      </w:r>
      <w:r w:rsidR="0049321A">
        <w:t>department</w:t>
      </w:r>
      <w:r>
        <w:t xml:space="preserve"> is now).</w:t>
      </w:r>
      <w:r w:rsidR="00AC75B6">
        <w:t xml:space="preserve"> </w:t>
      </w:r>
      <w:r w:rsidR="004A3236">
        <w:t xml:space="preserve">Given this consultation is already underway, I recommend that the </w:t>
      </w:r>
      <w:r w:rsidR="0049321A">
        <w:t>department</w:t>
      </w:r>
      <w:r w:rsidR="004A3236">
        <w:t xml:space="preserve"> </w:t>
      </w:r>
      <w:r w:rsidR="0064677E">
        <w:t>consider, after</w:t>
      </w:r>
      <w:r w:rsidR="00613D79">
        <w:t xml:space="preserve"> having</w:t>
      </w:r>
      <w:r w:rsidR="0064677E">
        <w:t xml:space="preserve"> review</w:t>
      </w:r>
      <w:r w:rsidR="00613D79">
        <w:t>ed</w:t>
      </w:r>
      <w:r w:rsidR="0064677E">
        <w:t xml:space="preserve"> the submissions</w:t>
      </w:r>
      <w:r w:rsidR="00613D79">
        <w:t xml:space="preserve"> to this consultation</w:t>
      </w:r>
      <w:r w:rsidR="0064677E">
        <w:t xml:space="preserve">, whether further targeted consultation is required </w:t>
      </w:r>
      <w:r w:rsidR="00EE168A">
        <w:t>with advocacy and community groups that represent diverse populations.</w:t>
      </w:r>
    </w:p>
    <w:p w14:paraId="25F4D27E" w14:textId="59EF52DA" w:rsidR="003F769F" w:rsidRDefault="00CA3EB1" w:rsidP="00FF6127">
      <w:pPr>
        <w:pStyle w:val="Bullet1"/>
        <w:numPr>
          <w:ilvl w:val="0"/>
          <w:numId w:val="0"/>
        </w:numPr>
        <w:spacing w:before="120"/>
      </w:pPr>
      <w:r>
        <w:t xml:space="preserve">As I have outlined in my submission below, there is clear evidence that proposed legislation has intersectional gendered impacts. As such, </w:t>
      </w:r>
      <w:r w:rsidR="00F006DB">
        <w:t xml:space="preserve">the </w:t>
      </w:r>
      <w:r w:rsidR="0049321A">
        <w:t>department</w:t>
      </w:r>
      <w:r w:rsidR="00F006DB">
        <w:t xml:space="preserve"> should document these impacts (as they have arise</w:t>
      </w:r>
      <w:r w:rsidR="002F4468">
        <w:t>n</w:t>
      </w:r>
      <w:r w:rsidR="00F006DB">
        <w:t xml:space="preserve"> out of th</w:t>
      </w:r>
      <w:r w:rsidR="00E01E9B">
        <w:t>is consultation process</w:t>
      </w:r>
      <w:r w:rsidR="00F006DB">
        <w:t xml:space="preserve"> and the</w:t>
      </w:r>
      <w:r w:rsidR="00E01E9B">
        <w:t xml:space="preserve"> </w:t>
      </w:r>
      <w:r w:rsidR="0049321A">
        <w:t>department</w:t>
      </w:r>
      <w:r w:rsidR="00E01E9B">
        <w:t>’s</w:t>
      </w:r>
      <w:r w:rsidR="00F006DB">
        <w:t xml:space="preserve"> desktop research)</w:t>
      </w:r>
      <w:r w:rsidR="00417E10">
        <w:t xml:space="preserve"> and consider these impacts in its assessment of the</w:t>
      </w:r>
      <w:r w:rsidR="00FF6127" w:rsidRPr="00FF6127">
        <w:t xml:space="preserve"> ‘problem’.</w:t>
      </w:r>
    </w:p>
    <w:p w14:paraId="78EC15DE" w14:textId="7CCF3781" w:rsidR="00A13ACE" w:rsidRDefault="00B954AE" w:rsidP="00B954AE">
      <w:pPr>
        <w:pStyle w:val="Heading3"/>
      </w:pPr>
      <w:r>
        <w:t xml:space="preserve">Step </w:t>
      </w:r>
      <w:r w:rsidR="00FF6127">
        <w:t>2</w:t>
      </w:r>
      <w:r>
        <w:t xml:space="preserve">: </w:t>
      </w:r>
      <w:r w:rsidR="00643338">
        <w:t>Statement of o</w:t>
      </w:r>
      <w:r>
        <w:t xml:space="preserve">bjectives </w:t>
      </w:r>
    </w:p>
    <w:p w14:paraId="488354D0" w14:textId="69431CA3" w:rsidR="003B585F" w:rsidRDefault="003B585F" w:rsidP="00FF6127">
      <w:pPr>
        <w:pStyle w:val="Body"/>
        <w:rPr>
          <w:rFonts w:cstheme="minorHAnsi"/>
        </w:rPr>
      </w:pPr>
      <w:r>
        <w:t xml:space="preserve">When </w:t>
      </w:r>
      <w:r w:rsidR="00EC7F61" w:rsidRPr="00F46319">
        <w:rPr>
          <w:rFonts w:cstheme="minorHAnsi"/>
        </w:rPr>
        <w:t>consider</w:t>
      </w:r>
      <w:r w:rsidR="007B038D">
        <w:rPr>
          <w:rFonts w:cstheme="minorHAnsi"/>
        </w:rPr>
        <w:t>ing</w:t>
      </w:r>
      <w:r w:rsidR="00EC7F61" w:rsidRPr="00F46319">
        <w:rPr>
          <w:rFonts w:cstheme="minorHAnsi"/>
        </w:rPr>
        <w:t xml:space="preserve"> the outcomes the </w:t>
      </w:r>
      <w:r w:rsidR="00EC7F61">
        <w:rPr>
          <w:rFonts w:cstheme="minorHAnsi"/>
        </w:rPr>
        <w:t>proposed legislation</w:t>
      </w:r>
      <w:r w:rsidR="00EC7F61" w:rsidRPr="00F46319">
        <w:rPr>
          <w:rFonts w:cstheme="minorHAnsi"/>
        </w:rPr>
        <w:t xml:space="preserve"> is aiming to achieve, </w:t>
      </w:r>
      <w:r w:rsidR="00EC7F61">
        <w:rPr>
          <w:rFonts w:cstheme="minorHAnsi"/>
        </w:rPr>
        <w:t xml:space="preserve">the </w:t>
      </w:r>
      <w:r w:rsidR="0049321A">
        <w:rPr>
          <w:rFonts w:cstheme="minorHAnsi"/>
        </w:rPr>
        <w:t>department</w:t>
      </w:r>
      <w:r w:rsidR="00EC7F61">
        <w:rPr>
          <w:rFonts w:cstheme="minorHAnsi"/>
        </w:rPr>
        <w:t xml:space="preserve"> should consider </w:t>
      </w:r>
      <w:r w:rsidR="00EC7F61" w:rsidRPr="00F46319">
        <w:rPr>
          <w:rFonts w:cstheme="minorHAnsi"/>
        </w:rPr>
        <w:t xml:space="preserve">whether promoting gender equality is </w:t>
      </w:r>
      <w:r w:rsidR="001B08E9">
        <w:rPr>
          <w:rFonts w:cstheme="minorHAnsi"/>
        </w:rPr>
        <w:t xml:space="preserve">identified </w:t>
      </w:r>
      <w:r w:rsidR="00EC7F61" w:rsidRPr="00F46319">
        <w:rPr>
          <w:rFonts w:cstheme="minorHAnsi"/>
        </w:rPr>
        <w:t>a</w:t>
      </w:r>
      <w:r w:rsidR="001B08E9">
        <w:rPr>
          <w:rFonts w:cstheme="minorHAnsi"/>
        </w:rPr>
        <w:t>s a</w:t>
      </w:r>
      <w:r w:rsidR="00EC7F61">
        <w:rPr>
          <w:rFonts w:cstheme="minorHAnsi"/>
        </w:rPr>
        <w:t xml:space="preserve"> specific</w:t>
      </w:r>
      <w:r w:rsidR="00EC7F61" w:rsidRPr="00F46319">
        <w:rPr>
          <w:rFonts w:cstheme="minorHAnsi"/>
        </w:rPr>
        <w:t xml:space="preserve"> objective</w:t>
      </w:r>
      <w:r w:rsidR="00EC7F61">
        <w:rPr>
          <w:rFonts w:cstheme="minorHAnsi"/>
        </w:rPr>
        <w:t xml:space="preserve">. </w:t>
      </w:r>
      <w:r w:rsidR="007B038D">
        <w:rPr>
          <w:rFonts w:cstheme="minorHAnsi"/>
        </w:rPr>
        <w:t xml:space="preserve">Doing so offers a </w:t>
      </w:r>
      <w:r w:rsidR="001B08E9">
        <w:rPr>
          <w:rFonts w:cstheme="minorHAnsi"/>
        </w:rPr>
        <w:t>clear</w:t>
      </w:r>
      <w:r w:rsidR="00C96917">
        <w:rPr>
          <w:rFonts w:cstheme="minorHAnsi"/>
        </w:rPr>
        <w:t xml:space="preserve"> path to embedding the promotion of gender equality in the </w:t>
      </w:r>
      <w:r w:rsidR="0049321A">
        <w:rPr>
          <w:rFonts w:cstheme="minorHAnsi"/>
        </w:rPr>
        <w:t>department</w:t>
      </w:r>
      <w:r w:rsidR="00C96917">
        <w:rPr>
          <w:rFonts w:cstheme="minorHAnsi"/>
        </w:rPr>
        <w:t>’s impact assessment (as discussed below).</w:t>
      </w:r>
    </w:p>
    <w:tbl>
      <w:tblPr>
        <w:tblW w:w="0" w:type="auto"/>
        <w:shd w:val="clear" w:color="auto" w:fill="E5DFEC" w:themeFill="accent4" w:themeFillTint="33"/>
        <w:tblLook w:val="04A0" w:firstRow="1" w:lastRow="0" w:firstColumn="1" w:lastColumn="0" w:noHBand="0" w:noVBand="1"/>
      </w:tblPr>
      <w:tblGrid>
        <w:gridCol w:w="10194"/>
      </w:tblGrid>
      <w:tr w:rsidR="00FF1270" w:rsidRPr="00FF1270" w14:paraId="349C99E0" w14:textId="77777777" w:rsidTr="003C5AA2">
        <w:tc>
          <w:tcPr>
            <w:tcW w:w="10194" w:type="dxa"/>
            <w:shd w:val="clear" w:color="auto" w:fill="E5DFEC" w:themeFill="accent4" w:themeFillTint="33"/>
          </w:tcPr>
          <w:p w14:paraId="0FC35C33" w14:textId="488B2D9F" w:rsidR="00FF1270" w:rsidRPr="00FF1270" w:rsidRDefault="00FF1270" w:rsidP="00FF1270">
            <w:pPr>
              <w:pStyle w:val="Tablecolhead"/>
              <w:rPr>
                <w:rFonts w:eastAsia="Times"/>
              </w:rPr>
            </w:pPr>
            <w:r w:rsidRPr="00FF1270">
              <w:rPr>
                <w:rFonts w:eastAsia="Times"/>
              </w:rPr>
              <w:t xml:space="preserve">Recommendation </w:t>
            </w:r>
            <w:r>
              <w:rPr>
                <w:rFonts w:eastAsia="Times"/>
              </w:rPr>
              <w:t>1</w:t>
            </w:r>
          </w:p>
          <w:p w14:paraId="54B4BBFC" w14:textId="17B4186A" w:rsidR="00CA7B45" w:rsidRPr="00FF1270" w:rsidRDefault="00FF1270" w:rsidP="00FF1270">
            <w:pPr>
              <w:pStyle w:val="Body"/>
            </w:pPr>
            <w:r w:rsidRPr="00FF1270">
              <w:t>I</w:t>
            </w:r>
            <w:r>
              <w:t xml:space="preserve"> recommend that the </w:t>
            </w:r>
            <w:r w:rsidR="0049321A">
              <w:t>department</w:t>
            </w:r>
            <w:r>
              <w:t xml:space="preserve"> explicitly identifies </w:t>
            </w:r>
            <w:r w:rsidR="00D44896">
              <w:t>the promotion of gender equality as an objective of the proposed legislation for the purposes of undertaking its impact analysis.</w:t>
            </w:r>
          </w:p>
        </w:tc>
      </w:tr>
    </w:tbl>
    <w:p w14:paraId="4CF067DB" w14:textId="321C3E3C" w:rsidR="00B954AE" w:rsidRDefault="00B954AE" w:rsidP="00B954AE">
      <w:pPr>
        <w:pStyle w:val="Heading3"/>
      </w:pPr>
      <w:r>
        <w:t xml:space="preserve">Step </w:t>
      </w:r>
      <w:r w:rsidR="004A1D74">
        <w:t>3</w:t>
      </w:r>
      <w:r>
        <w:t xml:space="preserve">: </w:t>
      </w:r>
      <w:r w:rsidR="00E90FB1">
        <w:t>I</w:t>
      </w:r>
      <w:r>
        <w:t>mpact analysis</w:t>
      </w:r>
    </w:p>
    <w:p w14:paraId="726663E8" w14:textId="474ABF11" w:rsidR="00D44896" w:rsidRDefault="00F306D1" w:rsidP="00D44896">
      <w:pPr>
        <w:pStyle w:val="Body"/>
      </w:pPr>
      <w:r>
        <w:t>In undertaking the impact analysis with respect to the proposed legislation</w:t>
      </w:r>
      <w:r w:rsidR="009C7BCB">
        <w:t xml:space="preserve">, the </w:t>
      </w:r>
      <w:r w:rsidR="0049321A">
        <w:t>department</w:t>
      </w:r>
      <w:r w:rsidR="009C7BCB">
        <w:t xml:space="preserve"> should consider </w:t>
      </w:r>
      <w:r w:rsidR="00B519C8">
        <w:t xml:space="preserve">the </w:t>
      </w:r>
      <w:r w:rsidR="00B3256F">
        <w:t xml:space="preserve">benefits and </w:t>
      </w:r>
      <w:r w:rsidR="00560214">
        <w:t>drawbacks</w:t>
      </w:r>
      <w:r w:rsidR="00B3256F">
        <w:t xml:space="preserve"> of each </w:t>
      </w:r>
      <w:r w:rsidR="00E255D5">
        <w:t xml:space="preserve">identified </w:t>
      </w:r>
      <w:r w:rsidR="00B3256F">
        <w:t xml:space="preserve">option as they relate to the promotion of gender equality and the </w:t>
      </w:r>
      <w:r w:rsidR="00A23B5D">
        <w:t>reduction</w:t>
      </w:r>
      <w:r w:rsidR="00B3256F">
        <w:t xml:space="preserve"> of gender inequality.</w:t>
      </w:r>
      <w:r w:rsidR="00C716AF">
        <w:t xml:space="preserve"> </w:t>
      </w:r>
      <w:r w:rsidR="00925B8E">
        <w:t xml:space="preserve">For example, the </w:t>
      </w:r>
      <w:r w:rsidR="0049321A">
        <w:t>department</w:t>
      </w:r>
      <w:r w:rsidR="00925B8E">
        <w:t xml:space="preserve"> might consider:</w:t>
      </w:r>
    </w:p>
    <w:p w14:paraId="0D68AED1" w14:textId="55B49C19" w:rsidR="00925B8E" w:rsidRDefault="00925B8E" w:rsidP="00925B8E">
      <w:pPr>
        <w:pStyle w:val="Bullet1"/>
      </w:pPr>
      <w:r>
        <w:t>Will some people benefit more from the</w:t>
      </w:r>
      <w:r w:rsidR="00BD553B">
        <w:t xml:space="preserve"> option</w:t>
      </w:r>
      <w:r w:rsidR="0083154C">
        <w:t xml:space="preserve"> than others?</w:t>
      </w:r>
    </w:p>
    <w:p w14:paraId="2CB631D0" w14:textId="3F8D81A5" w:rsidR="0083154C" w:rsidRDefault="0083154C" w:rsidP="00925B8E">
      <w:pPr>
        <w:pStyle w:val="Bullet1"/>
      </w:pPr>
      <w:r>
        <w:t xml:space="preserve">Will the </w:t>
      </w:r>
      <w:r w:rsidR="00BD553B">
        <w:t>option</w:t>
      </w:r>
      <w:r>
        <w:t xml:space="preserve"> contribute to transforming gender norms in a positive way, for example, by contributing to a more balanced distribution of unpaid care work between men and women?</w:t>
      </w:r>
    </w:p>
    <w:p w14:paraId="62A437F4" w14:textId="13A5FA2C" w:rsidR="0083154C" w:rsidRDefault="0083154C" w:rsidP="00925B8E">
      <w:pPr>
        <w:pStyle w:val="Bullet1"/>
      </w:pPr>
      <w:r>
        <w:t xml:space="preserve">How are the most vulnerable groups likely to be impacted by the </w:t>
      </w:r>
      <w:r w:rsidR="00BD553B">
        <w:t>option</w:t>
      </w:r>
      <w:r>
        <w:t>?</w:t>
      </w:r>
    </w:p>
    <w:p w14:paraId="2206929D" w14:textId="42A4C9B3" w:rsidR="0083154C" w:rsidRDefault="000A15D2" w:rsidP="00925B8E">
      <w:pPr>
        <w:pStyle w:val="Bullet1"/>
      </w:pPr>
      <w:r>
        <w:t xml:space="preserve">Can any amendments to the option be made to </w:t>
      </w:r>
      <w:r w:rsidR="007328C1">
        <w:t xml:space="preserve">ensure </w:t>
      </w:r>
      <w:r w:rsidR="00BD553B">
        <w:t>it</w:t>
      </w:r>
      <w:r w:rsidR="007328C1">
        <w:t xml:space="preserve"> meet</w:t>
      </w:r>
      <w:r w:rsidR="00BD553B">
        <w:t>s</w:t>
      </w:r>
      <w:r w:rsidR="007328C1">
        <w:t xml:space="preserve"> the needs of persons of different genders?</w:t>
      </w:r>
    </w:p>
    <w:p w14:paraId="6D82397B" w14:textId="7C62B1F7" w:rsidR="00B954AE" w:rsidRDefault="00B954AE" w:rsidP="00B954AE">
      <w:pPr>
        <w:pStyle w:val="Heading3"/>
      </w:pPr>
      <w:r>
        <w:t xml:space="preserve">Step </w:t>
      </w:r>
      <w:r w:rsidR="006E55D0">
        <w:t>4</w:t>
      </w:r>
      <w:r>
        <w:t>: Preferred option</w:t>
      </w:r>
      <w:r w:rsidR="00E72A38">
        <w:t xml:space="preserve"> and implementation plan</w:t>
      </w:r>
    </w:p>
    <w:p w14:paraId="13D1B760" w14:textId="60C1547B" w:rsidR="0072338C" w:rsidRDefault="00BD553B" w:rsidP="0072338C">
      <w:pPr>
        <w:pStyle w:val="Body"/>
      </w:pPr>
      <w:r>
        <w:t xml:space="preserve">In selecting the preferred </w:t>
      </w:r>
      <w:r w:rsidR="00F96D67">
        <w:t xml:space="preserve">option, the </w:t>
      </w:r>
      <w:r w:rsidR="0049321A">
        <w:t>department</w:t>
      </w:r>
      <w:r w:rsidR="00F96D67">
        <w:t xml:space="preserve"> should </w:t>
      </w:r>
      <w:r w:rsidR="00077547">
        <w:t xml:space="preserve">describe its rationale in relation to how the preferred option will or will not meet the needs of people of different genders, address gender inequality and promote gender equality. </w:t>
      </w:r>
      <w:r>
        <w:t xml:space="preserve"> </w:t>
      </w:r>
    </w:p>
    <w:p w14:paraId="5A987617" w14:textId="7DB72BE7" w:rsidR="0072338C" w:rsidRPr="0087107A" w:rsidRDefault="0072338C" w:rsidP="0087107A">
      <w:pPr>
        <w:pStyle w:val="Body"/>
      </w:pPr>
      <w:r>
        <w:t xml:space="preserve">The </w:t>
      </w:r>
      <w:r w:rsidR="0049321A">
        <w:t>department</w:t>
      </w:r>
      <w:r>
        <w:t xml:space="preserve"> should consider any gender equality-related risks that have been identified in the preferred option and any mitigation strategies that could help avoid harmful unintended outcomes.</w:t>
      </w:r>
      <w:r w:rsidR="007B5583">
        <w:t xml:space="preserve"> These should be documented in the relevant implementation </w:t>
      </w:r>
      <w:r w:rsidR="00EB294D">
        <w:t xml:space="preserve">and communications </w:t>
      </w:r>
      <w:r w:rsidR="007B5583">
        <w:t>plan.</w:t>
      </w:r>
      <w:r>
        <w:t xml:space="preserve">  </w:t>
      </w:r>
    </w:p>
    <w:p w14:paraId="7796374C" w14:textId="7E3F8F42" w:rsidR="00A13ACE" w:rsidRDefault="00E72A38" w:rsidP="00322813">
      <w:pPr>
        <w:pStyle w:val="Heading3"/>
      </w:pPr>
      <w:r>
        <w:lastRenderedPageBreak/>
        <w:t xml:space="preserve">Step </w:t>
      </w:r>
      <w:r w:rsidR="006E55D0">
        <w:t>5</w:t>
      </w:r>
      <w:r>
        <w:t xml:space="preserve">: </w:t>
      </w:r>
      <w:r w:rsidR="0072338C">
        <w:t xml:space="preserve">Consultation </w:t>
      </w:r>
    </w:p>
    <w:p w14:paraId="07739D27" w14:textId="1008AF88" w:rsidR="00ED3691" w:rsidRDefault="00ED3691" w:rsidP="00ED3691">
      <w:pPr>
        <w:pStyle w:val="Body"/>
      </w:pPr>
      <w:r>
        <w:t>I</w:t>
      </w:r>
      <w:r w:rsidR="00EB13D8">
        <w:t xml:space="preserve">f the </w:t>
      </w:r>
      <w:r w:rsidR="0049321A">
        <w:t>department</w:t>
      </w:r>
      <w:r w:rsidR="00EB13D8">
        <w:t xml:space="preserve"> undertakes</w:t>
      </w:r>
      <w:r>
        <w:t xml:space="preserve"> consult</w:t>
      </w:r>
      <w:r w:rsidR="00EB13D8">
        <w:t>ation</w:t>
      </w:r>
      <w:r>
        <w:t xml:space="preserve"> on the final proposed legislation, </w:t>
      </w:r>
      <w:r w:rsidR="00EB13D8">
        <w:t xml:space="preserve">it </w:t>
      </w:r>
      <w:r>
        <w:t xml:space="preserve">should </w:t>
      </w:r>
      <w:r w:rsidR="00EB13D8">
        <w:t xml:space="preserve">include </w:t>
      </w:r>
      <w:r>
        <w:t xml:space="preserve">questions relating to the </w:t>
      </w:r>
      <w:r w:rsidR="00270656">
        <w:t xml:space="preserve">gendered impacts of the preferred option, including how these compare to the gendered impacts of the other non-preferred options. </w:t>
      </w:r>
    </w:p>
    <w:p w14:paraId="17773D49" w14:textId="0C24BE8E" w:rsidR="006E55D0" w:rsidRDefault="006E55D0" w:rsidP="006E55D0">
      <w:pPr>
        <w:pStyle w:val="Heading3"/>
      </w:pPr>
      <w:r>
        <w:t>Step 6: Record keeping</w:t>
      </w:r>
    </w:p>
    <w:p w14:paraId="1BBB4659" w14:textId="708B56A2" w:rsidR="00257931" w:rsidRDefault="006E55D0" w:rsidP="00257931">
      <w:pPr>
        <w:pStyle w:val="Body"/>
      </w:pPr>
      <w:r>
        <w:t xml:space="preserve">In recording this GIA process for the purposes of progress reporting under the Act, </w:t>
      </w:r>
      <w:r w:rsidR="00A67F72">
        <w:t xml:space="preserve">the </w:t>
      </w:r>
      <w:r w:rsidR="0049321A">
        <w:t>department</w:t>
      </w:r>
      <w:r w:rsidR="00A67F72">
        <w:t xml:space="preserve"> should clearly identify the </w:t>
      </w:r>
      <w:r w:rsidR="00257931">
        <w:t>ways intersectional gender equality considerations have or have not shaped the design of the proposed legislation. Do this by articulating:</w:t>
      </w:r>
    </w:p>
    <w:p w14:paraId="7A867914" w14:textId="63731993" w:rsidR="00257931" w:rsidRDefault="00257931" w:rsidP="00257931">
      <w:pPr>
        <w:pStyle w:val="Bullet1"/>
      </w:pPr>
      <w:r>
        <w:t xml:space="preserve">how the </w:t>
      </w:r>
      <w:r w:rsidR="0049321A">
        <w:t>department</w:t>
      </w:r>
      <w:r>
        <w:t xml:space="preserve"> designed the proposed legislation to enhance intersectional gender equality;</w:t>
      </w:r>
    </w:p>
    <w:p w14:paraId="13DFEFAD" w14:textId="5F062020" w:rsidR="00257931" w:rsidRDefault="00257931" w:rsidP="00257931">
      <w:pPr>
        <w:pStyle w:val="Bullet1"/>
      </w:pPr>
      <w:r>
        <w:t xml:space="preserve">how </w:t>
      </w:r>
      <w:r w:rsidR="004E4583">
        <w:t xml:space="preserve">the </w:t>
      </w:r>
      <w:r w:rsidR="0049321A">
        <w:t>department</w:t>
      </w:r>
      <w:r>
        <w:t xml:space="preserve"> designed </w:t>
      </w:r>
      <w:r w:rsidR="004E4583">
        <w:t xml:space="preserve">any </w:t>
      </w:r>
      <w:r>
        <w:t>consultation</w:t>
      </w:r>
      <w:r w:rsidR="004E4583">
        <w:t xml:space="preserve"> and</w:t>
      </w:r>
      <w:r>
        <w:t xml:space="preserve"> implementation plans to account for intersectional gender equality</w:t>
      </w:r>
      <w:r w:rsidR="004E4583">
        <w:t>;</w:t>
      </w:r>
    </w:p>
    <w:p w14:paraId="10FA799F" w14:textId="75D9A2A9" w:rsidR="00257931" w:rsidRDefault="00257931" w:rsidP="00257931">
      <w:pPr>
        <w:pStyle w:val="Bullet1"/>
      </w:pPr>
      <w:r>
        <w:t>why gender and intersectional considerations did not shape the design of these elements (if this was the case)</w:t>
      </w:r>
      <w:r w:rsidR="004E4583">
        <w:t>;</w:t>
      </w:r>
      <w:r>
        <w:t xml:space="preserve"> and</w:t>
      </w:r>
    </w:p>
    <w:p w14:paraId="52500861" w14:textId="2B2257CE" w:rsidR="006E55D0" w:rsidRDefault="00257931" w:rsidP="00257931">
      <w:pPr>
        <w:pStyle w:val="Bullet1"/>
      </w:pPr>
      <w:r>
        <w:t>any remaining information gaps about how gender and intersectionality shape the</w:t>
      </w:r>
      <w:r w:rsidR="004E4583">
        <w:t xml:space="preserve"> proposed legislation and the ‘problem’ it is seeking to address</w:t>
      </w:r>
      <w:r>
        <w:t>.</w:t>
      </w:r>
    </w:p>
    <w:p w14:paraId="40D13D8D" w14:textId="14CD25DB" w:rsidR="002757D2" w:rsidRPr="006E55D0" w:rsidRDefault="008B2D09" w:rsidP="008B2D09">
      <w:pPr>
        <w:pStyle w:val="Bullet1"/>
        <w:numPr>
          <w:ilvl w:val="0"/>
          <w:numId w:val="0"/>
        </w:numPr>
        <w:spacing w:before="120"/>
      </w:pPr>
      <w:r>
        <w:t>In</w:t>
      </w:r>
      <w:r w:rsidR="00301A8E">
        <w:t xml:space="preserve"> its</w:t>
      </w:r>
      <w:r>
        <w:t xml:space="preserve"> record keeping for the purposes of progress reporting, it is important that the </w:t>
      </w:r>
      <w:r w:rsidR="0049321A">
        <w:t>department</w:t>
      </w:r>
      <w:r>
        <w:t xml:space="preserve"> exclude any details that would disclose Cabinet in Confidence information. </w:t>
      </w:r>
    </w:p>
    <w:p w14:paraId="5B2FD602" w14:textId="240B2DFB" w:rsidR="00233AB6" w:rsidRDefault="00A15D55" w:rsidP="00A15D55">
      <w:pPr>
        <w:pStyle w:val="Heading2"/>
        <w:rPr>
          <w:rFonts w:eastAsia="Times"/>
        </w:rPr>
      </w:pPr>
      <w:bookmarkStart w:id="4" w:name="_Toc209517816"/>
      <w:r>
        <w:rPr>
          <w:rFonts w:eastAsia="Times"/>
        </w:rPr>
        <w:t>Summary of recommendation</w:t>
      </w:r>
      <w:r w:rsidR="00322813">
        <w:rPr>
          <w:rFonts w:eastAsia="Times"/>
        </w:rPr>
        <w:t>s</w:t>
      </w:r>
      <w:r w:rsidR="00C97E51">
        <w:rPr>
          <w:rFonts w:eastAsia="Times"/>
        </w:rPr>
        <w:t xml:space="preserve"> made in this submission</w:t>
      </w:r>
      <w:bookmarkEnd w:id="4"/>
    </w:p>
    <w:p w14:paraId="5FB4093F" w14:textId="231CCD66" w:rsidR="00A15D55" w:rsidRDefault="00A15D55" w:rsidP="00A15D55">
      <w:pPr>
        <w:pStyle w:val="Body"/>
      </w:pPr>
      <w:r>
        <w:t>I recommend that</w:t>
      </w:r>
      <w:r w:rsidR="008B05BF">
        <w:t xml:space="preserve"> the </w:t>
      </w:r>
      <w:r w:rsidR="0049321A">
        <w:t>department</w:t>
      </w:r>
      <w:r>
        <w:t>:</w:t>
      </w:r>
    </w:p>
    <w:p w14:paraId="79D532ED" w14:textId="0F27EDDC" w:rsidR="00035E8F" w:rsidRDefault="00035E8F" w:rsidP="008B05BF">
      <w:pPr>
        <w:pStyle w:val="Bullet1"/>
      </w:pPr>
      <w:r w:rsidRPr="00035E8F">
        <w:t>includ</w:t>
      </w:r>
      <w:r>
        <w:t>e</w:t>
      </w:r>
      <w:r w:rsidRPr="00035E8F">
        <w:t xml:space="preserve"> the promotion of gender equality as an explicit objective</w:t>
      </w:r>
      <w:r>
        <w:t xml:space="preserve"> when</w:t>
      </w:r>
      <w:r w:rsidRPr="00035E8F">
        <w:t xml:space="preserve"> identifying the objectives of the proposed legislation</w:t>
      </w:r>
      <w:r>
        <w:t xml:space="preserve"> in the LIA;</w:t>
      </w:r>
    </w:p>
    <w:p w14:paraId="43B85B51" w14:textId="65FEC4EA" w:rsidR="008B05BF" w:rsidRDefault="008B05BF" w:rsidP="008B05BF">
      <w:pPr>
        <w:pStyle w:val="Bullet1"/>
      </w:pPr>
      <w:r>
        <w:t>include within the proposed legislation a requirement on employers to have in place a hybrid working policy, developed in consultation with employees, that:</w:t>
      </w:r>
    </w:p>
    <w:p w14:paraId="129412B6" w14:textId="77777777" w:rsidR="008B05BF" w:rsidRDefault="008B05BF" w:rsidP="008B05BF">
      <w:pPr>
        <w:pStyle w:val="Bullet2"/>
      </w:pPr>
      <w:r>
        <w:t xml:space="preserve">contains guidelines for the separation of home and work environments and effective collaboration in a hybrid working environment;  </w:t>
      </w:r>
    </w:p>
    <w:p w14:paraId="559E9340" w14:textId="104D08FE" w:rsidR="008B05BF" w:rsidRDefault="008B05BF" w:rsidP="008B05BF">
      <w:pPr>
        <w:pStyle w:val="Bullet2"/>
      </w:pPr>
      <w:r>
        <w:t>outlines the obligations of the employer and employees to minimise risks while working from home, including those related to psychosocial work hazards</w:t>
      </w:r>
      <w:r w:rsidR="00516DBA">
        <w:t xml:space="preserve"> and workplace technology-facilitated sexual harassment</w:t>
      </w:r>
      <w:r>
        <w:t xml:space="preserve">, under the </w:t>
      </w:r>
      <w:r w:rsidRPr="00301A8E">
        <w:rPr>
          <w:i/>
          <w:iCs/>
        </w:rPr>
        <w:t>Occupational Health and Safety Act 2004</w:t>
      </w:r>
      <w:r>
        <w:t xml:space="preserve"> (Vic);</w:t>
      </w:r>
    </w:p>
    <w:p w14:paraId="3F83F4DD" w14:textId="2B87333D" w:rsidR="008B05BF" w:rsidRDefault="008B05BF" w:rsidP="008B05BF">
      <w:pPr>
        <w:pStyle w:val="Bullet2"/>
      </w:pPr>
      <w:r>
        <w:t xml:space="preserve">contains a specific section dealing with DFV and </w:t>
      </w:r>
      <w:r w:rsidR="004B3254">
        <w:t>remote work</w:t>
      </w:r>
      <w:r>
        <w:t xml:space="preserve">; </w:t>
      </w:r>
    </w:p>
    <w:p w14:paraId="44558A5E" w14:textId="1B4D197C" w:rsidR="008B05BF" w:rsidRDefault="008B05BF" w:rsidP="008B05BF">
      <w:pPr>
        <w:pStyle w:val="Bullet2"/>
      </w:pPr>
      <w:r>
        <w:t>specifies that the employer will establish a reasonable communication strategy for working from home days</w:t>
      </w:r>
      <w:r w:rsidR="00330B43">
        <w:t xml:space="preserve"> to establish effective, accessible </w:t>
      </w:r>
      <w:r w:rsidR="00883AC0">
        <w:t xml:space="preserve">communication </w:t>
      </w:r>
      <w:r w:rsidR="00EE6E18">
        <w:t>tools and</w:t>
      </w:r>
      <w:r w:rsidR="00EC118E">
        <w:t xml:space="preserve"> </w:t>
      </w:r>
      <w:r w:rsidR="00EF4348">
        <w:t>expectations</w:t>
      </w:r>
      <w:r>
        <w:t>;</w:t>
      </w:r>
    </w:p>
    <w:p w14:paraId="226DD87D" w14:textId="14FFDB6B" w:rsidR="00A15D55" w:rsidRDefault="008B05BF" w:rsidP="008B05BF">
      <w:pPr>
        <w:pStyle w:val="Bullet2"/>
      </w:pPr>
      <w:r>
        <w:t>specifies the measures that the employer will take to prevent proximity bias</w:t>
      </w:r>
      <w:r w:rsidR="00B70564">
        <w:t>;</w:t>
      </w:r>
    </w:p>
    <w:p w14:paraId="212A6F00" w14:textId="5857EB26" w:rsidR="000B15F2" w:rsidRDefault="000B15F2" w:rsidP="008B05BF">
      <w:pPr>
        <w:pStyle w:val="Bullet1"/>
      </w:pPr>
      <w:r w:rsidRPr="000B15F2">
        <w:t>includes, within its implementation plan with respect to the proposed legislation, the development of requirements and guidance on WTFSH policies, training and responses to help employers appropriately investigate reports, provide trauma-informed support to victims and survivors, hold perpetrators accountable and ensure appropriate responses or penalties.</w:t>
      </w:r>
    </w:p>
    <w:p w14:paraId="5D1CCF89" w14:textId="347FAD5C" w:rsidR="008B05BF" w:rsidRDefault="008B05BF" w:rsidP="008B05BF">
      <w:pPr>
        <w:pStyle w:val="Bullet1"/>
      </w:pPr>
      <w:r w:rsidRPr="008B05BF">
        <w:t>undertake specific consultation with academics, advocacy groups and individuals with lived experience of DFV to ensure the</w:t>
      </w:r>
      <w:r w:rsidR="00B70564">
        <w:t xml:space="preserve"> proposed</w:t>
      </w:r>
      <w:r w:rsidRPr="008B05BF">
        <w:t xml:space="preserve"> legislation contains appropriate safeguards with respect to the increased risk of DFV in hybrid working arrangements</w:t>
      </w:r>
      <w:r w:rsidR="00B70564">
        <w:t xml:space="preserve">; </w:t>
      </w:r>
    </w:p>
    <w:p w14:paraId="01F6A4A2" w14:textId="47370109" w:rsidR="00A30243" w:rsidRDefault="00A30243" w:rsidP="008B05BF">
      <w:pPr>
        <w:pStyle w:val="Bullet1"/>
      </w:pPr>
      <w:r>
        <w:t>embed the concept of compounded inequality within the proposed legislation, for example, by including an express acknowledgment that</w:t>
      </w:r>
      <w:r w:rsidRPr="00935B47">
        <w:t xml:space="preserve"> traditional workplace </w:t>
      </w:r>
      <w:r>
        <w:t>locations</w:t>
      </w:r>
      <w:r w:rsidRPr="00935B47">
        <w:t xml:space="preserve"> and </w:t>
      </w:r>
      <w:r>
        <w:t>arrangements</w:t>
      </w:r>
      <w:r w:rsidRPr="00935B47">
        <w:t xml:space="preserve"> present unique barriers</w:t>
      </w:r>
      <w:r>
        <w:t xml:space="preserve"> for individuals that experience compounded inequality due to their Aboriginality, age, disability, ethnicity, gender identity, race, religion, sexual orientation and other attributes</w:t>
      </w:r>
      <w:r w:rsidR="00C749AF">
        <w:t>; and</w:t>
      </w:r>
    </w:p>
    <w:p w14:paraId="07DD20BB" w14:textId="49766DE2" w:rsidR="005875B7" w:rsidRPr="00A15D55" w:rsidRDefault="00063C21" w:rsidP="008B05BF">
      <w:pPr>
        <w:pStyle w:val="Bullet1"/>
      </w:pPr>
      <w:r w:rsidRPr="008B05BF">
        <w:lastRenderedPageBreak/>
        <w:t>undertake specific consultation with academics, advocacy groups and individuals with lived experience of</w:t>
      </w:r>
      <w:r>
        <w:t xml:space="preserve"> compounded inequality </w:t>
      </w:r>
      <w:r w:rsidR="002D7E19" w:rsidRPr="002D7E19">
        <w:t>due to their Aboriginality, age, disability, ethnicity, gender identity, race, religion, sexual orientation and other attributes</w:t>
      </w:r>
      <w:r w:rsidR="002D7E19">
        <w:t>, to gain a comprehensive understanding of the potential impacts of the proposed legislation.</w:t>
      </w:r>
    </w:p>
    <w:p w14:paraId="3EB6DBD2" w14:textId="788513C8" w:rsidR="00CD2E44" w:rsidRPr="00F70659" w:rsidRDefault="001009B2" w:rsidP="00F70659">
      <w:pPr>
        <w:pStyle w:val="Heading1"/>
      </w:pPr>
      <w:bookmarkStart w:id="5" w:name="_Toc209517817"/>
      <w:r>
        <w:t>Submission</w:t>
      </w:r>
      <w:bookmarkEnd w:id="5"/>
    </w:p>
    <w:p w14:paraId="54F9FC2F" w14:textId="63A020D1" w:rsidR="00A56EB6" w:rsidRDefault="00642121" w:rsidP="008A1178">
      <w:pPr>
        <w:pStyle w:val="Heading2"/>
      </w:pPr>
      <w:bookmarkStart w:id="6" w:name="_Toc209517818"/>
      <w:r>
        <w:t xml:space="preserve">The </w:t>
      </w:r>
      <w:r w:rsidR="005D3E5D">
        <w:t>challenges and benefits</w:t>
      </w:r>
      <w:r w:rsidR="00746F4F">
        <w:t xml:space="preserve"> of </w:t>
      </w:r>
      <w:r w:rsidR="00A00F38">
        <w:t>geographical flexibility</w:t>
      </w:r>
      <w:bookmarkEnd w:id="6"/>
      <w:r w:rsidR="00BB4235">
        <w:t xml:space="preserve"> </w:t>
      </w:r>
    </w:p>
    <w:p w14:paraId="55171072" w14:textId="217BA484" w:rsidR="00642121" w:rsidRDefault="00677457" w:rsidP="00642121">
      <w:pPr>
        <w:pStyle w:val="Body"/>
      </w:pPr>
      <w:r>
        <w:t xml:space="preserve">The </w:t>
      </w:r>
      <w:r w:rsidR="003363B3">
        <w:t>shift to remote work</w:t>
      </w:r>
      <w:r w:rsidR="009C425B">
        <w:t xml:space="preserve"> brought about by the COVID-19 pandemic</w:t>
      </w:r>
      <w:r w:rsidR="00EF17E7">
        <w:t>, referred to as the ‘Geographical Work Revolution’,</w:t>
      </w:r>
      <w:r w:rsidR="009C425B">
        <w:t xml:space="preserve"> </w:t>
      </w:r>
      <w:r w:rsidR="003363B3">
        <w:t xml:space="preserve">is widely accepted as </w:t>
      </w:r>
      <w:r w:rsidR="00CD772D">
        <w:t>‘a lasting change in the modern work environment’</w:t>
      </w:r>
      <w:r w:rsidR="00466842">
        <w:t xml:space="preserve"> (Bissell et al. 2024</w:t>
      </w:r>
      <w:r w:rsidR="001613F5">
        <w:t>; AIHW 2023</w:t>
      </w:r>
      <w:r w:rsidR="00466842">
        <w:t>)</w:t>
      </w:r>
      <w:r w:rsidR="007C6959">
        <w:t xml:space="preserve">. </w:t>
      </w:r>
      <w:r w:rsidR="0001440F">
        <w:t xml:space="preserve">Research in relation to the impacts of this revolution confirms that </w:t>
      </w:r>
      <w:r w:rsidR="005715D8">
        <w:t xml:space="preserve">Australian workers expect </w:t>
      </w:r>
      <w:r w:rsidR="003F6C0E">
        <w:t xml:space="preserve">geographical flexibility and that </w:t>
      </w:r>
      <w:r w:rsidR="00F369AC">
        <w:t>there are a number of</w:t>
      </w:r>
      <w:r w:rsidR="005D3E5D">
        <w:t xml:space="preserve"> challenges and</w:t>
      </w:r>
      <w:r w:rsidR="00F369AC">
        <w:t xml:space="preserve"> benefits</w:t>
      </w:r>
      <w:r w:rsidR="00B70564">
        <w:t xml:space="preserve"> that require consideration</w:t>
      </w:r>
      <w:r w:rsidR="00552775">
        <w:t>. The key benefits are as follows:</w:t>
      </w:r>
    </w:p>
    <w:p w14:paraId="495A0F6E" w14:textId="12FA8744" w:rsidR="004A6138" w:rsidRDefault="00636E44" w:rsidP="00E92DD1">
      <w:pPr>
        <w:pStyle w:val="Bullet1"/>
      </w:pPr>
      <w:r w:rsidRPr="007C6E76">
        <w:rPr>
          <w:b/>
          <w:bCs/>
        </w:rPr>
        <w:t xml:space="preserve">Wellbeing and </w:t>
      </w:r>
      <w:r w:rsidR="00226CAF">
        <w:rPr>
          <w:b/>
          <w:bCs/>
        </w:rPr>
        <w:t>job satisfaction</w:t>
      </w:r>
      <w:r>
        <w:t>:</w:t>
      </w:r>
      <w:r w:rsidR="008A62C4">
        <w:t xml:space="preserve"> </w:t>
      </w:r>
      <w:r w:rsidR="00610E05">
        <w:t>Geographical flexibility</w:t>
      </w:r>
      <w:r w:rsidR="00B5426A">
        <w:t xml:space="preserve"> enables greater work-life balance</w:t>
      </w:r>
      <w:r w:rsidR="00226CAF">
        <w:t xml:space="preserve"> and improved wellbeing</w:t>
      </w:r>
      <w:r w:rsidR="00B5426A">
        <w:t xml:space="preserve"> for many individuals</w:t>
      </w:r>
      <w:r w:rsidR="002C0EAB">
        <w:t xml:space="preserve"> due to the elimination of </w:t>
      </w:r>
      <w:r w:rsidR="00B70564">
        <w:t xml:space="preserve">a </w:t>
      </w:r>
      <w:r w:rsidR="002C0EAB">
        <w:t>daily commu</w:t>
      </w:r>
      <w:r w:rsidR="00B70564">
        <w:t>te</w:t>
      </w:r>
      <w:r w:rsidR="00914261">
        <w:t>,</w:t>
      </w:r>
      <w:r w:rsidR="002C0EAB">
        <w:t xml:space="preserve"> and</w:t>
      </w:r>
      <w:r w:rsidR="00B70564">
        <w:t xml:space="preserve"> the</w:t>
      </w:r>
      <w:r w:rsidR="002C0EAB">
        <w:t xml:space="preserve"> ability to spend more time with family, friends, and</w:t>
      </w:r>
      <w:r w:rsidR="00B70564">
        <w:t xml:space="preserve"> the</w:t>
      </w:r>
      <w:r w:rsidR="002C0EAB">
        <w:t xml:space="preserve"> community (Productivity Commission 2021</w:t>
      </w:r>
      <w:r w:rsidR="00CF7875">
        <w:t>; Clausen et al. 2024</w:t>
      </w:r>
      <w:r w:rsidR="002C0EAB">
        <w:t>)</w:t>
      </w:r>
      <w:r w:rsidR="00FB778F">
        <w:t xml:space="preserve">. </w:t>
      </w:r>
      <w:r w:rsidR="00226CAF">
        <w:t>Working from home may also provide workers with a greater sense of autonomy and control</w:t>
      </w:r>
      <w:r w:rsidR="00B70564">
        <w:t xml:space="preserve"> </w:t>
      </w:r>
      <w:r w:rsidR="00645253">
        <w:t>(</w:t>
      </w:r>
      <w:r w:rsidR="00645253" w:rsidRPr="00645253">
        <w:t>Laß et al. 2023</w:t>
      </w:r>
      <w:r w:rsidR="00645253">
        <w:t>)</w:t>
      </w:r>
      <w:r w:rsidR="00B07869">
        <w:t>.</w:t>
      </w:r>
      <w:r w:rsidR="00B50325">
        <w:t xml:space="preserve"> </w:t>
      </w:r>
    </w:p>
    <w:p w14:paraId="70CD49B0" w14:textId="24312835" w:rsidR="006035DB" w:rsidRDefault="00636E44" w:rsidP="00E92DD1">
      <w:pPr>
        <w:pStyle w:val="Bullet1"/>
      </w:pPr>
      <w:r w:rsidRPr="007C6E76">
        <w:rPr>
          <w:b/>
          <w:bCs/>
        </w:rPr>
        <w:t>Productivity</w:t>
      </w:r>
      <w:r>
        <w:t xml:space="preserve">: </w:t>
      </w:r>
      <w:r w:rsidR="007C12E5">
        <w:t>Many workers report being more productive</w:t>
      </w:r>
      <w:r w:rsidR="0011035C">
        <w:t>, and spending more time working,</w:t>
      </w:r>
      <w:r w:rsidR="007C12E5">
        <w:t xml:space="preserve"> when they work from</w:t>
      </w:r>
      <w:r w:rsidR="003A76C9">
        <w:t xml:space="preserve"> home </w:t>
      </w:r>
      <w:r w:rsidR="00BB7B55">
        <w:t xml:space="preserve">and other ‘third’ spaces, such as co-working and community spaces, libraries and cafes </w:t>
      </w:r>
      <w:r w:rsidR="003A76C9">
        <w:t>(Bissell et al. 2024</w:t>
      </w:r>
      <w:r w:rsidR="0011035C">
        <w:t>; WGEA 2025</w:t>
      </w:r>
      <w:r w:rsidR="00F87FC3">
        <w:t>; Bloom et al. 2023</w:t>
      </w:r>
      <w:r w:rsidR="003A76C9">
        <w:t>).</w:t>
      </w:r>
      <w:r w:rsidR="006F0251">
        <w:t xml:space="preserve"> </w:t>
      </w:r>
    </w:p>
    <w:p w14:paraId="4E323B87" w14:textId="6EE1FACB" w:rsidR="00796468" w:rsidRDefault="00796468" w:rsidP="00E92DD1">
      <w:pPr>
        <w:pStyle w:val="Bullet1"/>
      </w:pPr>
      <w:r w:rsidRPr="007C6E76">
        <w:rPr>
          <w:b/>
          <w:bCs/>
        </w:rPr>
        <w:t>Talent attraction and retention</w:t>
      </w:r>
      <w:r>
        <w:t>:</w:t>
      </w:r>
      <w:r w:rsidR="00DE7DAA">
        <w:t xml:space="preserve"> Organisations report that </w:t>
      </w:r>
      <w:r w:rsidR="00372D0C">
        <w:t>geographical flexibility has enabled them to attract talent beyond their standard geographic talent pool (</w:t>
      </w:r>
      <w:r w:rsidR="00063F1E">
        <w:t>Kho et al. 2024</w:t>
      </w:r>
      <w:r w:rsidR="00372D0C">
        <w:t>).</w:t>
      </w:r>
      <w:r w:rsidR="004818B6">
        <w:t xml:space="preserve"> </w:t>
      </w:r>
      <w:r w:rsidR="00161B8E">
        <w:t>International r</w:t>
      </w:r>
      <w:r w:rsidR="00275FE6">
        <w:t xml:space="preserve">esearch also shows that </w:t>
      </w:r>
      <w:r w:rsidR="00AC026C">
        <w:t>men and women are more likely to shortlist job advertisements mentioning flexible work arrangements</w:t>
      </w:r>
      <w:r w:rsidR="00112B63">
        <w:t xml:space="preserve"> (GEO 2021)</w:t>
      </w:r>
      <w:r w:rsidR="00161B8E">
        <w:t xml:space="preserve">. In Australia, 88% of workers would like to work remotely at least partially, and 60% prefer a hybrid </w:t>
      </w:r>
      <w:r w:rsidR="00FC2A90">
        <w:t xml:space="preserve">arrangement allowing </w:t>
      </w:r>
      <w:r w:rsidR="00041F03">
        <w:t xml:space="preserve">individuals </w:t>
      </w:r>
      <w:r w:rsidR="00FC2A90">
        <w:t xml:space="preserve">to work remotely </w:t>
      </w:r>
      <w:r w:rsidR="00B70564">
        <w:t>and in the office,</w:t>
      </w:r>
      <w:r w:rsidR="00041F03">
        <w:t xml:space="preserve"> as </w:t>
      </w:r>
      <w:r w:rsidR="00B70564">
        <w:t>desired</w:t>
      </w:r>
      <w:r w:rsidR="00FC2A90">
        <w:t xml:space="preserve"> (MIAESR 2022)</w:t>
      </w:r>
    </w:p>
    <w:p w14:paraId="25B5A9F8" w14:textId="33F91886" w:rsidR="00F528C4" w:rsidRDefault="00F528C4" w:rsidP="00E92DD1">
      <w:pPr>
        <w:pStyle w:val="Bullet1"/>
      </w:pPr>
      <w:r>
        <w:rPr>
          <w:b/>
          <w:bCs/>
        </w:rPr>
        <w:t xml:space="preserve">Normalisation </w:t>
      </w:r>
      <w:r w:rsidR="00FB778F">
        <w:rPr>
          <w:b/>
          <w:bCs/>
        </w:rPr>
        <w:t>of flexible work</w:t>
      </w:r>
      <w:r w:rsidR="00FB778F" w:rsidRPr="00FB778F">
        <w:t>:</w:t>
      </w:r>
      <w:r w:rsidR="004B10A5">
        <w:t xml:space="preserve"> By embedding geographical flexibility into legislation, the Victorian Government has an opportunity to </w:t>
      </w:r>
      <w:r w:rsidR="00E850A1">
        <w:t>reduce flexibility stigma and</w:t>
      </w:r>
      <w:r w:rsidR="00F07AE7">
        <w:t xml:space="preserve"> its </w:t>
      </w:r>
      <w:r w:rsidR="007E3A7E">
        <w:t>negative effects</w:t>
      </w:r>
      <w:r w:rsidR="00F07AE7">
        <w:t xml:space="preserve"> – including </w:t>
      </w:r>
      <w:r w:rsidR="007E3A7E">
        <w:t xml:space="preserve">career </w:t>
      </w:r>
      <w:r w:rsidR="00283987">
        <w:t>progression penalties</w:t>
      </w:r>
      <w:r w:rsidR="007E3A7E">
        <w:t xml:space="preserve"> (Clausen et al. 2024)</w:t>
      </w:r>
      <w:r w:rsidR="00F07AE7">
        <w:t>. This may, in turn,</w:t>
      </w:r>
      <w:r w:rsidR="00E850A1">
        <w:t xml:space="preserve"> encourage t</w:t>
      </w:r>
      <w:r w:rsidR="00F07AE7">
        <w:t xml:space="preserve">he increased </w:t>
      </w:r>
      <w:r w:rsidR="00E850A1">
        <w:t xml:space="preserve">uptake of flexible work arrangements by </w:t>
      </w:r>
      <w:r w:rsidR="00F619E9">
        <w:t>men</w:t>
      </w:r>
      <w:r w:rsidR="00B70564">
        <w:t>, a</w:t>
      </w:r>
      <w:r w:rsidR="009731F7">
        <w:t>n important step in the enhancement of workplace gender equality</w:t>
      </w:r>
      <w:r w:rsidR="00283987">
        <w:t>.</w:t>
      </w:r>
      <w:r w:rsidR="006D6275">
        <w:t xml:space="preserve"> </w:t>
      </w:r>
    </w:p>
    <w:p w14:paraId="04BD6AD9" w14:textId="4DB0F7A9" w:rsidR="005274E0" w:rsidRPr="005274E0" w:rsidRDefault="005274E0" w:rsidP="005274E0">
      <w:pPr>
        <w:pStyle w:val="Bullet1"/>
        <w:numPr>
          <w:ilvl w:val="0"/>
          <w:numId w:val="0"/>
        </w:numPr>
        <w:spacing w:before="120"/>
      </w:pPr>
      <w:r>
        <w:t>The key challenges that should be considered are as follows:</w:t>
      </w:r>
    </w:p>
    <w:p w14:paraId="50C42EAD" w14:textId="3888AA59" w:rsidR="00060C3E" w:rsidRDefault="00060C3E" w:rsidP="00060C3E">
      <w:pPr>
        <w:pStyle w:val="Bullet1"/>
      </w:pPr>
      <w:r w:rsidRPr="2D6A2800">
        <w:rPr>
          <w:b/>
          <w:bCs/>
        </w:rPr>
        <w:t>Proximity bias</w:t>
      </w:r>
      <w:r>
        <w:t>: The phenomenon of proximity bias has been described as ‘the tendency of leadership to show favouritism or preferential treatment to employees that are close to them physically’ (Lutkevich 2023). Research has shown that proximity bias (negatively impacting those who work from home) can lead to decreased employee engagement and retention, as well as exacerbate existing workplace inequalities experienced by women and marginalised communities (Williamson et al. 2024; Williamson and Colley 2022; Parmelee and Codd 2023). Employers should adopt practices to actively mitigate against this phenomenon (Tsipursky 2022).</w:t>
      </w:r>
    </w:p>
    <w:p w14:paraId="073610F4" w14:textId="561A64B5" w:rsidR="000E5934" w:rsidRPr="005274E0" w:rsidRDefault="000E5934" w:rsidP="000E5934">
      <w:pPr>
        <w:pStyle w:val="Bullet1"/>
      </w:pPr>
      <w:r w:rsidRPr="2D6A2800">
        <w:rPr>
          <w:b/>
          <w:bCs/>
        </w:rPr>
        <w:t>Isolation and disconnection</w:t>
      </w:r>
      <w:r>
        <w:t>: Remote work has also been found to increase feelings of social isolation and disconnection (Bissell et al. 2024; Mousa et al. 2025; Wang et al 2021), as well as to negatively impact employee wellbeing due to the blurring between work and home spaces (Dong et al. 2025; Bissell et al. 2024).</w:t>
      </w:r>
    </w:p>
    <w:p w14:paraId="26EEC25B" w14:textId="6ECD60C8" w:rsidR="00BB14CB" w:rsidRDefault="009D1E45" w:rsidP="00E92DD1">
      <w:pPr>
        <w:pStyle w:val="Bullet1"/>
      </w:pPr>
      <w:r w:rsidRPr="2D6A2800">
        <w:rPr>
          <w:b/>
          <w:bCs/>
        </w:rPr>
        <w:t xml:space="preserve">Safety </w:t>
      </w:r>
      <w:r w:rsidR="00FD13E2" w:rsidRPr="2D6A2800">
        <w:rPr>
          <w:b/>
          <w:bCs/>
        </w:rPr>
        <w:t>in the home</w:t>
      </w:r>
      <w:r w:rsidR="00DB654D" w:rsidRPr="2D6A2800">
        <w:rPr>
          <w:b/>
          <w:bCs/>
        </w:rPr>
        <w:t xml:space="preserve">: </w:t>
      </w:r>
      <w:r>
        <w:t xml:space="preserve">In addition to potential psychosocial hazards, such as those stemming from isolation and </w:t>
      </w:r>
      <w:r w:rsidR="00301162">
        <w:t xml:space="preserve">the lack of separation between work and home locations, remote working presents an increased safety risk for those </w:t>
      </w:r>
      <w:r w:rsidR="00045E6F">
        <w:t xml:space="preserve">experiencing </w:t>
      </w:r>
      <w:r w:rsidR="009C2289">
        <w:t>DFV</w:t>
      </w:r>
      <w:r w:rsidR="00045E6F">
        <w:t>.</w:t>
      </w:r>
      <w:r w:rsidR="00D75B3E">
        <w:t xml:space="preserve"> </w:t>
      </w:r>
      <w:r w:rsidR="006F091C">
        <w:t xml:space="preserve">The Australian Institute of Criminology’s analysis of over 15,000 women </w:t>
      </w:r>
      <w:r w:rsidR="000A69D4">
        <w:t xml:space="preserve">found that nearly 70% of women who experienced physical or sexual violence from a current or previous partner reported that such violence either first occurred or escalated in frequency and severity </w:t>
      </w:r>
      <w:r w:rsidR="000A69D4">
        <w:lastRenderedPageBreak/>
        <w:t>when working remotely (</w:t>
      </w:r>
      <w:r w:rsidR="002F3117">
        <w:t>Boxall et al</w:t>
      </w:r>
      <w:r w:rsidR="0014288E">
        <w:t>. 2020</w:t>
      </w:r>
      <w:r w:rsidR="000A69D4">
        <w:t>).</w:t>
      </w:r>
      <w:r w:rsidR="00045E6F">
        <w:t xml:space="preserve"> </w:t>
      </w:r>
      <w:r w:rsidR="009C2289">
        <w:t>Workplaces play a vital role in preventing and responding to DFV</w:t>
      </w:r>
      <w:r w:rsidR="00D565B6">
        <w:t>,</w:t>
      </w:r>
      <w:r w:rsidR="00945BBE">
        <w:t xml:space="preserve"> including when employees are working remotely. </w:t>
      </w:r>
    </w:p>
    <w:p w14:paraId="55E8621F" w14:textId="1F4835D8" w:rsidR="00C71EAE" w:rsidRDefault="00C71EAE" w:rsidP="2D6A2800">
      <w:pPr>
        <w:pStyle w:val="Bullet1"/>
      </w:pPr>
      <w:r w:rsidRPr="2D6A2800">
        <w:rPr>
          <w:b/>
          <w:bCs/>
        </w:rPr>
        <w:t>Technology-facilitated workplace sexual harassment</w:t>
      </w:r>
      <w:r>
        <w:t xml:space="preserve">: </w:t>
      </w:r>
      <w:r w:rsidR="00056EDA">
        <w:t xml:space="preserve">Recent research has </w:t>
      </w:r>
      <w:r w:rsidR="00205DE3">
        <w:t xml:space="preserve">revealed </w:t>
      </w:r>
      <w:r w:rsidR="00F256A2">
        <w:t>that</w:t>
      </w:r>
      <w:r w:rsidR="00EC7511">
        <w:t xml:space="preserve"> of </w:t>
      </w:r>
      <w:r w:rsidR="00654377">
        <w:t>3,345 Australians surveyed,</w:t>
      </w:r>
      <w:r w:rsidR="00F256A2">
        <w:t xml:space="preserve"> 1 in 7 </w:t>
      </w:r>
      <w:r w:rsidR="00EC7511">
        <w:t xml:space="preserve">people have engaged in </w:t>
      </w:r>
      <w:r w:rsidR="00654377">
        <w:t xml:space="preserve">WTFSH, with men being </w:t>
      </w:r>
      <w:r w:rsidR="00DE5459">
        <w:t>significantly more likely</w:t>
      </w:r>
      <w:r w:rsidR="008D3055">
        <w:t xml:space="preserve"> (men: 23.9%, women: 6.</w:t>
      </w:r>
      <w:r w:rsidR="009D3AAB">
        <w:t>9%</w:t>
      </w:r>
      <w:r w:rsidR="008D3055">
        <w:t>)</w:t>
      </w:r>
      <w:r w:rsidR="00DE5459">
        <w:t xml:space="preserve"> to </w:t>
      </w:r>
      <w:r w:rsidR="008D3055">
        <w:t>report engaging in WTFSH</w:t>
      </w:r>
      <w:r w:rsidR="008F047C">
        <w:t xml:space="preserve"> (Flynn et al. 2024)</w:t>
      </w:r>
      <w:r w:rsidR="008D3055">
        <w:t>.</w:t>
      </w:r>
      <w:r w:rsidR="009D789A">
        <w:t xml:space="preserve"> Remote working </w:t>
      </w:r>
      <w:r w:rsidR="002836F5">
        <w:t xml:space="preserve">was </w:t>
      </w:r>
      <w:r w:rsidR="00B92229">
        <w:t xml:space="preserve">explicitly </w:t>
      </w:r>
      <w:r w:rsidR="002836F5">
        <w:t>identified by this research as contributing to WT</w:t>
      </w:r>
      <w:r w:rsidR="00B92229">
        <w:t xml:space="preserve">FSH (Flynn et al. 2024). </w:t>
      </w:r>
      <w:r w:rsidR="00A7592E">
        <w:t xml:space="preserve">While employers have primary responsibility for addressing WTFSH, </w:t>
      </w:r>
      <w:r w:rsidR="00A121C3">
        <w:t xml:space="preserve">the Victorian government </w:t>
      </w:r>
      <w:r w:rsidR="007E7911">
        <w:t>‘</w:t>
      </w:r>
      <w:r w:rsidR="00A121C3">
        <w:t xml:space="preserve">should provide </w:t>
      </w:r>
      <w:r w:rsidR="007E7911">
        <w:t>mandated requirements and guidance on WTFSH policies, training and responses to help employers appropriately investigate reports, provide trauma-informed support to victims and survivors, hold perpetrators accountable and ensure appropriate responses or penalties’ (Flynn et al. 2024: 12).</w:t>
      </w:r>
    </w:p>
    <w:p w14:paraId="07726E62" w14:textId="6447CCF7" w:rsidR="00310B70" w:rsidRPr="005F3FA4" w:rsidRDefault="00310B70" w:rsidP="2D6A2800">
      <w:pPr>
        <w:pStyle w:val="Bullet1"/>
      </w:pPr>
      <w:r w:rsidRPr="2D6A2800">
        <w:rPr>
          <w:b/>
          <w:bCs/>
        </w:rPr>
        <w:t>Reinforcement of gender roles and stereotypes</w:t>
      </w:r>
      <w:r>
        <w:t xml:space="preserve">: It is important that the </w:t>
      </w:r>
      <w:r w:rsidR="0049321A">
        <w:t>department</w:t>
      </w:r>
      <w:r>
        <w:t xml:space="preserve"> consider the communication of the proposed legislation to ensure it does not reinforce gender stereotypes and roles in relation to the commonly held (but inaccurate) perception that women want and need flexible work arrangements more than men so as to accommodate their caring responsibilities (Clausen et al. 2024).</w:t>
      </w:r>
    </w:p>
    <w:p w14:paraId="75C870AE" w14:textId="42DF5D8A" w:rsidR="00060C3E" w:rsidRPr="00060C3E" w:rsidRDefault="00060C3E" w:rsidP="00060C3E">
      <w:pPr>
        <w:pStyle w:val="Bullet1"/>
      </w:pPr>
      <w:r>
        <w:rPr>
          <w:b/>
          <w:bCs/>
        </w:rPr>
        <w:t>Collaborative work</w:t>
      </w:r>
      <w:r w:rsidRPr="00060C3E">
        <w:t>: Employers have expressed concerns about the reduction of collaborative work and diminished innovation that may stem from the decrease in office attendance (Bissell et al. 2024).</w:t>
      </w:r>
    </w:p>
    <w:p w14:paraId="6152E1A2" w14:textId="54780039" w:rsidR="00930CB7" w:rsidRDefault="00930CB7" w:rsidP="00930CB7">
      <w:pPr>
        <w:pStyle w:val="Bullet1"/>
        <w:numPr>
          <w:ilvl w:val="0"/>
          <w:numId w:val="0"/>
        </w:numPr>
        <w:spacing w:before="120"/>
      </w:pPr>
    </w:p>
    <w:tbl>
      <w:tblPr>
        <w:tblStyle w:val="CGEPStable"/>
        <w:tblW w:w="0" w:type="auto"/>
        <w:tblBorders>
          <w:bottom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194"/>
      </w:tblGrid>
      <w:tr w:rsidR="00930CB7" w14:paraId="722278B9" w14:textId="77777777" w:rsidTr="2D6A2800">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E5DFEC" w:themeFill="accent4" w:themeFillTint="33"/>
          </w:tcPr>
          <w:p w14:paraId="1A4ECA28" w14:textId="3524FBA8" w:rsidR="00930CB7" w:rsidRDefault="00930CB7" w:rsidP="00930CB7">
            <w:pPr>
              <w:pStyle w:val="Tablecolhead"/>
            </w:pPr>
            <w:r>
              <w:t xml:space="preserve">Recommendation </w:t>
            </w:r>
            <w:r w:rsidR="0066172D">
              <w:t>2</w:t>
            </w:r>
          </w:p>
          <w:p w14:paraId="573C9CC5" w14:textId="557F0268" w:rsidR="009232F4" w:rsidRDefault="00930CB7" w:rsidP="00866C30">
            <w:pPr>
              <w:pStyle w:val="Body"/>
            </w:pPr>
            <w:r>
              <w:t xml:space="preserve">I recommend that the </w:t>
            </w:r>
            <w:r w:rsidR="0049321A">
              <w:t>department</w:t>
            </w:r>
            <w:r>
              <w:t xml:space="preserve"> </w:t>
            </w:r>
            <w:r w:rsidR="009232F4">
              <w:t xml:space="preserve">include </w:t>
            </w:r>
            <w:r w:rsidR="008B05BF">
              <w:t xml:space="preserve">an obligation </w:t>
            </w:r>
            <w:r w:rsidR="009232F4">
              <w:t>within the proposed legislation on employers to</w:t>
            </w:r>
            <w:r w:rsidR="00866C30">
              <w:t xml:space="preserve"> </w:t>
            </w:r>
            <w:r w:rsidR="00394405">
              <w:t xml:space="preserve">have in place </w:t>
            </w:r>
            <w:r w:rsidR="008B05BF">
              <w:t>hybrid working</w:t>
            </w:r>
            <w:r w:rsidR="00394405">
              <w:t xml:space="preserve"> policy, developed in consultation with employees, that</w:t>
            </w:r>
            <w:r w:rsidR="00761A40">
              <w:t>:</w:t>
            </w:r>
          </w:p>
          <w:p w14:paraId="2FDCA2A4" w14:textId="7C8D8D3B" w:rsidR="00761A40" w:rsidRDefault="00761A40" w:rsidP="00866C30">
            <w:pPr>
              <w:pStyle w:val="Bullet1"/>
            </w:pPr>
            <w:r>
              <w:t xml:space="preserve">contains </w:t>
            </w:r>
            <w:r w:rsidR="001A2EF4">
              <w:t>guidelines</w:t>
            </w:r>
            <w:r w:rsidR="00094E11">
              <w:t xml:space="preserve"> for the</w:t>
            </w:r>
            <w:r w:rsidR="001A2EF4">
              <w:t xml:space="preserve"> separation of home and work environments</w:t>
            </w:r>
            <w:r w:rsidR="00537043">
              <w:t xml:space="preserve"> and effective collaboration in</w:t>
            </w:r>
            <w:r w:rsidR="00484219">
              <w:t xml:space="preserve"> </w:t>
            </w:r>
            <w:r w:rsidR="00537043">
              <w:t>a hybrid working environment</w:t>
            </w:r>
            <w:r w:rsidR="00347239">
              <w:t xml:space="preserve">; </w:t>
            </w:r>
            <w:r w:rsidR="00094E11">
              <w:t xml:space="preserve"> </w:t>
            </w:r>
          </w:p>
          <w:p w14:paraId="2ACEB146" w14:textId="1198F565" w:rsidR="00347239" w:rsidRDefault="004B7382" w:rsidP="00866C30">
            <w:pPr>
              <w:pStyle w:val="Bullet1"/>
            </w:pPr>
            <w:r>
              <w:t xml:space="preserve">outlines the </w:t>
            </w:r>
            <w:r w:rsidR="00BB4E9C">
              <w:t xml:space="preserve">obligations of the </w:t>
            </w:r>
            <w:r>
              <w:t>employer and employee</w:t>
            </w:r>
            <w:r w:rsidR="00BB4E9C">
              <w:t>s</w:t>
            </w:r>
            <w:r>
              <w:t xml:space="preserve"> to minimise risks</w:t>
            </w:r>
            <w:r w:rsidR="006A1F2D">
              <w:t xml:space="preserve"> while working from home</w:t>
            </w:r>
            <w:r>
              <w:t>, including those related to psychosocial work hazards</w:t>
            </w:r>
            <w:r w:rsidR="00516DBA">
              <w:t xml:space="preserve"> and workplace sexual harassment</w:t>
            </w:r>
            <w:r>
              <w:t xml:space="preserve">, under the </w:t>
            </w:r>
            <w:r w:rsidR="00BB4E9C" w:rsidRPr="2D6A2800">
              <w:rPr>
                <w:i/>
                <w:iCs/>
              </w:rPr>
              <w:t>Occupational Health and Safety Act 2004</w:t>
            </w:r>
            <w:r w:rsidR="00BB4E9C">
              <w:t xml:space="preserve"> (Vic);</w:t>
            </w:r>
          </w:p>
          <w:p w14:paraId="08E83697" w14:textId="75780E86" w:rsidR="00EB688F" w:rsidRDefault="00EB688F" w:rsidP="00866C30">
            <w:pPr>
              <w:pStyle w:val="Bullet1"/>
            </w:pPr>
            <w:r>
              <w:t xml:space="preserve">contains a specific section dealing with DFV and </w:t>
            </w:r>
            <w:r w:rsidR="004B3254">
              <w:t>remote work</w:t>
            </w:r>
            <w:r w:rsidR="00233AB6">
              <w:t>;</w:t>
            </w:r>
            <w:r>
              <w:t xml:space="preserve"> </w:t>
            </w:r>
          </w:p>
          <w:p w14:paraId="13226CA9" w14:textId="76381983" w:rsidR="00092EAD" w:rsidRDefault="00DB13A1" w:rsidP="00866C30">
            <w:pPr>
              <w:pStyle w:val="Bullet1"/>
            </w:pPr>
            <w:r>
              <w:t>specifies that the employer will establish a reasonable communication strategy for working from home days</w:t>
            </w:r>
            <w:r w:rsidR="00EA3A79">
              <w:t xml:space="preserve"> to establish effective, accessible communication tools and expectations</w:t>
            </w:r>
            <w:r w:rsidR="002F17C6">
              <w:t>;</w:t>
            </w:r>
            <w:r w:rsidR="009731F7">
              <w:t xml:space="preserve"> and</w:t>
            </w:r>
          </w:p>
          <w:p w14:paraId="2CD7E96B" w14:textId="2B72143D" w:rsidR="008C19E7" w:rsidRPr="00930CB7" w:rsidRDefault="00117D1C" w:rsidP="00866C30">
            <w:pPr>
              <w:pStyle w:val="Bullet1"/>
            </w:pPr>
            <w:r>
              <w:t>specifies the measures that the employer will take to prevent proximity bias</w:t>
            </w:r>
            <w:r w:rsidR="008C19E7">
              <w:t>.</w:t>
            </w:r>
          </w:p>
        </w:tc>
      </w:tr>
      <w:tr w:rsidR="00761A40" w14:paraId="0449F119" w14:textId="77777777" w:rsidTr="2D6A2800">
        <w:tc>
          <w:tcPr>
            <w:tcW w:w="10194" w:type="dxa"/>
            <w:shd w:val="clear" w:color="auto" w:fill="E5DFEC" w:themeFill="accent4" w:themeFillTint="33"/>
          </w:tcPr>
          <w:p w14:paraId="4D31C9A1" w14:textId="68FB4087" w:rsidR="00866C30" w:rsidRDefault="00C1471D" w:rsidP="00C1471D">
            <w:pPr>
              <w:pStyle w:val="Tablecolhead"/>
            </w:pPr>
            <w:r>
              <w:t xml:space="preserve">Recommendation </w:t>
            </w:r>
            <w:r w:rsidR="0066172D">
              <w:t>3</w:t>
            </w:r>
          </w:p>
          <w:p w14:paraId="1641D012" w14:textId="138103C5" w:rsidR="00C1471D" w:rsidRDefault="00C1471D" w:rsidP="00C1471D">
            <w:pPr>
              <w:pStyle w:val="Body"/>
            </w:pPr>
            <w:r>
              <w:t xml:space="preserve">In the development of the legislation, I recommend that the </w:t>
            </w:r>
            <w:r w:rsidR="0049321A">
              <w:t>department</w:t>
            </w:r>
            <w:r>
              <w:t xml:space="preserve"> </w:t>
            </w:r>
            <w:r w:rsidR="00E14A9D">
              <w:t xml:space="preserve">undertake specific consultation with academics, advocacy groups and individuals with lived experience of DFV to ensure </w:t>
            </w:r>
            <w:r w:rsidR="008B05BF">
              <w:t>the legislation contains appropriate safeguards with respect to the increased risk of DFV in hybrid working arrangements.</w:t>
            </w:r>
          </w:p>
          <w:p w14:paraId="04287E2B" w14:textId="77777777" w:rsidR="007E7911" w:rsidRPr="00780023" w:rsidRDefault="007E7911" w:rsidP="2D6A2800">
            <w:pPr>
              <w:pStyle w:val="Tablecolhead"/>
            </w:pPr>
            <w:r>
              <w:t>Recommendation 4</w:t>
            </w:r>
          </w:p>
          <w:p w14:paraId="6568E5EF" w14:textId="099CF056" w:rsidR="007E7911" w:rsidRPr="00C1471D" w:rsidRDefault="00B830FA" w:rsidP="000B15F2">
            <w:pPr>
              <w:pStyle w:val="Body"/>
            </w:pPr>
            <w:r>
              <w:t xml:space="preserve">I recommend that the </w:t>
            </w:r>
            <w:r w:rsidR="0049321A">
              <w:t>department</w:t>
            </w:r>
            <w:r>
              <w:t xml:space="preserve"> </w:t>
            </w:r>
            <w:r w:rsidR="000B15F2">
              <w:t>includes, within its implementation plan with respect to the proposed legislation, the development of requirements and guidance on WTFSH policies, training and responses to help employers appropriately investigate reports, provide trauma-informed support to victims and survivors, hold perpetrators accountable and ensure appropriate responses or penalties.</w:t>
            </w:r>
          </w:p>
        </w:tc>
      </w:tr>
    </w:tbl>
    <w:p w14:paraId="72252C4A" w14:textId="4A20C3FC" w:rsidR="00930CB7" w:rsidRPr="00930CB7" w:rsidRDefault="001018BA" w:rsidP="008B05BF">
      <w:pPr>
        <w:pStyle w:val="Heading2"/>
      </w:pPr>
      <w:bookmarkStart w:id="7" w:name="_Toc209517819"/>
      <w:r>
        <w:t>The gendered impact</w:t>
      </w:r>
      <w:r w:rsidR="00010E83">
        <w:t>s of</w:t>
      </w:r>
      <w:r w:rsidR="00596D3A">
        <w:t xml:space="preserve"> traditional</w:t>
      </w:r>
      <w:r w:rsidR="00010E83">
        <w:t xml:space="preserve"> work structures</w:t>
      </w:r>
      <w:bookmarkEnd w:id="7"/>
      <w:r w:rsidR="00010E83">
        <w:t xml:space="preserve"> </w:t>
      </w:r>
    </w:p>
    <w:p w14:paraId="416F03B3" w14:textId="263B4F8F" w:rsidR="00AD11CC" w:rsidRDefault="00B76562" w:rsidP="00295913">
      <w:pPr>
        <w:pStyle w:val="Heading3"/>
      </w:pPr>
      <w:r>
        <w:t xml:space="preserve">Workers with </w:t>
      </w:r>
      <w:r w:rsidR="0069438A">
        <w:t xml:space="preserve">unpaid domestic and </w:t>
      </w:r>
      <w:r>
        <w:t>c</w:t>
      </w:r>
      <w:r w:rsidR="00295913">
        <w:t>ar</w:t>
      </w:r>
      <w:r>
        <w:t>ing</w:t>
      </w:r>
      <w:r w:rsidR="00295913">
        <w:t xml:space="preserve"> responsibilities </w:t>
      </w:r>
    </w:p>
    <w:p w14:paraId="62B99D5C" w14:textId="77777777" w:rsidR="002F75E6" w:rsidRDefault="000270A5" w:rsidP="005A1A3E">
      <w:pPr>
        <w:pStyle w:val="Body"/>
      </w:pPr>
      <w:r w:rsidRPr="000270A5">
        <w:t>Demands of unpaid care</w:t>
      </w:r>
      <w:r w:rsidR="0069438A">
        <w:t xml:space="preserve"> and domestic</w:t>
      </w:r>
      <w:r>
        <w:t xml:space="preserve"> responsibilities</w:t>
      </w:r>
      <w:r w:rsidRPr="000270A5">
        <w:t xml:space="preserve"> often prevent individuals from engaging in </w:t>
      </w:r>
      <w:r w:rsidR="00771CF9">
        <w:t>traditional work structures, including</w:t>
      </w:r>
      <w:r w:rsidRPr="000270A5">
        <w:t xml:space="preserve"> full-tim</w:t>
      </w:r>
      <w:r w:rsidR="00771CF9">
        <w:t>e</w:t>
      </w:r>
      <w:r w:rsidR="0069438A">
        <w:t>,</w:t>
      </w:r>
      <w:r w:rsidR="00771CF9">
        <w:t xml:space="preserve"> office-based work</w:t>
      </w:r>
      <w:r w:rsidRPr="000270A5">
        <w:t>.</w:t>
      </w:r>
      <w:r w:rsidR="00762393">
        <w:t xml:space="preserve"> </w:t>
      </w:r>
      <w:r w:rsidR="00027010">
        <w:t xml:space="preserve">On average, women in Australia </w:t>
      </w:r>
      <w:r w:rsidR="001528AE">
        <w:t>do 32 hours of unpaid domestic and care work per week, 9 hours more than men</w:t>
      </w:r>
      <w:r w:rsidR="006C13ED">
        <w:t xml:space="preserve"> (PM&amp;C 2025)</w:t>
      </w:r>
      <w:r w:rsidR="001528AE">
        <w:t>.</w:t>
      </w:r>
      <w:r w:rsidR="00696B3F">
        <w:t xml:space="preserve"> They are also more likely to utilise flexible working patterns, such as part-time work, </w:t>
      </w:r>
      <w:r w:rsidR="003A7E95">
        <w:t>to accommodate these responsibilities (</w:t>
      </w:r>
      <w:r w:rsidR="006C0C87">
        <w:t xml:space="preserve">CGEPS 2022; </w:t>
      </w:r>
      <w:r w:rsidR="003A7E95">
        <w:lastRenderedPageBreak/>
        <w:t xml:space="preserve">WGEA 2024). </w:t>
      </w:r>
      <w:r w:rsidR="005146B3">
        <w:t xml:space="preserve">Men are increasingly seeking </w:t>
      </w:r>
      <w:r w:rsidR="001A222A">
        <w:t>greater</w:t>
      </w:r>
      <w:r w:rsidR="005146B3">
        <w:t xml:space="preserve"> involve</w:t>
      </w:r>
      <w:r w:rsidR="001A222A">
        <w:t>ment</w:t>
      </w:r>
      <w:r w:rsidR="005146B3">
        <w:t xml:space="preserve"> in caregiving and</w:t>
      </w:r>
      <w:r w:rsidR="002F75E6">
        <w:t xml:space="preserve"> also</w:t>
      </w:r>
      <w:r w:rsidR="005146B3">
        <w:t xml:space="preserve"> value flexibility to manage personal and family responsibilities</w:t>
      </w:r>
      <w:r w:rsidR="00AC09E2">
        <w:t>, despite making fewer requests to do so (Clausen et al. 202</w:t>
      </w:r>
      <w:r w:rsidR="005F74FB">
        <w:t>4</w:t>
      </w:r>
      <w:r w:rsidR="00AC09E2">
        <w:t>)</w:t>
      </w:r>
      <w:r w:rsidR="00635D75">
        <w:t xml:space="preserve">. </w:t>
      </w:r>
    </w:p>
    <w:p w14:paraId="010FAF07" w14:textId="25F4268C" w:rsidR="00077548" w:rsidRDefault="00077548" w:rsidP="005A1A3E">
      <w:pPr>
        <w:pStyle w:val="Body"/>
      </w:pPr>
      <w:r w:rsidRPr="00077548">
        <w:t>Employers who promote flexible work</w:t>
      </w:r>
      <w:r w:rsidR="0072672B">
        <w:t xml:space="preserve">, including </w:t>
      </w:r>
      <w:r w:rsidR="007B7F57">
        <w:t>geographical flexibility</w:t>
      </w:r>
      <w:r w:rsidR="0072672B">
        <w:t>,</w:t>
      </w:r>
      <w:r w:rsidRPr="00077548">
        <w:t xml:space="preserve"> for all staff and at all levels of the organisation</w:t>
      </w:r>
      <w:r w:rsidR="0072672B">
        <w:t xml:space="preserve"> (including senior management and executive positions)</w:t>
      </w:r>
      <w:r w:rsidRPr="00077548">
        <w:t xml:space="preserve"> enable more equitable division of paid and unpaid responsibilities between women and men, and more equitable workforce participation and career progression</w:t>
      </w:r>
      <w:r w:rsidR="0098682D">
        <w:t xml:space="preserve"> for all workers</w:t>
      </w:r>
      <w:r w:rsidR="00702B81">
        <w:t xml:space="preserve"> (WGEA 2024)</w:t>
      </w:r>
      <w:r w:rsidR="0072672B">
        <w:t>.</w:t>
      </w:r>
    </w:p>
    <w:p w14:paraId="32214D1E" w14:textId="7E68D62E" w:rsidR="009F477E" w:rsidRPr="003C5AA2" w:rsidRDefault="009F477E" w:rsidP="2D6A2800">
      <w:pPr>
        <w:pStyle w:val="Heading3"/>
      </w:pPr>
      <w:r>
        <w:t>Part-time workers</w:t>
      </w:r>
    </w:p>
    <w:p w14:paraId="738F439A" w14:textId="3A31663B" w:rsidR="00E472F4" w:rsidRPr="009F477E" w:rsidRDefault="00D73727" w:rsidP="009F477E">
      <w:pPr>
        <w:pStyle w:val="Body"/>
      </w:pPr>
      <w:r>
        <w:t>Victorian w</w:t>
      </w:r>
      <w:r w:rsidR="00BC203E">
        <w:t xml:space="preserve">omen </w:t>
      </w:r>
      <w:r w:rsidR="00A41209">
        <w:t xml:space="preserve">are </w:t>
      </w:r>
      <w:r>
        <w:t xml:space="preserve">significantly more likely to work part-time than men in both the public and private sectors (VPSC 2024; </w:t>
      </w:r>
      <w:r w:rsidR="008043F1">
        <w:t>ABS</w:t>
      </w:r>
      <w:r w:rsidR="00ED085E">
        <w:t xml:space="preserve"> 2025</w:t>
      </w:r>
      <w:r>
        <w:t>)</w:t>
      </w:r>
      <w:r w:rsidR="008A4614">
        <w:t>.</w:t>
      </w:r>
      <w:r w:rsidR="00AD4FD9">
        <w:t xml:space="preserve"> </w:t>
      </w:r>
      <w:r w:rsidR="00FF0AE9">
        <w:t xml:space="preserve">In developing the proposed legislation, the </w:t>
      </w:r>
      <w:r w:rsidR="0049321A">
        <w:t>department</w:t>
      </w:r>
      <w:r w:rsidR="00FF0AE9">
        <w:t xml:space="preserve"> should </w:t>
      </w:r>
      <w:r w:rsidR="00A446DE">
        <w:t xml:space="preserve">ensure that </w:t>
      </w:r>
      <w:r w:rsidR="00D2299F">
        <w:t xml:space="preserve">part-time employees receive </w:t>
      </w:r>
      <w:r w:rsidR="00F712FB">
        <w:t xml:space="preserve">working from home entitlements based on the proportion of their hours worked. </w:t>
      </w:r>
    </w:p>
    <w:p w14:paraId="6716E4E7" w14:textId="14E2A2B2" w:rsidR="000035FA" w:rsidRDefault="00B76562" w:rsidP="000035FA">
      <w:pPr>
        <w:pStyle w:val="Heading3"/>
      </w:pPr>
      <w:r>
        <w:t>Workers</w:t>
      </w:r>
      <w:r w:rsidR="00F2489C">
        <w:t xml:space="preserve"> who face compounded forms of inequality </w:t>
      </w:r>
    </w:p>
    <w:p w14:paraId="0D6D60FE" w14:textId="77F829DB" w:rsidR="005F2321" w:rsidRDefault="00935B47" w:rsidP="005F2321">
      <w:pPr>
        <w:pStyle w:val="Body"/>
      </w:pPr>
      <w:r w:rsidRPr="00935B47">
        <w:t>While the right to work from home offers broad advantages, its potential</w:t>
      </w:r>
      <w:r>
        <w:t xml:space="preserve"> to enhance gender equality</w:t>
      </w:r>
      <w:r w:rsidRPr="00935B47">
        <w:t xml:space="preserve"> is profoundly amplified when considering the specific needs and experiences of individuals </w:t>
      </w:r>
      <w:r>
        <w:t xml:space="preserve">experiencing compounded forms of </w:t>
      </w:r>
      <w:r w:rsidR="000B4348">
        <w:t>disadvantage and discrimination</w:t>
      </w:r>
      <w:r w:rsidRPr="00935B47">
        <w:t xml:space="preserve">. For many Victorians, traditional workplace </w:t>
      </w:r>
      <w:r w:rsidR="000B4348">
        <w:t>locations</w:t>
      </w:r>
      <w:r w:rsidRPr="00935B47">
        <w:t xml:space="preserve"> and commuting demands present unique barriers. Th</w:t>
      </w:r>
      <w:r w:rsidR="0098682D">
        <w:t>e proposed</w:t>
      </w:r>
      <w:r w:rsidRPr="00935B47">
        <w:t xml:space="preserve"> legislation offers a vital opportunity to dismantle some of these barriers and foster truly inclusive participation in the workforce.</w:t>
      </w:r>
      <w:r w:rsidR="00A17DF3">
        <w:t xml:space="preserve"> </w:t>
      </w:r>
    </w:p>
    <w:p w14:paraId="4F9960EE" w14:textId="6115FD64" w:rsidR="005F2321" w:rsidRDefault="005F2321" w:rsidP="000B4348">
      <w:pPr>
        <w:pStyle w:val="Heading4"/>
      </w:pPr>
      <w:r>
        <w:t>Wo</w:t>
      </w:r>
      <w:r w:rsidR="00A8693F">
        <w:t>rkers</w:t>
      </w:r>
      <w:r>
        <w:t xml:space="preserve"> with </w:t>
      </w:r>
      <w:r w:rsidR="000B4348">
        <w:t>d</w:t>
      </w:r>
      <w:r>
        <w:t>isabilities</w:t>
      </w:r>
    </w:p>
    <w:p w14:paraId="552F3DC0" w14:textId="08C21D1E" w:rsidR="00C60549" w:rsidRDefault="00A92DB5" w:rsidP="005F2321">
      <w:pPr>
        <w:pStyle w:val="Body"/>
      </w:pPr>
      <w:r>
        <w:t xml:space="preserve">The labour participation rate of people with disability in Australia </w:t>
      </w:r>
      <w:r w:rsidR="00783A3E">
        <w:t xml:space="preserve">is </w:t>
      </w:r>
      <w:r w:rsidR="006A0F42">
        <w:t xml:space="preserve">considered </w:t>
      </w:r>
      <w:r w:rsidR="00783A3E">
        <w:t>quite low</w:t>
      </w:r>
      <w:r w:rsidR="006A0F42">
        <w:t xml:space="preserve"> (</w:t>
      </w:r>
      <w:r w:rsidR="00783A3E">
        <w:t>53.4%</w:t>
      </w:r>
      <w:r w:rsidR="006A0F42">
        <w:t>: Martel and Day et al</w:t>
      </w:r>
      <w:r w:rsidR="007120FF">
        <w:t xml:space="preserve"> 2020</w:t>
      </w:r>
      <w:r w:rsidR="006A0F42">
        <w:t>).</w:t>
      </w:r>
      <w:r w:rsidR="0054592F" w:rsidRPr="0054592F">
        <w:t xml:space="preserve"> </w:t>
      </w:r>
      <w:r w:rsidR="00001DDF" w:rsidRPr="00001DDF">
        <w:t>In 2018, labour force participation was higher among men with disability than women with disability (ABS 2019).</w:t>
      </w:r>
      <w:r w:rsidR="00001DDF">
        <w:t xml:space="preserve"> Specifically, </w:t>
      </w:r>
      <w:r w:rsidR="00B655A8" w:rsidRPr="00B655A8">
        <w:t>56.1% of men with disability compared with 50.7% of women with disability participated in the labour force</w:t>
      </w:r>
      <w:r w:rsidR="00B655A8">
        <w:t xml:space="preserve">, and </w:t>
      </w:r>
      <w:r w:rsidR="001410F3" w:rsidRPr="001410F3">
        <w:t>31.0% of men with a profound or severe limitation compared with 23.6% of women with a profound or severe limitation participated in the labour force (ABS 2019).</w:t>
      </w:r>
    </w:p>
    <w:p w14:paraId="20D88BA7" w14:textId="37871B4E" w:rsidR="004A74C3" w:rsidRDefault="009A0C0B" w:rsidP="005F2321">
      <w:pPr>
        <w:pStyle w:val="Body"/>
      </w:pPr>
      <w:r>
        <w:t xml:space="preserve">There is </w:t>
      </w:r>
      <w:r w:rsidR="00F2046F">
        <w:t>clear evidence that geographic</w:t>
      </w:r>
      <w:r w:rsidR="00266302">
        <w:t>al</w:t>
      </w:r>
      <w:r w:rsidR="00F2046F">
        <w:t xml:space="preserve"> flexibility </w:t>
      </w:r>
      <w:r w:rsidR="00D134B0">
        <w:t>helps to bridge the</w:t>
      </w:r>
      <w:r w:rsidR="00CF4CEB">
        <w:t xml:space="preserve"> work</w:t>
      </w:r>
      <w:r w:rsidR="00DF6E29">
        <w:t xml:space="preserve">force participation </w:t>
      </w:r>
      <w:r w:rsidR="00D134B0">
        <w:t>gap</w:t>
      </w:r>
      <w:r w:rsidR="00DF6E29">
        <w:t xml:space="preserve"> </w:t>
      </w:r>
      <w:r w:rsidR="00D134B0">
        <w:t>for</w:t>
      </w:r>
      <w:r w:rsidR="00DF6E29">
        <w:t xml:space="preserve"> people with disabilities (</w:t>
      </w:r>
      <w:r w:rsidR="00A479A0">
        <w:t>Liu and Quinby</w:t>
      </w:r>
      <w:r w:rsidR="00F04751">
        <w:t xml:space="preserve"> 2024</w:t>
      </w:r>
      <w:r w:rsidR="00C9238F">
        <w:t>; Bliss and Glassman 2024</w:t>
      </w:r>
      <w:r w:rsidR="00260BB9">
        <w:t xml:space="preserve">; Schur et al </w:t>
      </w:r>
      <w:r w:rsidR="00281F2C">
        <w:t>2020</w:t>
      </w:r>
      <w:r w:rsidR="003A3938">
        <w:t xml:space="preserve">; </w:t>
      </w:r>
      <w:r w:rsidR="00BD7E29">
        <w:t>Padkapayeva et al. 2016</w:t>
      </w:r>
      <w:r w:rsidR="00DF6E29">
        <w:t>)</w:t>
      </w:r>
      <w:r w:rsidR="00533990">
        <w:t>.</w:t>
      </w:r>
      <w:r w:rsidR="004A74C3">
        <w:t xml:space="preserve"> In particular,</w:t>
      </w:r>
      <w:r w:rsidR="008F06D0">
        <w:t xml:space="preserve"> </w:t>
      </w:r>
      <w:r w:rsidR="004A74C3">
        <w:t>r</w:t>
      </w:r>
      <w:r w:rsidR="008F06D0">
        <w:t>emote work</w:t>
      </w:r>
      <w:r w:rsidR="009D4319">
        <w:t xml:space="preserve"> enhances accessibility by</w:t>
      </w:r>
      <w:r w:rsidR="004A74C3">
        <w:t>:</w:t>
      </w:r>
    </w:p>
    <w:p w14:paraId="4E0B52C5" w14:textId="7E8D45C4" w:rsidR="002E4082" w:rsidRDefault="002E4082" w:rsidP="009D4319">
      <w:pPr>
        <w:pStyle w:val="Bullet1"/>
      </w:pPr>
      <w:r w:rsidRPr="00802BB0">
        <w:rPr>
          <w:b/>
          <w:bCs/>
        </w:rPr>
        <w:t>Reducing barriers</w:t>
      </w:r>
      <w:r w:rsidR="002561A9">
        <w:rPr>
          <w:b/>
          <w:bCs/>
        </w:rPr>
        <w:t xml:space="preserve"> of the built environment</w:t>
      </w:r>
      <w:r>
        <w:t>:</w:t>
      </w:r>
      <w:r w:rsidRPr="002E4082">
        <w:t xml:space="preserve"> Working from home can significantly mitigate challenges associated with inaccessible workplaces, transport</w:t>
      </w:r>
      <w:r w:rsidR="00DB616B">
        <w:t>ation</w:t>
      </w:r>
      <w:r w:rsidRPr="002E4082">
        <w:t>, and public infrastructure</w:t>
      </w:r>
      <w:r w:rsidR="00877C3E">
        <w:t xml:space="preserve"> that have simply not been </w:t>
      </w:r>
      <w:r w:rsidR="00BE6170">
        <w:t>de</w:t>
      </w:r>
      <w:r w:rsidR="00877C3E">
        <w:t>signed with disabilities in mind</w:t>
      </w:r>
      <w:r w:rsidR="002561A9">
        <w:t xml:space="preserve"> (Martel and Day et al 2020)</w:t>
      </w:r>
      <w:r w:rsidRPr="002E4082">
        <w:t xml:space="preserve">. For </w:t>
      </w:r>
      <w:r w:rsidR="00802BB0">
        <w:t>workers</w:t>
      </w:r>
      <w:r w:rsidRPr="002E4082">
        <w:t xml:space="preserve"> with mobility impairments, chronic pain, or fatigue, avoiding a difficult commute and </w:t>
      </w:r>
      <w:r w:rsidR="00DA7422">
        <w:t xml:space="preserve">the </w:t>
      </w:r>
      <w:r w:rsidRPr="002E4082">
        <w:t>navigati</w:t>
      </w:r>
      <w:r w:rsidR="00DA7422">
        <w:t>on of</w:t>
      </w:r>
      <w:r w:rsidRPr="002E4082">
        <w:t xml:space="preserve"> an </w:t>
      </w:r>
      <w:r w:rsidR="00F30E46">
        <w:t xml:space="preserve">inaccessible </w:t>
      </w:r>
      <w:r w:rsidRPr="002E4082">
        <w:t>office environment can be transformative, allowing them to conserve energy for their work itself.</w:t>
      </w:r>
      <w:r w:rsidR="00802BB0">
        <w:t xml:space="preserve"> </w:t>
      </w:r>
    </w:p>
    <w:p w14:paraId="042584FC" w14:textId="196D1DBC" w:rsidR="00652E3B" w:rsidRPr="00652E3B" w:rsidRDefault="00F70723" w:rsidP="009D4319">
      <w:pPr>
        <w:pStyle w:val="Bullet1"/>
      </w:pPr>
      <w:r w:rsidRPr="005D3C46">
        <w:rPr>
          <w:b/>
          <w:bCs/>
        </w:rPr>
        <w:t>Reducing</w:t>
      </w:r>
      <w:r w:rsidR="00051A8F">
        <w:rPr>
          <w:b/>
          <w:bCs/>
        </w:rPr>
        <w:t xml:space="preserve"> sensory overload and</w:t>
      </w:r>
      <w:r w:rsidRPr="005D3C46">
        <w:rPr>
          <w:b/>
          <w:bCs/>
        </w:rPr>
        <w:t xml:space="preserve"> </w:t>
      </w:r>
      <w:r w:rsidR="005D3C46" w:rsidRPr="005D3C46">
        <w:rPr>
          <w:b/>
          <w:bCs/>
        </w:rPr>
        <w:t>the need for masking</w:t>
      </w:r>
      <w:r w:rsidR="005D3C46">
        <w:t xml:space="preserve">: </w:t>
      </w:r>
      <w:r w:rsidR="00E71771">
        <w:t>W</w:t>
      </w:r>
      <w:r w:rsidR="004C293A">
        <w:t>orkers</w:t>
      </w:r>
      <w:r w:rsidR="00E71771">
        <w:t xml:space="preserve"> with sensory</w:t>
      </w:r>
      <w:r w:rsidR="000111F4">
        <w:t>, ne</w:t>
      </w:r>
      <w:r w:rsidR="00DA7839">
        <w:t>urodevelopmental</w:t>
      </w:r>
      <w:r w:rsidR="00E71771">
        <w:t xml:space="preserve"> and cognitive disabilities</w:t>
      </w:r>
      <w:r w:rsidR="004C293A">
        <w:t xml:space="preserve"> can be more susceptible to overwhelm and distraction in the office,</w:t>
      </w:r>
      <w:r w:rsidR="00CA63AD">
        <w:t xml:space="preserve"> including due to sensitivities to noise, heat, cold and glare (Pfe</w:t>
      </w:r>
      <w:r w:rsidR="000111F4">
        <w:t>iffer et al 2017</w:t>
      </w:r>
      <w:r w:rsidR="00CA63AD">
        <w:t>).</w:t>
      </w:r>
      <w:r w:rsidR="004C293A">
        <w:t xml:space="preserve"> </w:t>
      </w:r>
      <w:r w:rsidR="00F82580">
        <w:t>Many workers also</w:t>
      </w:r>
      <w:r w:rsidR="00703B85">
        <w:t xml:space="preserve"> experience exhaustion due to </w:t>
      </w:r>
      <w:r w:rsidR="00A2572A">
        <w:t xml:space="preserve">conscious and unconscious </w:t>
      </w:r>
      <w:r w:rsidR="00DD4C8F">
        <w:t>masking</w:t>
      </w:r>
      <w:r w:rsidR="00A2572A">
        <w:t xml:space="preserve"> of</w:t>
      </w:r>
      <w:r w:rsidR="00DD4C8F">
        <w:t xml:space="preserve"> their neurodivergent traits</w:t>
      </w:r>
      <w:r w:rsidR="00A2572A">
        <w:t xml:space="preserve"> or behaviours so as to ‘</w:t>
      </w:r>
      <w:r w:rsidR="003B7812">
        <w:t>fit into’ a neurotypical workplace culture and setting</w:t>
      </w:r>
      <w:r w:rsidR="00703289">
        <w:t xml:space="preserve"> (Praslova 2025)</w:t>
      </w:r>
      <w:r w:rsidR="00A2572A">
        <w:t>.</w:t>
      </w:r>
      <w:r w:rsidR="00DD4C8F">
        <w:t xml:space="preserve"> </w:t>
      </w:r>
    </w:p>
    <w:p w14:paraId="3306B51B" w14:textId="54B6A954" w:rsidR="002E4082" w:rsidRDefault="00652E3B" w:rsidP="009D4319">
      <w:pPr>
        <w:pStyle w:val="Bullet1"/>
      </w:pPr>
      <w:r w:rsidRPr="00652E3B">
        <w:rPr>
          <w:b/>
          <w:bCs/>
        </w:rPr>
        <w:t>Allowing individuals to create their own, accessible work environment</w:t>
      </w:r>
      <w:r>
        <w:t xml:space="preserve">: </w:t>
      </w:r>
      <w:r w:rsidRPr="00652E3B">
        <w:t>Individuals can tailor their home office environment to their specific accessibility needs (e.g., ergonomic setups, lighting, assistive technology) in a way that is often challenging or impossible to replicate in a standard office, even with adjustments</w:t>
      </w:r>
      <w:r w:rsidR="00CB3033">
        <w:t xml:space="preserve"> (Lai et al 2020)</w:t>
      </w:r>
      <w:r w:rsidRPr="00652E3B">
        <w:t>. This aligns with principles of reasonable accommodation and universal design, promoting greater autonomy and sustained employment.</w:t>
      </w:r>
    </w:p>
    <w:p w14:paraId="6C84F95D" w14:textId="6E3AC044" w:rsidR="00652E3B" w:rsidRDefault="00652E3B" w:rsidP="009D4319">
      <w:pPr>
        <w:pStyle w:val="Bullet1"/>
      </w:pPr>
      <w:r>
        <w:rPr>
          <w:b/>
          <w:bCs/>
        </w:rPr>
        <w:t>Managing health conditions</w:t>
      </w:r>
      <w:r w:rsidRPr="00652E3B">
        <w:t>:</w:t>
      </w:r>
      <w:r>
        <w:t xml:space="preserve"> </w:t>
      </w:r>
      <w:r w:rsidR="00DB0A08">
        <w:t>Geographical</w:t>
      </w:r>
      <w:r>
        <w:t xml:space="preserve"> flexibility allows for better management of health conditions and medical appointments without needing to disclose personal health information or take sick leave</w:t>
      </w:r>
      <w:r w:rsidR="001A3551">
        <w:t xml:space="preserve"> frequently</w:t>
      </w:r>
      <w:r w:rsidR="00823024">
        <w:t>, thereby</w:t>
      </w:r>
      <w:r>
        <w:t xml:space="preserve"> reduc</w:t>
      </w:r>
      <w:r w:rsidR="00823024">
        <w:t>ing</w:t>
      </w:r>
      <w:r>
        <w:t xml:space="preserve"> the</w:t>
      </w:r>
      <w:r w:rsidR="00F30E46">
        <w:t xml:space="preserve"> </w:t>
      </w:r>
      <w:r>
        <w:t>disability penalty in employment.</w:t>
      </w:r>
    </w:p>
    <w:p w14:paraId="4FE5D936" w14:textId="310B62E0" w:rsidR="00652E3B" w:rsidRDefault="002E4082" w:rsidP="003C2A14">
      <w:pPr>
        <w:pStyle w:val="Bullet1"/>
      </w:pPr>
      <w:r w:rsidRPr="00DB0A08">
        <w:rPr>
          <w:b/>
          <w:bCs/>
        </w:rPr>
        <w:t>Reducing bias and discrimination</w:t>
      </w:r>
      <w:r>
        <w:t>:</w:t>
      </w:r>
      <w:r w:rsidR="00DB0A08">
        <w:t xml:space="preserve"> </w:t>
      </w:r>
      <w:r w:rsidR="00C1560E">
        <w:t xml:space="preserve">Remote work can assist to reduce </w:t>
      </w:r>
      <w:r w:rsidR="001712C6">
        <w:t>the stigma associated with disability</w:t>
      </w:r>
      <w:r w:rsidR="007E058E">
        <w:t xml:space="preserve"> </w:t>
      </w:r>
      <w:r w:rsidR="00023C00">
        <w:t>as well as</w:t>
      </w:r>
      <w:r w:rsidR="00927484">
        <w:t xml:space="preserve"> instances of discrimination and bias in recruitment and promotion </w:t>
      </w:r>
      <w:r w:rsidR="00823024">
        <w:t>practices</w:t>
      </w:r>
      <w:r w:rsidR="00B239BE">
        <w:t xml:space="preserve"> (Jones </w:t>
      </w:r>
      <w:r w:rsidR="00B239BE">
        <w:lastRenderedPageBreak/>
        <w:t>2023)</w:t>
      </w:r>
      <w:r w:rsidR="00106096">
        <w:t>.</w:t>
      </w:r>
      <w:r w:rsidR="00071DC2">
        <w:t xml:space="preserve"> </w:t>
      </w:r>
      <w:r w:rsidR="00106096">
        <w:t xml:space="preserve"> </w:t>
      </w:r>
      <w:r w:rsidR="001C1D13">
        <w:t>B</w:t>
      </w:r>
      <w:r w:rsidR="00FF38DB">
        <w:t xml:space="preserve">y </w:t>
      </w:r>
      <w:r w:rsidR="00382521">
        <w:t xml:space="preserve">increasing the representation of workers with disability, an organisation </w:t>
      </w:r>
      <w:r w:rsidR="006B06F0">
        <w:t xml:space="preserve">builds a workplace culture rooted in respect, diversity and inclusivity – which </w:t>
      </w:r>
      <w:r w:rsidR="005E7496">
        <w:t>attracts diverse talent</w:t>
      </w:r>
      <w:r w:rsidR="004D006A">
        <w:t xml:space="preserve"> and</w:t>
      </w:r>
      <w:r w:rsidR="005E7496">
        <w:t xml:space="preserve"> reduces systemic bias and discrimination. </w:t>
      </w:r>
    </w:p>
    <w:p w14:paraId="1B52D03E" w14:textId="4CD24A4E" w:rsidR="005F2321" w:rsidRDefault="005F2321" w:rsidP="000B4348">
      <w:pPr>
        <w:pStyle w:val="Heading4"/>
      </w:pPr>
      <w:r>
        <w:t>Gender-</w:t>
      </w:r>
      <w:r w:rsidR="000B4348">
        <w:t>d</w:t>
      </w:r>
      <w:r>
        <w:t xml:space="preserve">iverse </w:t>
      </w:r>
      <w:r w:rsidR="00A8693F">
        <w:t>workers</w:t>
      </w:r>
    </w:p>
    <w:p w14:paraId="50EB03A7" w14:textId="3EFFA00C" w:rsidR="008D0B5C" w:rsidRDefault="001C1D13" w:rsidP="005F2321">
      <w:pPr>
        <w:pStyle w:val="Body"/>
      </w:pPr>
      <w:r>
        <w:t>G</w:t>
      </w:r>
      <w:r w:rsidR="002F0784">
        <w:t>eographic</w:t>
      </w:r>
      <w:r w:rsidR="00823024">
        <w:t>al</w:t>
      </w:r>
      <w:r w:rsidR="002F0784">
        <w:t xml:space="preserve"> flexibility may also have particular benefits for gender-diverse workers.</w:t>
      </w:r>
      <w:r w:rsidR="00D8305B">
        <w:t xml:space="preserve"> </w:t>
      </w:r>
      <w:r w:rsidR="002F0784">
        <w:t>T</w:t>
      </w:r>
      <w:r w:rsidR="005F2321">
        <w:t>raditional workplaces can be</w:t>
      </w:r>
      <w:r w:rsidR="008D0B5C">
        <w:t xml:space="preserve"> </w:t>
      </w:r>
      <w:r w:rsidR="00396ACF">
        <w:t xml:space="preserve">harmful </w:t>
      </w:r>
      <w:r w:rsidR="005F2321">
        <w:t xml:space="preserve">sites of misgendering, discrimination, </w:t>
      </w:r>
      <w:r w:rsidR="00D8305B">
        <w:t xml:space="preserve">and </w:t>
      </w:r>
      <w:r w:rsidR="005F2321">
        <w:t>harassment</w:t>
      </w:r>
      <w:r w:rsidR="008D0B5C">
        <w:t xml:space="preserve"> for </w:t>
      </w:r>
      <w:r w:rsidR="00D12869">
        <w:t xml:space="preserve">gender-diverse and other </w:t>
      </w:r>
      <w:r w:rsidR="008D0B5C">
        <w:t>LGBTQIA+ workers</w:t>
      </w:r>
      <w:r w:rsidR="0053532C">
        <w:t xml:space="preserve"> (VLA 202</w:t>
      </w:r>
      <w:r w:rsidR="00E26816">
        <w:t>4</w:t>
      </w:r>
      <w:r w:rsidR="00075474">
        <w:t>; Irwin 2002</w:t>
      </w:r>
      <w:r w:rsidR="0053532C">
        <w:t>)</w:t>
      </w:r>
      <w:r w:rsidR="005F2321">
        <w:t>.</w:t>
      </w:r>
      <w:r w:rsidR="008D0B5C">
        <w:t xml:space="preserve"> Indeed, </w:t>
      </w:r>
      <w:r w:rsidR="008805F6" w:rsidRPr="008805F6">
        <w:t xml:space="preserve">evidence suggests that a majority of LGBTQIA+ Australians do not disclose their identity or otherwise modify their daily activities </w:t>
      </w:r>
      <w:r w:rsidR="00C221F2">
        <w:t xml:space="preserve">in their workplace </w:t>
      </w:r>
      <w:r w:rsidR="008805F6" w:rsidRPr="008805F6">
        <w:t>due to fears of heterosexism and the negative impact disclosure may have on their career</w:t>
      </w:r>
      <w:r w:rsidR="008805F6">
        <w:t xml:space="preserve"> (</w:t>
      </w:r>
      <w:r w:rsidR="007E1024">
        <w:t xml:space="preserve">Hill et al. 2021; </w:t>
      </w:r>
      <w:r w:rsidR="00F70E83">
        <w:t xml:space="preserve">Robinson and Berman 2010; </w:t>
      </w:r>
      <w:r w:rsidR="008805F6">
        <w:t>Bowers 2006</w:t>
      </w:r>
      <w:r w:rsidR="007E1024">
        <w:t>; Pitts et al. 2006</w:t>
      </w:r>
      <w:r w:rsidR="008805F6">
        <w:t>)</w:t>
      </w:r>
      <w:r w:rsidR="00F70E83">
        <w:t>.</w:t>
      </w:r>
    </w:p>
    <w:p w14:paraId="530B8AC7" w14:textId="2951EC01" w:rsidR="005F2321" w:rsidRDefault="00293B85" w:rsidP="005F2321">
      <w:pPr>
        <w:pStyle w:val="Body"/>
      </w:pPr>
      <w:r>
        <w:t xml:space="preserve">Working from home can </w:t>
      </w:r>
      <w:r w:rsidR="005F2321">
        <w:t>provide a safer and more affirming environment, reducing the mental load and stress associated with potential microaggressions or overt prejudice</w:t>
      </w:r>
      <w:r>
        <w:t>. This includes by</w:t>
      </w:r>
      <w:r w:rsidR="008C3BC0">
        <w:t xml:space="preserve"> providing</w:t>
      </w:r>
      <w:r>
        <w:t>:</w:t>
      </w:r>
    </w:p>
    <w:p w14:paraId="7CD7CD3B" w14:textId="217F5528" w:rsidR="005F2321" w:rsidRDefault="00AF5554" w:rsidP="000E4CC2">
      <w:pPr>
        <w:pStyle w:val="Bullet1"/>
      </w:pPr>
      <w:r>
        <w:rPr>
          <w:b/>
          <w:bCs/>
        </w:rPr>
        <w:t>Flexibility</w:t>
      </w:r>
      <w:r w:rsidR="00293B85" w:rsidRPr="00BF1F36">
        <w:rPr>
          <w:b/>
          <w:bCs/>
        </w:rPr>
        <w:t xml:space="preserve"> during affirmation processes</w:t>
      </w:r>
      <w:r w:rsidR="00293B85">
        <w:t xml:space="preserve">: </w:t>
      </w:r>
      <w:r w:rsidR="00650FE1">
        <w:t>While undergoing gender affirmation</w:t>
      </w:r>
      <w:r>
        <w:t xml:space="preserve"> and </w:t>
      </w:r>
      <w:r w:rsidR="008B68B6">
        <w:t xml:space="preserve">the </w:t>
      </w:r>
      <w:r w:rsidR="000E4CC2">
        <w:t>return-to-work</w:t>
      </w:r>
      <w:r w:rsidR="008B68B6">
        <w:t xml:space="preserve"> process</w:t>
      </w:r>
      <w:r w:rsidR="00650FE1">
        <w:t xml:space="preserve">, </w:t>
      </w:r>
      <w:r w:rsidR="008B68B6">
        <w:t xml:space="preserve">employees may need additional flexibility to </w:t>
      </w:r>
      <w:r w:rsidR="000E4CC2">
        <w:t xml:space="preserve">accommodate physical changes, medical appointments, and unexpected aspects of recovery. </w:t>
      </w:r>
      <w:r>
        <w:t>The ability to work</w:t>
      </w:r>
      <w:r w:rsidR="005F2321">
        <w:t xml:space="preserve"> from home offers the privacy and flexibility needed to navigate these intensely personal and often vulnerable times without the added pressure of a public-facing workplace, supporting </w:t>
      </w:r>
      <w:r w:rsidR="00650FE1">
        <w:t xml:space="preserve">sustained workforce participation </w:t>
      </w:r>
      <w:r w:rsidR="005F2321">
        <w:t>and well-being.</w:t>
      </w:r>
    </w:p>
    <w:p w14:paraId="7DE94192" w14:textId="20934F63" w:rsidR="005F2321" w:rsidRDefault="008C3BC0" w:rsidP="00293B85">
      <w:pPr>
        <w:pStyle w:val="Bullet1"/>
      </w:pPr>
      <w:r>
        <w:rPr>
          <w:b/>
          <w:bCs/>
        </w:rPr>
        <w:t>A</w:t>
      </w:r>
      <w:r w:rsidR="005F2321" w:rsidRPr="00650FE1">
        <w:rPr>
          <w:b/>
          <w:bCs/>
        </w:rPr>
        <w:t xml:space="preserve">utonomy over </w:t>
      </w:r>
      <w:r w:rsidR="00650FE1" w:rsidRPr="00650FE1">
        <w:rPr>
          <w:b/>
          <w:bCs/>
        </w:rPr>
        <w:t>p</w:t>
      </w:r>
      <w:r w:rsidR="005F2321" w:rsidRPr="00650FE1">
        <w:rPr>
          <w:b/>
          <w:bCs/>
        </w:rPr>
        <w:t>resentation</w:t>
      </w:r>
      <w:r w:rsidR="005F2321">
        <w:t xml:space="preserve">: </w:t>
      </w:r>
      <w:r w:rsidR="0026205D">
        <w:t>Geographic flexibility</w:t>
      </w:r>
      <w:r w:rsidR="005F2321">
        <w:t xml:space="preserve"> allows individuals greater control over their presentation and environment</w:t>
      </w:r>
      <w:r w:rsidR="00331A12">
        <w:t xml:space="preserve"> during </w:t>
      </w:r>
      <w:r w:rsidR="0049655B">
        <w:t>challenging periods</w:t>
      </w:r>
      <w:r w:rsidR="005F2321">
        <w:t>, fostering comfort and reducing gender dysphoria, which can significantly impact focus and productivity.</w:t>
      </w:r>
    </w:p>
    <w:p w14:paraId="442A7213" w14:textId="38B86015" w:rsidR="000B4348" w:rsidRDefault="00D938CC" w:rsidP="002E7FED">
      <w:pPr>
        <w:pStyle w:val="Heading4"/>
      </w:pPr>
      <w:r>
        <w:t>Workers</w:t>
      </w:r>
      <w:r w:rsidR="00636B0C">
        <w:t xml:space="preserve"> </w:t>
      </w:r>
      <w:r w:rsidR="002E7FED">
        <w:t xml:space="preserve">aged 40+ </w:t>
      </w:r>
      <w:r w:rsidR="00636B0C">
        <w:t xml:space="preserve"> </w:t>
      </w:r>
    </w:p>
    <w:p w14:paraId="7BFAE3FD" w14:textId="4E594CD9" w:rsidR="00D40C22" w:rsidRDefault="00A42A50" w:rsidP="005F2321">
      <w:pPr>
        <w:pStyle w:val="Body"/>
      </w:pPr>
      <w:r>
        <w:t xml:space="preserve">Workers aged 40+ encounter unique challenges that </w:t>
      </w:r>
      <w:r w:rsidR="003C1A81">
        <w:t>historically have led to reduced workforce participation</w:t>
      </w:r>
      <w:r w:rsidR="00500B89">
        <w:t xml:space="preserve"> and early retirement. In particular, </w:t>
      </w:r>
      <w:r w:rsidR="00DD3195">
        <w:t>ma</w:t>
      </w:r>
      <w:r w:rsidR="0049655B">
        <w:t>n</w:t>
      </w:r>
      <w:r w:rsidR="00DD3195">
        <w:t xml:space="preserve">y workers experience a ‘midlife collision’ of </w:t>
      </w:r>
      <w:r w:rsidR="00C25008">
        <w:t>caring responsibilities</w:t>
      </w:r>
      <w:r w:rsidR="003C1A81">
        <w:t xml:space="preserve"> </w:t>
      </w:r>
      <w:r w:rsidR="00C25008">
        <w:t>(</w:t>
      </w:r>
      <w:r w:rsidR="003C1A81">
        <w:t xml:space="preserve">including </w:t>
      </w:r>
      <w:r w:rsidR="001F06B4">
        <w:t>caring for elderly parents</w:t>
      </w:r>
      <w:r w:rsidR="00C25008">
        <w:t>), financial obligations</w:t>
      </w:r>
      <w:r w:rsidR="00C22544">
        <w:t xml:space="preserve"> and</w:t>
      </w:r>
      <w:r w:rsidR="00C25008">
        <w:t xml:space="preserve"> health issues, including</w:t>
      </w:r>
      <w:r w:rsidR="00C22544">
        <w:t xml:space="preserve"> </w:t>
      </w:r>
      <w:r w:rsidR="001F06B4">
        <w:t>managing symptoms of menopause</w:t>
      </w:r>
      <w:r w:rsidR="00C25008">
        <w:t xml:space="preserve"> (CARC 2024)</w:t>
      </w:r>
      <w:r w:rsidR="00C22544">
        <w:t>.</w:t>
      </w:r>
      <w:r w:rsidR="00CA6A11">
        <w:t xml:space="preserve"> Geographic</w:t>
      </w:r>
      <w:r w:rsidR="00AE6B81">
        <w:t>al</w:t>
      </w:r>
      <w:r w:rsidR="00CA6A11">
        <w:t xml:space="preserve"> </w:t>
      </w:r>
      <w:r w:rsidR="00843C2C">
        <w:t>flexibilit</w:t>
      </w:r>
      <w:r w:rsidR="001C76B1">
        <w:t>y can:</w:t>
      </w:r>
    </w:p>
    <w:p w14:paraId="71566175" w14:textId="2F36DBF8" w:rsidR="00D72036" w:rsidRDefault="00D72036" w:rsidP="00D72036">
      <w:pPr>
        <w:pStyle w:val="Bullet1"/>
      </w:pPr>
      <w:r>
        <w:rPr>
          <w:b/>
          <w:bCs/>
        </w:rPr>
        <w:t>Provide greater f</w:t>
      </w:r>
      <w:r w:rsidRPr="00D72036">
        <w:rPr>
          <w:b/>
          <w:bCs/>
        </w:rPr>
        <w:t>lexibility for</w:t>
      </w:r>
      <w:r w:rsidR="0049655B">
        <w:rPr>
          <w:b/>
          <w:bCs/>
        </w:rPr>
        <w:t xml:space="preserve"> the</w:t>
      </w:r>
      <w:r w:rsidRPr="00D72036">
        <w:rPr>
          <w:b/>
          <w:bCs/>
        </w:rPr>
        <w:t xml:space="preserve"> </w:t>
      </w:r>
      <w:r>
        <w:rPr>
          <w:b/>
          <w:bCs/>
        </w:rPr>
        <w:t>‘</w:t>
      </w:r>
      <w:r w:rsidRPr="00D72036">
        <w:rPr>
          <w:b/>
          <w:bCs/>
        </w:rPr>
        <w:t>sandwich generation</w:t>
      </w:r>
      <w:r>
        <w:rPr>
          <w:b/>
          <w:bCs/>
        </w:rPr>
        <w:t>’</w:t>
      </w:r>
      <w:r>
        <w:t>: Many</w:t>
      </w:r>
      <w:r w:rsidR="00AC08E5">
        <w:t xml:space="preserve"> midlife workers</w:t>
      </w:r>
      <w:r>
        <w:t xml:space="preserve"> find themselves in the </w:t>
      </w:r>
      <w:r w:rsidR="00991288">
        <w:t>‘</w:t>
      </w:r>
      <w:r>
        <w:t>sandwich generation</w:t>
      </w:r>
      <w:r w:rsidR="00991288">
        <w:t>’</w:t>
      </w:r>
      <w:r>
        <w:t>, caring for both aging parents and adult children</w:t>
      </w:r>
      <w:r w:rsidR="00991288">
        <w:t xml:space="preserve"> or </w:t>
      </w:r>
      <w:r>
        <w:t>grandchildren. Working from home provides the flexibility needed to manage these increasing care demands</w:t>
      </w:r>
      <w:r w:rsidR="00991288">
        <w:t xml:space="preserve"> (</w:t>
      </w:r>
      <w:r w:rsidR="00300C9F">
        <w:t>CARC 2024</w:t>
      </w:r>
      <w:r w:rsidR="00991288">
        <w:t>)</w:t>
      </w:r>
      <w:r>
        <w:t>.</w:t>
      </w:r>
    </w:p>
    <w:p w14:paraId="3AFCCFF2" w14:textId="47DC48AF" w:rsidR="005F2321" w:rsidRDefault="004442A0" w:rsidP="005F2321">
      <w:pPr>
        <w:pStyle w:val="Bullet1"/>
      </w:pPr>
      <w:r w:rsidRPr="009E4C4A">
        <w:rPr>
          <w:b/>
          <w:bCs/>
        </w:rPr>
        <w:t xml:space="preserve">Reduce stigma </w:t>
      </w:r>
      <w:r w:rsidR="009E4C4A" w:rsidRPr="009E4C4A">
        <w:rPr>
          <w:b/>
          <w:bCs/>
        </w:rPr>
        <w:t>related to menopause</w:t>
      </w:r>
      <w:r w:rsidR="009E4C4A">
        <w:t xml:space="preserve">: </w:t>
      </w:r>
      <w:r w:rsidR="005F2321">
        <w:t>Menopause symptoms (</w:t>
      </w:r>
      <w:r w:rsidR="0072007D">
        <w:t xml:space="preserve">such as </w:t>
      </w:r>
      <w:r w:rsidR="005F2321">
        <w:t>hot flashes, night sweats, brain fog, anxiety</w:t>
      </w:r>
      <w:r w:rsidR="0072007D">
        <w:t xml:space="preserve"> and </w:t>
      </w:r>
      <w:r w:rsidR="005F2321">
        <w:t xml:space="preserve">fatigue) can be </w:t>
      </w:r>
      <w:r w:rsidR="00C32B76">
        <w:t>uncomfortable</w:t>
      </w:r>
      <w:r w:rsidR="00B34CD1">
        <w:t xml:space="preserve"> and </w:t>
      </w:r>
      <w:r w:rsidR="005F2321">
        <w:t>disruptive in a public office setting</w:t>
      </w:r>
      <w:r w:rsidR="00B34CD1">
        <w:t>, impacting work performance</w:t>
      </w:r>
      <w:r w:rsidR="00756839">
        <w:t>, productivity and career trajectories</w:t>
      </w:r>
      <w:r w:rsidR="0072007D">
        <w:t xml:space="preserve"> (</w:t>
      </w:r>
      <w:r w:rsidR="00756839">
        <w:t>CARC 2024</w:t>
      </w:r>
      <w:r w:rsidR="0072007D">
        <w:t>)</w:t>
      </w:r>
      <w:r w:rsidR="005F2321">
        <w:t>.</w:t>
      </w:r>
      <w:r w:rsidR="0072007D">
        <w:t xml:space="preserve"> </w:t>
      </w:r>
      <w:r w:rsidR="00756839">
        <w:t xml:space="preserve">In fact, research confirms that </w:t>
      </w:r>
      <w:r w:rsidR="00B65679">
        <w:t>25% of</w:t>
      </w:r>
      <w:r w:rsidR="00756839">
        <w:t xml:space="preserve"> women</w:t>
      </w:r>
      <w:r w:rsidR="00C32B76">
        <w:t xml:space="preserve"> experience debilitating symptoms causing </w:t>
      </w:r>
      <w:r w:rsidR="00756839">
        <w:t xml:space="preserve">extended periods of leave </w:t>
      </w:r>
      <w:r w:rsidR="00C32B76">
        <w:t xml:space="preserve">or forcing early retirement </w:t>
      </w:r>
      <w:r w:rsidR="00756839">
        <w:t>(CARC 2024)</w:t>
      </w:r>
      <w:r w:rsidR="005F1756">
        <w:t>, with significant impacts for salary income and superannuation savings (AIST 2024</w:t>
      </w:r>
      <w:r w:rsidR="001D3B1B">
        <w:t xml:space="preserve">; </w:t>
      </w:r>
      <w:r w:rsidR="00F34B64">
        <w:t>CARC</w:t>
      </w:r>
      <w:r w:rsidR="001D3B1B">
        <w:t xml:space="preserve"> 2024</w:t>
      </w:r>
      <w:r w:rsidR="005F1756">
        <w:t>)</w:t>
      </w:r>
      <w:r w:rsidR="0072007D">
        <w:t>.</w:t>
      </w:r>
      <w:r w:rsidR="005F2321">
        <w:t xml:space="preserve"> Working from home allows </w:t>
      </w:r>
      <w:r w:rsidR="00326B09">
        <w:t>workers experiencing these symptoms</w:t>
      </w:r>
      <w:r w:rsidR="005F2321">
        <w:t xml:space="preserve"> greater privacy and comfort, adjusting their environment (e.g., temperature control, access to facilities) as needed without drawing attention.</w:t>
      </w:r>
      <w:r w:rsidR="0072007D">
        <w:t xml:space="preserve"> </w:t>
      </w:r>
      <w:r w:rsidR="000D2F2B">
        <w:t xml:space="preserve">This, in turn, </w:t>
      </w:r>
      <w:r w:rsidR="005F2321">
        <w:t xml:space="preserve">helps retain women at a critical stage in their careers when they often hold senior roles, preventing a potential </w:t>
      </w:r>
      <w:r w:rsidR="000D2F2B">
        <w:t>‘</w:t>
      </w:r>
      <w:r w:rsidR="005F2321">
        <w:t>menopause cliff</w:t>
      </w:r>
      <w:r w:rsidR="000D2F2B">
        <w:t>’</w:t>
      </w:r>
      <w:r w:rsidR="005F2321">
        <w:t xml:space="preserve"> in leadership and experience.</w:t>
      </w:r>
    </w:p>
    <w:p w14:paraId="07D593F1" w14:textId="1598B1F8" w:rsidR="00B523AF" w:rsidRDefault="00B523AF" w:rsidP="00B523AF">
      <w:pPr>
        <w:pStyle w:val="Bullet1"/>
      </w:pPr>
      <w:r w:rsidRPr="001C76B1">
        <w:rPr>
          <w:b/>
          <w:bCs/>
        </w:rPr>
        <w:t>Increase retention of experienced workers</w:t>
      </w:r>
      <w:r>
        <w:t>: Offering working from home options is a powerful tool for retaining experienced workers who might otherwise exit the workforce due to the rigours of commuting and office life (which may be exacerbated due to the experience of age-related mobility challenges, chronic conditions, or fatigue), thus preventing the loss of valuable institutional knowledge and skills.</w:t>
      </w:r>
    </w:p>
    <w:p w14:paraId="60CFF7E6" w14:textId="20A3EE0A" w:rsidR="00EE5426" w:rsidRDefault="001D677F" w:rsidP="00EE5426">
      <w:pPr>
        <w:pStyle w:val="Heading4"/>
      </w:pPr>
      <w:r>
        <w:t>First Nations workers</w:t>
      </w:r>
    </w:p>
    <w:p w14:paraId="5E65C97D" w14:textId="3AFC55FF" w:rsidR="00F043E8" w:rsidRDefault="00E51C9C" w:rsidP="00D76E84">
      <w:pPr>
        <w:pStyle w:val="Body"/>
      </w:pPr>
      <w:r>
        <w:t xml:space="preserve">According to the most recent </w:t>
      </w:r>
      <w:r w:rsidR="008A31D8">
        <w:t xml:space="preserve">National </w:t>
      </w:r>
      <w:r w:rsidR="00EE1EB0">
        <w:t>Aboriginal and Torres Strait Islander Social Survey</w:t>
      </w:r>
      <w:r w:rsidR="008A31D8">
        <w:t xml:space="preserve"> (NATSISS)</w:t>
      </w:r>
      <w:r w:rsidR="00EE1EB0">
        <w:t xml:space="preserve"> (conducted in 2014-15), 51% of Aboriginal and Torres Strait Islander in Victoria were employed, and of these, 57% were employed full-time (Barga</w:t>
      </w:r>
      <w:r w:rsidR="00425677">
        <w:t xml:space="preserve">llie et al. </w:t>
      </w:r>
      <w:r w:rsidR="00E91D23">
        <w:t>2023</w:t>
      </w:r>
      <w:r w:rsidR="00EE1EB0">
        <w:t>).</w:t>
      </w:r>
      <w:r w:rsidR="00D76E84" w:rsidRPr="00D76E84">
        <w:t xml:space="preserve"> </w:t>
      </w:r>
      <w:r w:rsidR="00D76E84">
        <w:t xml:space="preserve">Males (39%) were around twice as likely to be in full-time </w:t>
      </w:r>
      <w:r w:rsidR="00D76E84">
        <w:lastRenderedPageBreak/>
        <w:t xml:space="preserve">employment as females (19%). </w:t>
      </w:r>
      <w:r w:rsidR="00DA7CEC">
        <w:t xml:space="preserve">Research </w:t>
      </w:r>
      <w:r w:rsidR="00E0696F">
        <w:t>suggests</w:t>
      </w:r>
      <w:r w:rsidR="00DA7CEC">
        <w:t xml:space="preserve"> that geographic flexibility </w:t>
      </w:r>
      <w:r w:rsidR="00333FB5">
        <w:t>may play</w:t>
      </w:r>
      <w:r w:rsidR="004D2EA0">
        <w:t xml:space="preserve"> a part in closing this </w:t>
      </w:r>
      <w:r w:rsidR="00150F4B">
        <w:t>workforce</w:t>
      </w:r>
      <w:r w:rsidR="004D2EA0">
        <w:t xml:space="preserve"> participation gap by:</w:t>
      </w:r>
    </w:p>
    <w:p w14:paraId="24C918F0" w14:textId="7272D169" w:rsidR="00E51C9C" w:rsidRDefault="007A51A5" w:rsidP="00EE1EB0">
      <w:pPr>
        <w:pStyle w:val="Bullet1"/>
      </w:pPr>
      <w:r w:rsidRPr="00E0696F">
        <w:rPr>
          <w:b/>
          <w:bCs/>
        </w:rPr>
        <w:t xml:space="preserve">Increasing recruitment opportunities for </w:t>
      </w:r>
      <w:r w:rsidR="00611851" w:rsidRPr="00E0696F">
        <w:rPr>
          <w:b/>
          <w:bCs/>
        </w:rPr>
        <w:t>people living in regional and rural areas</w:t>
      </w:r>
      <w:r w:rsidR="00611851">
        <w:t>:</w:t>
      </w:r>
      <w:r w:rsidR="00FE4487">
        <w:t xml:space="preserve"> First Nations people are more likely to be living in remote areas of Australia than non-Indigenous Australians (Gray et al. 2012).</w:t>
      </w:r>
      <w:r w:rsidR="00245532">
        <w:t xml:space="preserve"> </w:t>
      </w:r>
      <w:r w:rsidR="00017AFE">
        <w:t xml:space="preserve">A recent study of </w:t>
      </w:r>
      <w:r w:rsidR="003735C7">
        <w:t>the experiences of Aboriginal women working in the Victorian Public Service undertaken for my office</w:t>
      </w:r>
      <w:r w:rsidR="00BC1BC6">
        <w:t xml:space="preserve"> found </w:t>
      </w:r>
      <w:r w:rsidR="002F226F">
        <w:t>t</w:t>
      </w:r>
      <w:r w:rsidR="00BC1BC6">
        <w:t xml:space="preserve">hat </w:t>
      </w:r>
      <w:r w:rsidR="00067BF6">
        <w:t xml:space="preserve">a key barrier to recruitment and promotion </w:t>
      </w:r>
      <w:r w:rsidR="00C30AE9">
        <w:t>included the primary location of roles offered being limited to the Melbourne metropolitan region and larger towns</w:t>
      </w:r>
      <w:r w:rsidR="00245532">
        <w:t>, ‘with little consideration for flexible work location arrangements’</w:t>
      </w:r>
      <w:r w:rsidR="00260675">
        <w:t xml:space="preserve"> </w:t>
      </w:r>
      <w:r w:rsidR="00245532">
        <w:t>(Bargallie et al. 2023: 23). Th</w:t>
      </w:r>
      <w:r w:rsidR="00476498">
        <w:t>is</w:t>
      </w:r>
      <w:r w:rsidR="00245532">
        <w:t xml:space="preserve"> report </w:t>
      </w:r>
      <w:r w:rsidR="003735C7">
        <w:t xml:space="preserve">recommended that </w:t>
      </w:r>
      <w:r w:rsidR="00623243">
        <w:t>employers create better access to employment by identifying options for hybridity in work locations (Bargallie et al. 2023).</w:t>
      </w:r>
    </w:p>
    <w:p w14:paraId="5376210E" w14:textId="008588C6" w:rsidR="00245532" w:rsidRDefault="00AE1C05" w:rsidP="00EE1EB0">
      <w:pPr>
        <w:pStyle w:val="Bullet1"/>
      </w:pPr>
      <w:r>
        <w:rPr>
          <w:b/>
          <w:bCs/>
        </w:rPr>
        <w:t>Accommodating disproportionate caring responsibilities</w:t>
      </w:r>
      <w:r w:rsidR="00AC38BA" w:rsidRPr="00AC38BA">
        <w:t>:</w:t>
      </w:r>
      <w:r w:rsidR="00AC38BA">
        <w:t xml:space="preserve"> First Nations women undertake 11.5 hours per day caring for others and/or caring for Country and culture,</w:t>
      </w:r>
      <w:r w:rsidR="008D6E3A">
        <w:t xml:space="preserve"> with such unpaid care work valued deeply</w:t>
      </w:r>
      <w:r w:rsidR="003D47F5">
        <w:t xml:space="preserve"> (PM&amp;C 2025</w:t>
      </w:r>
      <w:r w:rsidR="002F2382">
        <w:t>; Bargallie et al. 2023</w:t>
      </w:r>
      <w:r w:rsidR="003D47F5">
        <w:t>)</w:t>
      </w:r>
      <w:r w:rsidR="008D6E3A">
        <w:t>.</w:t>
      </w:r>
      <w:r w:rsidR="000914B7">
        <w:t xml:space="preserve"> </w:t>
      </w:r>
      <w:r w:rsidR="008D6E3A">
        <w:t xml:space="preserve"> </w:t>
      </w:r>
      <w:r w:rsidR="000914B7">
        <w:t xml:space="preserve">Research shows that </w:t>
      </w:r>
      <w:r w:rsidR="002F2382">
        <w:t>offering geographical flexibility</w:t>
      </w:r>
      <w:r w:rsidR="001932D7">
        <w:t xml:space="preserve"> can </w:t>
      </w:r>
      <w:r w:rsidR="00C67B9B">
        <w:t xml:space="preserve">increase Indigenous employment by better accommodating these family and community obligations </w:t>
      </w:r>
      <w:r w:rsidR="002F2382">
        <w:t>(Eva et al 2023</w:t>
      </w:r>
      <w:r w:rsidR="00C67B9B">
        <w:t>; Gray et al. 2012</w:t>
      </w:r>
      <w:r w:rsidR="002F2382">
        <w:t>)</w:t>
      </w:r>
      <w:r w:rsidR="00E63795">
        <w:t>.</w:t>
      </w:r>
    </w:p>
    <w:p w14:paraId="28D43CE7" w14:textId="111FF9F9" w:rsidR="00245532" w:rsidRDefault="00A23BE7" w:rsidP="00EE1EB0">
      <w:pPr>
        <w:pStyle w:val="Bullet1"/>
      </w:pPr>
      <w:r>
        <w:rPr>
          <w:b/>
          <w:bCs/>
        </w:rPr>
        <w:t>Accom</w:t>
      </w:r>
      <w:r w:rsidR="00DA6AC7">
        <w:rPr>
          <w:b/>
          <w:bCs/>
        </w:rPr>
        <w:t xml:space="preserve">modating disproportionate rates of ill-health and disability: </w:t>
      </w:r>
      <w:r w:rsidR="008A31D8">
        <w:t xml:space="preserve">Research based on </w:t>
      </w:r>
      <w:r w:rsidR="001420CF">
        <w:t>NATSISS</w:t>
      </w:r>
      <w:r w:rsidR="00CC05BE">
        <w:t xml:space="preserve"> data</w:t>
      </w:r>
      <w:r w:rsidR="001420CF">
        <w:t xml:space="preserve"> ha</w:t>
      </w:r>
      <w:r w:rsidR="00CC05BE">
        <w:t>s</w:t>
      </w:r>
      <w:r w:rsidR="001420CF">
        <w:t xml:space="preserve"> consistently found a negative relationship between</w:t>
      </w:r>
      <w:r w:rsidR="00104CBD">
        <w:t xml:space="preserve"> health and employment for First Nations people (</w:t>
      </w:r>
      <w:r w:rsidR="00CC05BE">
        <w:t xml:space="preserve">Borland </w:t>
      </w:r>
      <w:r w:rsidR="00E63795">
        <w:t>and</w:t>
      </w:r>
      <w:r w:rsidR="00CC05BE">
        <w:t xml:space="preserve"> Hunter 2000; Hunter </w:t>
      </w:r>
      <w:r w:rsidR="00E63795">
        <w:t>and</w:t>
      </w:r>
      <w:r w:rsidR="00CC05BE">
        <w:t xml:space="preserve"> Gray 2001; Ross 2006; Biddle </w:t>
      </w:r>
      <w:r w:rsidR="00E63795">
        <w:t>and</w:t>
      </w:r>
      <w:r w:rsidR="00CC05BE">
        <w:t xml:space="preserve"> Yap 2010; Stephens 2010</w:t>
      </w:r>
      <w:r w:rsidR="00104CBD">
        <w:t xml:space="preserve">): that is, </w:t>
      </w:r>
      <w:r w:rsidR="00CC05BE">
        <w:t xml:space="preserve">the higher rates of illness and disability </w:t>
      </w:r>
      <w:r w:rsidR="00B63E0D">
        <w:t xml:space="preserve">amongst First Nations people compared to non-Indigenous Australians </w:t>
      </w:r>
      <w:r w:rsidR="002C7FDD">
        <w:t xml:space="preserve">is an important factor in explaining the lower workforce participation rate of First Nations people </w:t>
      </w:r>
      <w:r w:rsidR="00A126F9">
        <w:t>(Gray et</w:t>
      </w:r>
      <w:r w:rsidR="00260675">
        <w:t xml:space="preserve"> </w:t>
      </w:r>
      <w:r w:rsidR="00A126F9">
        <w:t xml:space="preserve">al. 2012). As discussed above, geographical flexibility </w:t>
      </w:r>
      <w:r w:rsidR="00260675">
        <w:t xml:space="preserve">enhances workforce participation </w:t>
      </w:r>
      <w:r w:rsidR="00DF0E2C">
        <w:t>for</w:t>
      </w:r>
      <w:r w:rsidR="00260675">
        <w:t xml:space="preserve"> people with disabilities by reducing the barriers presented by the </w:t>
      </w:r>
      <w:r w:rsidR="002535F3">
        <w:t>physical workplace (including environmental factors such as noise and temperature), allowing individuals the flexibility required to manage their health conditions and create their tailored work environment</w:t>
      </w:r>
      <w:r w:rsidR="00DF0E2C">
        <w:t>,</w:t>
      </w:r>
      <w:r w:rsidR="00260675">
        <w:t xml:space="preserve"> </w:t>
      </w:r>
      <w:r w:rsidR="002535F3">
        <w:t>and reducing instances of bias and discrimination.</w:t>
      </w:r>
    </w:p>
    <w:p w14:paraId="5CF02602" w14:textId="77777777" w:rsidR="00444776" w:rsidRDefault="00444776" w:rsidP="00AE3E66"/>
    <w:tbl>
      <w:tblPr>
        <w:tblStyle w:val="CGEPStable"/>
        <w:tblW w:w="0" w:type="auto"/>
        <w:tblBorders>
          <w:bottom w:val="none" w:sz="0" w:space="0" w:color="auto"/>
          <w:insideH w:val="none" w:sz="0" w:space="0" w:color="auto"/>
          <w:insideV w:val="none" w:sz="0" w:space="0" w:color="auto"/>
        </w:tblBorders>
        <w:shd w:val="clear" w:color="auto" w:fill="E5DFEC" w:themeFill="accent4" w:themeFillTint="33"/>
        <w:tblLook w:val="04A0" w:firstRow="1" w:lastRow="0" w:firstColumn="1" w:lastColumn="0" w:noHBand="0" w:noVBand="1"/>
      </w:tblPr>
      <w:tblGrid>
        <w:gridCol w:w="10194"/>
      </w:tblGrid>
      <w:tr w:rsidR="00CA7B45" w:rsidRPr="00CA7B45" w14:paraId="41FFF804" w14:textId="77777777" w:rsidTr="003C5AA2">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E5DFEC" w:themeFill="accent4" w:themeFillTint="33"/>
          </w:tcPr>
          <w:p w14:paraId="1EED9697" w14:textId="70EFB6CB" w:rsidR="00CA7B45" w:rsidRPr="00CA7B45" w:rsidRDefault="00CA7B45" w:rsidP="00CA7B45">
            <w:pPr>
              <w:pStyle w:val="Tablecolhead"/>
            </w:pPr>
            <w:r w:rsidRPr="00CA7B45">
              <w:t xml:space="preserve">Recommendation </w:t>
            </w:r>
            <w:r w:rsidR="007E7911">
              <w:t>5</w:t>
            </w:r>
          </w:p>
          <w:p w14:paraId="6C13BFF2" w14:textId="6C16A074" w:rsidR="00CA7B45" w:rsidRDefault="00CA7B45" w:rsidP="0045215B">
            <w:r w:rsidRPr="00CA7B45">
              <w:t xml:space="preserve">I recommend that the </w:t>
            </w:r>
            <w:r w:rsidR="0049321A">
              <w:t>department</w:t>
            </w:r>
            <w:r w:rsidRPr="00CA7B45">
              <w:t xml:space="preserve"> </w:t>
            </w:r>
            <w:r w:rsidR="0045215B">
              <w:t>embed the concept of compounded inequality within the proposed legislation, for example, by including an express acknowledgment that</w:t>
            </w:r>
            <w:r w:rsidR="0045215B" w:rsidRPr="00935B47">
              <w:t xml:space="preserve"> traditional workplace </w:t>
            </w:r>
            <w:r w:rsidR="0045215B">
              <w:t>locations</w:t>
            </w:r>
            <w:r w:rsidR="0045215B" w:rsidRPr="00935B47">
              <w:t xml:space="preserve"> and </w:t>
            </w:r>
            <w:r w:rsidR="0045215B">
              <w:t>arrangements</w:t>
            </w:r>
            <w:r w:rsidR="0045215B" w:rsidRPr="00935B47">
              <w:t xml:space="preserve"> present unique barriers</w:t>
            </w:r>
            <w:r w:rsidR="0045215B">
              <w:t xml:space="preserve"> for individuals that experience </w:t>
            </w:r>
            <w:r w:rsidR="00762DFF">
              <w:t xml:space="preserve">compounded inequality due to </w:t>
            </w:r>
            <w:r w:rsidR="00455548">
              <w:t>their Aboriginality, age, disability, ethnicity, gender identity, race</w:t>
            </w:r>
            <w:r w:rsidR="007C6D80">
              <w:t xml:space="preserve">, religion, sexual orientation and other attributes. </w:t>
            </w:r>
          </w:p>
          <w:p w14:paraId="683BD193" w14:textId="5BB92D8F" w:rsidR="002D7E19" w:rsidRDefault="002D7E19" w:rsidP="002D7E19">
            <w:pPr>
              <w:pStyle w:val="Tablecolhead"/>
            </w:pPr>
            <w:r>
              <w:t xml:space="preserve">Recommendation </w:t>
            </w:r>
            <w:r w:rsidR="007E7911">
              <w:t>6</w:t>
            </w:r>
          </w:p>
          <w:p w14:paraId="225F6DB2" w14:textId="6911E19C" w:rsidR="002D7E19" w:rsidRPr="00CA7B45" w:rsidRDefault="002D7E19" w:rsidP="002D7E19">
            <w:pPr>
              <w:pStyle w:val="Bullet1"/>
              <w:numPr>
                <w:ilvl w:val="0"/>
                <w:numId w:val="0"/>
              </w:numPr>
            </w:pPr>
            <w:r>
              <w:t xml:space="preserve">I recommend that the </w:t>
            </w:r>
            <w:r w:rsidR="0049321A">
              <w:t>department</w:t>
            </w:r>
            <w:r>
              <w:t xml:space="preserve"> </w:t>
            </w:r>
            <w:r w:rsidRPr="008B05BF">
              <w:t>undertake specific consultation with academics, advocacy groups and individuals with lived experience of</w:t>
            </w:r>
            <w:r>
              <w:t xml:space="preserve"> compounded inequality </w:t>
            </w:r>
            <w:r w:rsidRPr="002D7E19">
              <w:t>due to their Aboriginality, age, disability, ethnicity, gender identity, race, religion, sexual orientation and other attributes</w:t>
            </w:r>
            <w:r>
              <w:t>, to gain a comprehensive understanding of the potential impacts of the proposed legislation.</w:t>
            </w:r>
          </w:p>
        </w:tc>
      </w:tr>
    </w:tbl>
    <w:p w14:paraId="044E0C24" w14:textId="287177D4" w:rsidR="00444776" w:rsidRDefault="00444776" w:rsidP="00AE3E66"/>
    <w:p w14:paraId="771DE8C7" w14:textId="4BCE011B" w:rsidR="00AE4DC0" w:rsidRDefault="00AE4DC0" w:rsidP="00444776">
      <w:pPr>
        <w:pStyle w:val="Heading1"/>
        <w:sectPr w:rsidR="00AE4DC0" w:rsidSect="00593A99">
          <w:type w:val="continuous"/>
          <w:pgSz w:w="11906" w:h="16838" w:code="9"/>
          <w:pgMar w:top="1418" w:right="851" w:bottom="851" w:left="851" w:header="680" w:footer="567" w:gutter="0"/>
          <w:cols w:space="340"/>
          <w:docGrid w:linePitch="360"/>
        </w:sectPr>
      </w:pPr>
    </w:p>
    <w:p w14:paraId="4318A32B" w14:textId="27EBFF27" w:rsidR="00AE3E66" w:rsidRDefault="00444776" w:rsidP="00444776">
      <w:pPr>
        <w:pStyle w:val="Heading1"/>
      </w:pPr>
      <w:bookmarkStart w:id="8" w:name="_Toc209517820"/>
      <w:r>
        <w:lastRenderedPageBreak/>
        <w:t>References</w:t>
      </w:r>
      <w:bookmarkEnd w:id="8"/>
    </w:p>
    <w:p w14:paraId="3D04FF3D" w14:textId="4593E856" w:rsidR="008E6BBF" w:rsidRDefault="008E6BBF" w:rsidP="00876F56">
      <w:pPr>
        <w:spacing w:before="120"/>
        <w:rPr>
          <w:rFonts w:cs="Arial"/>
          <w:szCs w:val="21"/>
        </w:rPr>
      </w:pPr>
      <w:r>
        <w:rPr>
          <w:rFonts w:cs="Arial"/>
          <w:szCs w:val="21"/>
        </w:rPr>
        <w:t xml:space="preserve">ABS </w:t>
      </w:r>
      <w:r w:rsidR="00734687" w:rsidRPr="00734687">
        <w:rPr>
          <w:rFonts w:cs="Arial"/>
          <w:szCs w:val="21"/>
        </w:rPr>
        <w:t xml:space="preserve">(Australian Bureau of Statistics) (2019) </w:t>
      </w:r>
      <w:hyperlink r:id="rId17" w:history="1">
        <w:r w:rsidR="00734687" w:rsidRPr="000D70E7">
          <w:rPr>
            <w:rStyle w:val="Hyperlink"/>
            <w:rFonts w:cs="Arial"/>
            <w:szCs w:val="21"/>
          </w:rPr>
          <w:t>Disability, Ageing and Carers, Australia: Summary of Findings</w:t>
        </w:r>
      </w:hyperlink>
      <w:r w:rsidR="00734687" w:rsidRPr="00734687">
        <w:rPr>
          <w:rFonts w:cs="Arial"/>
          <w:szCs w:val="21"/>
        </w:rPr>
        <w:t xml:space="preserve">, </w:t>
      </w:r>
      <w:r w:rsidR="00734687">
        <w:rPr>
          <w:rFonts w:cs="Arial"/>
          <w:szCs w:val="21"/>
        </w:rPr>
        <w:t>ABS Website.</w:t>
      </w:r>
    </w:p>
    <w:p w14:paraId="5EECCB0E" w14:textId="3A8B458A" w:rsidR="00ED085E" w:rsidRDefault="00ED085E" w:rsidP="00876F56">
      <w:pPr>
        <w:spacing w:before="120"/>
        <w:rPr>
          <w:rFonts w:cs="Arial"/>
          <w:szCs w:val="21"/>
        </w:rPr>
      </w:pPr>
      <w:r>
        <w:rPr>
          <w:rFonts w:cs="Arial"/>
          <w:szCs w:val="21"/>
        </w:rPr>
        <w:t xml:space="preserve">ABS (2025) </w:t>
      </w:r>
      <w:hyperlink r:id="rId18" w:history="1">
        <w:r w:rsidRPr="004E068E">
          <w:rPr>
            <w:rStyle w:val="Hyperlink"/>
            <w:rFonts w:cs="Arial"/>
            <w:szCs w:val="21"/>
          </w:rPr>
          <w:t>Labour Force, Australia Detailed</w:t>
        </w:r>
      </w:hyperlink>
      <w:r>
        <w:rPr>
          <w:rFonts w:cs="Arial"/>
          <w:szCs w:val="21"/>
        </w:rPr>
        <w:t>, ABS Website.</w:t>
      </w:r>
    </w:p>
    <w:p w14:paraId="7A49A657" w14:textId="7B1A5A3E" w:rsidR="001613F5" w:rsidRPr="004165D1" w:rsidRDefault="001613F5" w:rsidP="00876F56">
      <w:pPr>
        <w:spacing w:before="120"/>
        <w:rPr>
          <w:rFonts w:cs="Arial"/>
          <w:szCs w:val="21"/>
        </w:rPr>
      </w:pPr>
      <w:r w:rsidRPr="004165D1">
        <w:rPr>
          <w:rFonts w:cs="Arial"/>
          <w:szCs w:val="21"/>
        </w:rPr>
        <w:t xml:space="preserve">AIHW (Australian Institute of Health and Welfare) (2023) </w:t>
      </w:r>
      <w:hyperlink r:id="rId19" w:history="1">
        <w:r w:rsidRPr="004165D1">
          <w:rPr>
            <w:rStyle w:val="Hyperlink"/>
            <w:rFonts w:cs="Arial"/>
            <w:szCs w:val="21"/>
          </w:rPr>
          <w:t>Changing patterns of work</w:t>
        </w:r>
      </w:hyperlink>
      <w:r w:rsidRPr="004165D1">
        <w:rPr>
          <w:rFonts w:cs="Arial"/>
          <w:szCs w:val="21"/>
        </w:rPr>
        <w:t>, Wepage, AIHW, Australian Government, Canberra.</w:t>
      </w:r>
    </w:p>
    <w:p w14:paraId="3E9E4AC1" w14:textId="3C2A8D40" w:rsidR="00A24B4D" w:rsidRDefault="00A24B4D" w:rsidP="00876F56">
      <w:pPr>
        <w:spacing w:before="120"/>
        <w:rPr>
          <w:rFonts w:cs="Arial"/>
          <w:szCs w:val="21"/>
        </w:rPr>
      </w:pPr>
      <w:r w:rsidRPr="004165D1">
        <w:rPr>
          <w:rFonts w:cs="Arial"/>
          <w:szCs w:val="21"/>
        </w:rPr>
        <w:t>AIST (</w:t>
      </w:r>
      <w:r w:rsidR="00753ACA" w:rsidRPr="004165D1">
        <w:rPr>
          <w:rFonts w:cs="Arial"/>
          <w:szCs w:val="21"/>
        </w:rPr>
        <w:t xml:space="preserve">Australian Institute of Superannuation Trustees) (2024) </w:t>
      </w:r>
      <w:hyperlink r:id="rId20" w:history="1">
        <w:r w:rsidR="00753ACA" w:rsidRPr="004165D1">
          <w:rPr>
            <w:rStyle w:val="Hyperlink"/>
            <w:rFonts w:cs="Arial"/>
            <w:szCs w:val="21"/>
          </w:rPr>
          <w:t>Measuring what matters: Understanding our economy and society while informing policy making</w:t>
        </w:r>
      </w:hyperlink>
      <w:r w:rsidR="00753ACA" w:rsidRPr="004165D1">
        <w:rPr>
          <w:rFonts w:cs="Arial"/>
          <w:szCs w:val="21"/>
        </w:rPr>
        <w:t xml:space="preserve">, </w:t>
      </w:r>
      <w:r w:rsidR="001B4ED3" w:rsidRPr="004165D1">
        <w:rPr>
          <w:rFonts w:cs="Arial"/>
          <w:szCs w:val="21"/>
        </w:rPr>
        <w:t>AIST.</w:t>
      </w:r>
    </w:p>
    <w:p w14:paraId="6A211B6B" w14:textId="2D0B9E0B" w:rsidR="00983307" w:rsidRPr="004165D1" w:rsidRDefault="00983307" w:rsidP="00983307">
      <w:pPr>
        <w:spacing w:before="120"/>
        <w:rPr>
          <w:rFonts w:cs="Arial"/>
          <w:szCs w:val="21"/>
        </w:rPr>
      </w:pPr>
      <w:r w:rsidRPr="00983307">
        <w:rPr>
          <w:rFonts w:cs="Arial"/>
          <w:szCs w:val="21"/>
        </w:rPr>
        <w:t>Biddle</w:t>
      </w:r>
      <w:r>
        <w:rPr>
          <w:rFonts w:cs="Arial"/>
          <w:szCs w:val="21"/>
        </w:rPr>
        <w:t>,</w:t>
      </w:r>
      <w:r w:rsidRPr="00983307">
        <w:rPr>
          <w:rFonts w:cs="Arial"/>
          <w:szCs w:val="21"/>
        </w:rPr>
        <w:t xml:space="preserve"> N </w:t>
      </w:r>
      <w:r>
        <w:rPr>
          <w:rFonts w:cs="Arial"/>
          <w:szCs w:val="21"/>
        </w:rPr>
        <w:t>and</w:t>
      </w:r>
      <w:r w:rsidRPr="00983307">
        <w:rPr>
          <w:rFonts w:cs="Arial"/>
          <w:szCs w:val="21"/>
        </w:rPr>
        <w:t xml:space="preserve"> Yap</w:t>
      </w:r>
      <w:r>
        <w:rPr>
          <w:rFonts w:cs="Arial"/>
          <w:szCs w:val="21"/>
        </w:rPr>
        <w:t>,</w:t>
      </w:r>
      <w:r w:rsidRPr="00983307">
        <w:rPr>
          <w:rFonts w:cs="Arial"/>
          <w:szCs w:val="21"/>
        </w:rPr>
        <w:t xml:space="preserve"> M </w:t>
      </w:r>
      <w:r>
        <w:rPr>
          <w:rFonts w:cs="Arial"/>
          <w:szCs w:val="21"/>
        </w:rPr>
        <w:t>(</w:t>
      </w:r>
      <w:r w:rsidRPr="00983307">
        <w:rPr>
          <w:rFonts w:cs="Arial"/>
          <w:szCs w:val="21"/>
        </w:rPr>
        <w:t>2010</w:t>
      </w:r>
      <w:r>
        <w:rPr>
          <w:rFonts w:cs="Arial"/>
          <w:szCs w:val="21"/>
        </w:rPr>
        <w:t>)</w:t>
      </w:r>
      <w:r w:rsidRPr="00983307">
        <w:rPr>
          <w:rFonts w:cs="Arial"/>
          <w:szCs w:val="21"/>
        </w:rPr>
        <w:t xml:space="preserve"> Demographic and socioeconomic outcomes across the Indigenous lifecourse: </w:t>
      </w:r>
      <w:r>
        <w:rPr>
          <w:rFonts w:cs="Arial"/>
          <w:szCs w:val="21"/>
        </w:rPr>
        <w:t>E</w:t>
      </w:r>
      <w:r w:rsidRPr="00983307">
        <w:rPr>
          <w:rFonts w:cs="Arial"/>
          <w:szCs w:val="21"/>
        </w:rPr>
        <w:t>vidence from the 2006 Census</w:t>
      </w:r>
      <w:r>
        <w:rPr>
          <w:rFonts w:cs="Arial"/>
          <w:szCs w:val="21"/>
        </w:rPr>
        <w:t xml:space="preserve">, ANU E-Press, </w:t>
      </w:r>
      <w:r w:rsidRPr="00983307">
        <w:rPr>
          <w:rFonts w:cs="Arial"/>
          <w:szCs w:val="21"/>
        </w:rPr>
        <w:t>Canberra</w:t>
      </w:r>
      <w:r>
        <w:rPr>
          <w:rFonts w:cs="Arial"/>
          <w:szCs w:val="21"/>
        </w:rPr>
        <w:t>.</w:t>
      </w:r>
    </w:p>
    <w:p w14:paraId="2ACCA3D5" w14:textId="12502E95" w:rsidR="00C9238F" w:rsidRDefault="00C9238F" w:rsidP="00876F56">
      <w:pPr>
        <w:spacing w:before="120"/>
        <w:rPr>
          <w:rFonts w:cs="Arial"/>
          <w:szCs w:val="21"/>
        </w:rPr>
      </w:pPr>
      <w:r w:rsidRPr="004165D1">
        <w:rPr>
          <w:rFonts w:cs="Arial"/>
          <w:szCs w:val="21"/>
        </w:rPr>
        <w:t xml:space="preserve">Bliss, L and Glassman, M (2024) </w:t>
      </w:r>
      <w:hyperlink r:id="rId21" w:history="1">
        <w:r w:rsidR="002448D2" w:rsidRPr="004165D1">
          <w:rPr>
            <w:rStyle w:val="Hyperlink"/>
            <w:rFonts w:cs="Arial"/>
            <w:szCs w:val="21"/>
          </w:rPr>
          <w:t>Remote Work Is a Lasting Boon for People With Disabilities</w:t>
        </w:r>
      </w:hyperlink>
      <w:r w:rsidR="002448D2" w:rsidRPr="004165D1">
        <w:rPr>
          <w:rFonts w:cs="Arial"/>
          <w:szCs w:val="21"/>
        </w:rPr>
        <w:t xml:space="preserve">, Daily Labor Report, Bloomberg Law. </w:t>
      </w:r>
    </w:p>
    <w:p w14:paraId="58921492" w14:textId="47799569" w:rsidR="00F92B40" w:rsidRDefault="00F92B40" w:rsidP="00876F56">
      <w:pPr>
        <w:spacing w:before="120"/>
        <w:rPr>
          <w:rFonts w:cs="Arial"/>
          <w:szCs w:val="21"/>
        </w:rPr>
      </w:pPr>
      <w:r w:rsidRPr="00F92B40">
        <w:rPr>
          <w:rFonts w:cs="Arial"/>
          <w:szCs w:val="21"/>
        </w:rPr>
        <w:t>Bloom</w:t>
      </w:r>
      <w:r>
        <w:rPr>
          <w:rFonts w:cs="Arial"/>
          <w:szCs w:val="21"/>
        </w:rPr>
        <w:t>,</w:t>
      </w:r>
      <w:r w:rsidRPr="00F92B40">
        <w:rPr>
          <w:rFonts w:cs="Arial"/>
          <w:szCs w:val="21"/>
        </w:rPr>
        <w:t xml:space="preserve"> N, Han</w:t>
      </w:r>
      <w:r>
        <w:rPr>
          <w:rFonts w:cs="Arial"/>
          <w:szCs w:val="21"/>
        </w:rPr>
        <w:t>,</w:t>
      </w:r>
      <w:r w:rsidRPr="00F92B40">
        <w:rPr>
          <w:rFonts w:cs="Arial"/>
          <w:szCs w:val="21"/>
        </w:rPr>
        <w:t xml:space="preserve"> R and Liang</w:t>
      </w:r>
      <w:r>
        <w:rPr>
          <w:rFonts w:cs="Arial"/>
          <w:szCs w:val="21"/>
        </w:rPr>
        <w:t>,</w:t>
      </w:r>
      <w:r w:rsidRPr="00F92B40">
        <w:rPr>
          <w:rFonts w:cs="Arial"/>
          <w:szCs w:val="21"/>
        </w:rPr>
        <w:t xml:space="preserve"> J (2023) How hybrid working from home works out- external site opens in new window, National Bureau of Economic Research working paper series, National Bureau of Economic Research</w:t>
      </w:r>
      <w:r>
        <w:rPr>
          <w:rFonts w:cs="Arial"/>
          <w:szCs w:val="21"/>
        </w:rPr>
        <w:t>.</w:t>
      </w:r>
    </w:p>
    <w:p w14:paraId="0C2BABD3" w14:textId="6CCD69FC" w:rsidR="006B4B88" w:rsidRDefault="006B4B88" w:rsidP="006B4B88">
      <w:pPr>
        <w:spacing w:before="120"/>
        <w:rPr>
          <w:rFonts w:cs="Arial"/>
          <w:szCs w:val="21"/>
        </w:rPr>
      </w:pPr>
      <w:r w:rsidRPr="006B4B88">
        <w:rPr>
          <w:rFonts w:cs="Arial"/>
          <w:szCs w:val="21"/>
        </w:rPr>
        <w:t>Borland</w:t>
      </w:r>
      <w:r>
        <w:rPr>
          <w:rFonts w:cs="Arial"/>
          <w:szCs w:val="21"/>
        </w:rPr>
        <w:t>,</w:t>
      </w:r>
      <w:r w:rsidRPr="006B4B88">
        <w:rPr>
          <w:rFonts w:cs="Arial"/>
          <w:szCs w:val="21"/>
        </w:rPr>
        <w:t xml:space="preserve"> J</w:t>
      </w:r>
      <w:r>
        <w:rPr>
          <w:rFonts w:cs="Arial"/>
          <w:szCs w:val="21"/>
        </w:rPr>
        <w:t>, and</w:t>
      </w:r>
      <w:r w:rsidRPr="006B4B88">
        <w:rPr>
          <w:rFonts w:cs="Arial"/>
          <w:szCs w:val="21"/>
        </w:rPr>
        <w:t xml:space="preserve"> Hunter</w:t>
      </w:r>
      <w:r>
        <w:rPr>
          <w:rFonts w:cs="Arial"/>
          <w:szCs w:val="21"/>
        </w:rPr>
        <w:t>,</w:t>
      </w:r>
      <w:r w:rsidRPr="006B4B88">
        <w:rPr>
          <w:rFonts w:cs="Arial"/>
          <w:szCs w:val="21"/>
        </w:rPr>
        <w:t xml:space="preserve"> B </w:t>
      </w:r>
      <w:r>
        <w:rPr>
          <w:rFonts w:cs="Arial"/>
          <w:szCs w:val="21"/>
        </w:rPr>
        <w:t>(</w:t>
      </w:r>
      <w:r w:rsidRPr="006B4B88">
        <w:rPr>
          <w:rFonts w:cs="Arial"/>
          <w:szCs w:val="21"/>
        </w:rPr>
        <w:t>2000</w:t>
      </w:r>
      <w:r>
        <w:rPr>
          <w:rFonts w:cs="Arial"/>
          <w:szCs w:val="21"/>
        </w:rPr>
        <w:t>)</w:t>
      </w:r>
      <w:r w:rsidRPr="006B4B88">
        <w:rPr>
          <w:rFonts w:cs="Arial"/>
          <w:szCs w:val="21"/>
        </w:rPr>
        <w:t xml:space="preserve"> Does crime affect employment status? The case of Indigenous Australians</w:t>
      </w:r>
      <w:r>
        <w:rPr>
          <w:rFonts w:cs="Arial"/>
          <w:szCs w:val="21"/>
        </w:rPr>
        <w:t xml:space="preserve">, </w:t>
      </w:r>
      <w:r w:rsidRPr="006B4B88">
        <w:rPr>
          <w:rFonts w:cs="Arial"/>
          <w:i/>
          <w:iCs/>
          <w:szCs w:val="21"/>
        </w:rPr>
        <w:t>Economica</w:t>
      </w:r>
      <w:r w:rsidRPr="006B4B88">
        <w:rPr>
          <w:rFonts w:cs="Arial"/>
          <w:szCs w:val="21"/>
        </w:rPr>
        <w:t xml:space="preserve"> 67(1):123–44.</w:t>
      </w:r>
    </w:p>
    <w:p w14:paraId="1610914D" w14:textId="0E8CDFEC" w:rsidR="00FF79A8" w:rsidRPr="004165D1" w:rsidRDefault="00FF79A8" w:rsidP="00876F56">
      <w:pPr>
        <w:spacing w:before="120"/>
        <w:rPr>
          <w:rFonts w:cs="Arial"/>
          <w:szCs w:val="21"/>
        </w:rPr>
      </w:pPr>
      <w:r w:rsidRPr="00FF79A8">
        <w:rPr>
          <w:rFonts w:cs="Arial"/>
          <w:szCs w:val="21"/>
        </w:rPr>
        <w:t>Bowers, R</w:t>
      </w:r>
      <w:r w:rsidR="00CE7F66">
        <w:rPr>
          <w:rFonts w:cs="Arial"/>
          <w:szCs w:val="21"/>
        </w:rPr>
        <w:t xml:space="preserve"> </w:t>
      </w:r>
      <w:r w:rsidRPr="00FF79A8">
        <w:rPr>
          <w:rFonts w:cs="Arial"/>
          <w:szCs w:val="21"/>
        </w:rPr>
        <w:t>(2006) How we manage sexual and gender diversity in the public health system</w:t>
      </w:r>
      <w:r w:rsidR="00CE7F66">
        <w:rPr>
          <w:rFonts w:cs="Arial"/>
          <w:szCs w:val="21"/>
        </w:rPr>
        <w:t>,</w:t>
      </w:r>
      <w:r w:rsidRPr="00FF79A8">
        <w:rPr>
          <w:rFonts w:cs="Arial"/>
          <w:szCs w:val="21"/>
        </w:rPr>
        <w:t xml:space="preserve"> University of New England</w:t>
      </w:r>
      <w:r w:rsidR="005A025B">
        <w:rPr>
          <w:rFonts w:cs="Arial"/>
          <w:szCs w:val="21"/>
        </w:rPr>
        <w:t>, NSW Department of Health</w:t>
      </w:r>
      <w:r w:rsidRPr="00FF79A8">
        <w:rPr>
          <w:rFonts w:cs="Arial"/>
          <w:szCs w:val="21"/>
        </w:rPr>
        <w:t xml:space="preserve"> and Northern Sydney Central Coast</w:t>
      </w:r>
      <w:r w:rsidR="00BA5357">
        <w:rPr>
          <w:rFonts w:cs="Arial"/>
          <w:szCs w:val="21"/>
        </w:rPr>
        <w:t xml:space="preserve">. </w:t>
      </w:r>
    </w:p>
    <w:p w14:paraId="3E60A017" w14:textId="5D3C0F7B" w:rsidR="0014288E" w:rsidRPr="004165D1" w:rsidRDefault="0014288E" w:rsidP="00876F56">
      <w:pPr>
        <w:spacing w:before="120"/>
        <w:rPr>
          <w:rFonts w:cs="Arial"/>
          <w:szCs w:val="21"/>
        </w:rPr>
      </w:pPr>
      <w:r w:rsidRPr="004165D1">
        <w:rPr>
          <w:rFonts w:cs="Arial"/>
          <w:szCs w:val="21"/>
        </w:rPr>
        <w:t>Boxall</w:t>
      </w:r>
      <w:r w:rsidR="005A5196" w:rsidRPr="004165D1">
        <w:rPr>
          <w:rFonts w:cs="Arial"/>
          <w:szCs w:val="21"/>
        </w:rPr>
        <w:t>,</w:t>
      </w:r>
      <w:r w:rsidRPr="004165D1">
        <w:rPr>
          <w:rFonts w:cs="Arial"/>
          <w:szCs w:val="21"/>
        </w:rPr>
        <w:t xml:space="preserve"> H, Morgan</w:t>
      </w:r>
      <w:r w:rsidR="005A5196" w:rsidRPr="004165D1">
        <w:rPr>
          <w:rFonts w:cs="Arial"/>
          <w:szCs w:val="21"/>
        </w:rPr>
        <w:t>,</w:t>
      </w:r>
      <w:r w:rsidRPr="004165D1">
        <w:rPr>
          <w:rFonts w:cs="Arial"/>
          <w:szCs w:val="21"/>
        </w:rPr>
        <w:t xml:space="preserve"> A </w:t>
      </w:r>
      <w:r w:rsidR="001B4ED3" w:rsidRPr="004165D1">
        <w:rPr>
          <w:rFonts w:cs="Arial"/>
          <w:szCs w:val="21"/>
        </w:rPr>
        <w:t>and</w:t>
      </w:r>
      <w:r w:rsidRPr="004165D1">
        <w:rPr>
          <w:rFonts w:cs="Arial"/>
          <w:szCs w:val="21"/>
        </w:rPr>
        <w:t xml:space="preserve"> Brown</w:t>
      </w:r>
      <w:r w:rsidR="005A5196" w:rsidRPr="004165D1">
        <w:rPr>
          <w:rFonts w:cs="Arial"/>
          <w:szCs w:val="21"/>
        </w:rPr>
        <w:t>,</w:t>
      </w:r>
      <w:r w:rsidRPr="004165D1">
        <w:rPr>
          <w:rFonts w:cs="Arial"/>
          <w:szCs w:val="21"/>
        </w:rPr>
        <w:t xml:space="preserve"> R </w:t>
      </w:r>
      <w:r w:rsidR="001B4ED3" w:rsidRPr="004165D1">
        <w:rPr>
          <w:rFonts w:cs="Arial"/>
          <w:szCs w:val="21"/>
        </w:rPr>
        <w:t>(</w:t>
      </w:r>
      <w:r w:rsidRPr="004165D1">
        <w:rPr>
          <w:rFonts w:cs="Arial"/>
          <w:szCs w:val="21"/>
        </w:rPr>
        <w:t>2020</w:t>
      </w:r>
      <w:r w:rsidR="001B4ED3" w:rsidRPr="004165D1">
        <w:rPr>
          <w:rFonts w:cs="Arial"/>
          <w:szCs w:val="21"/>
        </w:rPr>
        <w:t>)</w:t>
      </w:r>
      <w:r w:rsidRPr="004165D1">
        <w:rPr>
          <w:rFonts w:cs="Arial"/>
          <w:szCs w:val="21"/>
        </w:rPr>
        <w:t xml:space="preserve"> </w:t>
      </w:r>
      <w:hyperlink r:id="rId22" w:history="1">
        <w:r w:rsidRPr="004165D1">
          <w:rPr>
            <w:rStyle w:val="Hyperlink"/>
            <w:rFonts w:cs="Arial"/>
            <w:szCs w:val="21"/>
          </w:rPr>
          <w:t>The prevalence of domestic violence among women during the COVID-19 pandemi</w:t>
        </w:r>
        <w:r w:rsidR="001B4ED3" w:rsidRPr="004165D1">
          <w:rPr>
            <w:rStyle w:val="Hyperlink"/>
            <w:rFonts w:cs="Arial"/>
            <w:szCs w:val="21"/>
          </w:rPr>
          <w:t>c,</w:t>
        </w:r>
        <w:r w:rsidRPr="004165D1">
          <w:rPr>
            <w:rStyle w:val="Hyperlink"/>
            <w:rFonts w:cs="Arial"/>
            <w:szCs w:val="21"/>
          </w:rPr>
          <w:t xml:space="preserve"> Australian Institute of Criminology</w:t>
        </w:r>
      </w:hyperlink>
      <w:r w:rsidR="001B4ED3" w:rsidRPr="004165D1">
        <w:rPr>
          <w:rFonts w:cs="Arial"/>
          <w:szCs w:val="21"/>
        </w:rPr>
        <w:t>, Statistical Bulletin no. 28, Canberra</w:t>
      </w:r>
      <w:r w:rsidR="00FF79A8">
        <w:rPr>
          <w:rFonts w:cs="Arial"/>
          <w:szCs w:val="21"/>
        </w:rPr>
        <w:t xml:space="preserve">: </w:t>
      </w:r>
      <w:r w:rsidRPr="004165D1">
        <w:rPr>
          <w:rFonts w:cs="Arial"/>
          <w:szCs w:val="21"/>
        </w:rPr>
        <w:t>doi</w:t>
      </w:r>
      <w:r w:rsidR="00FF79A8">
        <w:rPr>
          <w:rFonts w:cs="Arial"/>
          <w:szCs w:val="21"/>
        </w:rPr>
        <w:t>:</w:t>
      </w:r>
      <w:r w:rsidRPr="004165D1">
        <w:rPr>
          <w:rFonts w:cs="Arial"/>
          <w:szCs w:val="21"/>
        </w:rPr>
        <w:t>10.52922/sb04718</w:t>
      </w:r>
      <w:r w:rsidR="007C313A" w:rsidRPr="004165D1">
        <w:rPr>
          <w:rFonts w:cs="Arial"/>
          <w:szCs w:val="21"/>
        </w:rPr>
        <w:t>.</w:t>
      </w:r>
    </w:p>
    <w:p w14:paraId="7E83256A" w14:textId="3D2CEA1C" w:rsidR="00DD335D" w:rsidRPr="004165D1" w:rsidRDefault="00DD335D" w:rsidP="00876F56">
      <w:pPr>
        <w:pStyle w:val="Body"/>
        <w:spacing w:before="120"/>
        <w:rPr>
          <w:rFonts w:cs="Arial"/>
          <w:szCs w:val="21"/>
        </w:rPr>
      </w:pPr>
      <w:r w:rsidRPr="004165D1">
        <w:rPr>
          <w:rFonts w:cs="Arial"/>
          <w:szCs w:val="21"/>
        </w:rPr>
        <w:t xml:space="preserve">CARC (Community Affairs References Committee) </w:t>
      </w:r>
      <w:r w:rsidR="001B4ED3" w:rsidRPr="004165D1">
        <w:rPr>
          <w:rFonts w:cs="Arial"/>
          <w:szCs w:val="21"/>
        </w:rPr>
        <w:t>(</w:t>
      </w:r>
      <w:r w:rsidRPr="004165D1">
        <w:rPr>
          <w:rFonts w:cs="Arial"/>
          <w:szCs w:val="21"/>
        </w:rPr>
        <w:t>2024</w:t>
      </w:r>
      <w:r w:rsidR="001B4ED3" w:rsidRPr="004165D1">
        <w:rPr>
          <w:rFonts w:cs="Arial"/>
          <w:szCs w:val="21"/>
        </w:rPr>
        <w:t>)</w:t>
      </w:r>
      <w:r w:rsidRPr="004165D1">
        <w:rPr>
          <w:rFonts w:cs="Arial"/>
          <w:szCs w:val="21"/>
        </w:rPr>
        <w:t xml:space="preserve"> </w:t>
      </w:r>
      <w:hyperlink r:id="rId23" w:history="1">
        <w:r w:rsidRPr="004165D1">
          <w:rPr>
            <w:rStyle w:val="Hyperlink"/>
            <w:rFonts w:cs="Arial"/>
            <w:szCs w:val="21"/>
          </w:rPr>
          <w:t>Issues related to menopause and perimenopause: Report</w:t>
        </w:r>
      </w:hyperlink>
      <w:r w:rsidRPr="004165D1">
        <w:rPr>
          <w:rFonts w:cs="Arial"/>
          <w:szCs w:val="21"/>
        </w:rPr>
        <w:t>, Senate Standing Committee on Community Affairs, Parliament of Australia, Canberra.</w:t>
      </w:r>
    </w:p>
    <w:p w14:paraId="3C62272B" w14:textId="7F1E0E15" w:rsidR="006C0C87" w:rsidRPr="004165D1" w:rsidRDefault="006C0C87" w:rsidP="00876F56">
      <w:pPr>
        <w:spacing w:before="120"/>
        <w:rPr>
          <w:rFonts w:cs="Arial"/>
          <w:szCs w:val="21"/>
        </w:rPr>
      </w:pPr>
      <w:r w:rsidRPr="004165D1">
        <w:rPr>
          <w:rFonts w:cs="Arial"/>
          <w:szCs w:val="21"/>
        </w:rPr>
        <w:t>CGEPS (Commission for Gender Equality in the Public Sector) (2022)</w:t>
      </w:r>
      <w:r w:rsidR="00AB0CF5" w:rsidRPr="004165D1">
        <w:rPr>
          <w:rFonts w:cs="Arial"/>
          <w:szCs w:val="21"/>
        </w:rPr>
        <w:t xml:space="preserve"> </w:t>
      </w:r>
      <w:hyperlink r:id="rId24" w:history="1">
        <w:r w:rsidR="00AB0CF5" w:rsidRPr="004165D1">
          <w:rPr>
            <w:rStyle w:val="Hyperlink"/>
            <w:rFonts w:cs="Arial"/>
            <w:szCs w:val="21"/>
          </w:rPr>
          <w:t>Baseline Report - 2021 Workplace Gender Audit Data Analysis</w:t>
        </w:r>
      </w:hyperlink>
      <w:r w:rsidR="007704CD" w:rsidRPr="004165D1">
        <w:rPr>
          <w:rFonts w:cs="Arial"/>
          <w:szCs w:val="21"/>
        </w:rPr>
        <w:t>, CGEPS.</w:t>
      </w:r>
    </w:p>
    <w:p w14:paraId="32BC6150" w14:textId="3F0F3AA2" w:rsidR="005F74FB" w:rsidRPr="004165D1" w:rsidRDefault="005F74FB" w:rsidP="00876F56">
      <w:pPr>
        <w:spacing w:before="120"/>
        <w:rPr>
          <w:rFonts w:cs="Arial"/>
          <w:szCs w:val="21"/>
        </w:rPr>
      </w:pPr>
      <w:r w:rsidRPr="004165D1">
        <w:rPr>
          <w:rFonts w:cs="Arial"/>
          <w:szCs w:val="21"/>
        </w:rPr>
        <w:t xml:space="preserve">Clausen, M, Chur-Hansen, </w:t>
      </w:r>
      <w:r w:rsidR="00E83796" w:rsidRPr="004165D1">
        <w:rPr>
          <w:rFonts w:cs="Arial"/>
          <w:szCs w:val="21"/>
        </w:rPr>
        <w:t>A</w:t>
      </w:r>
      <w:r w:rsidRPr="004165D1">
        <w:rPr>
          <w:rFonts w:cs="Arial"/>
          <w:szCs w:val="21"/>
        </w:rPr>
        <w:t xml:space="preserve">, Crabb, S, </w:t>
      </w:r>
      <w:r w:rsidR="007704CD" w:rsidRPr="004165D1">
        <w:rPr>
          <w:rFonts w:cs="Arial"/>
          <w:szCs w:val="21"/>
        </w:rPr>
        <w:t xml:space="preserve">and </w:t>
      </w:r>
      <w:r w:rsidRPr="004165D1">
        <w:rPr>
          <w:rFonts w:cs="Arial"/>
          <w:szCs w:val="21"/>
        </w:rPr>
        <w:t xml:space="preserve">Vincent, N (2024) </w:t>
      </w:r>
      <w:hyperlink r:id="rId25" w:anchor="abstract" w:history="1">
        <w:r w:rsidRPr="004165D1">
          <w:rPr>
            <w:rStyle w:val="Hyperlink"/>
            <w:rFonts w:cs="Arial"/>
            <w:szCs w:val="21"/>
          </w:rPr>
          <w:t>What does flexible work for men really mean?: a qualitative content analysis of key stakeholder accounts</w:t>
        </w:r>
      </w:hyperlink>
      <w:r w:rsidR="007704CD" w:rsidRPr="004165D1">
        <w:rPr>
          <w:rFonts w:cs="Arial"/>
          <w:szCs w:val="21"/>
        </w:rPr>
        <w:t>,</w:t>
      </w:r>
      <w:r w:rsidRPr="004165D1">
        <w:rPr>
          <w:rFonts w:cs="Arial"/>
          <w:szCs w:val="21"/>
        </w:rPr>
        <w:t> </w:t>
      </w:r>
      <w:r w:rsidRPr="004165D1">
        <w:rPr>
          <w:rFonts w:cs="Arial"/>
          <w:i/>
          <w:iCs/>
          <w:szCs w:val="21"/>
        </w:rPr>
        <w:t>Labour and Industry</w:t>
      </w:r>
      <w:r w:rsidRPr="004165D1">
        <w:rPr>
          <w:rFonts w:cs="Arial"/>
          <w:szCs w:val="21"/>
        </w:rPr>
        <w:t> 34(3), 339–359</w:t>
      </w:r>
      <w:r w:rsidR="007704CD" w:rsidRPr="004165D1">
        <w:rPr>
          <w:rFonts w:cs="Arial"/>
          <w:szCs w:val="21"/>
        </w:rPr>
        <w:t xml:space="preserve">: </w:t>
      </w:r>
      <w:r w:rsidR="00A52F85" w:rsidRPr="004165D1">
        <w:rPr>
          <w:rFonts w:cs="Arial"/>
          <w:szCs w:val="21"/>
        </w:rPr>
        <w:t>doi.org/10.1080/10301763.2024.2420297</w:t>
      </w:r>
    </w:p>
    <w:p w14:paraId="60E01278" w14:textId="46492E32" w:rsidR="00C139B2" w:rsidRPr="004165D1" w:rsidRDefault="00C139B2" w:rsidP="00876F56">
      <w:pPr>
        <w:spacing w:before="120"/>
        <w:rPr>
          <w:rFonts w:cs="Arial"/>
          <w:szCs w:val="21"/>
        </w:rPr>
      </w:pPr>
      <w:r w:rsidRPr="004165D1">
        <w:rPr>
          <w:rFonts w:cs="Arial"/>
          <w:szCs w:val="21"/>
        </w:rPr>
        <w:t>Dong, J, Tan, Z, Zhang, Y, Sun, Y and H</w:t>
      </w:r>
      <w:r w:rsidR="00AC4CC7" w:rsidRPr="004165D1">
        <w:rPr>
          <w:rFonts w:cs="Arial"/>
          <w:szCs w:val="21"/>
        </w:rPr>
        <w:t>uang, Y (2025)</w:t>
      </w:r>
      <w:r w:rsidRPr="004165D1">
        <w:rPr>
          <w:rFonts w:cs="Arial"/>
          <w:szCs w:val="21"/>
        </w:rPr>
        <w:t xml:space="preserve"> </w:t>
      </w:r>
      <w:hyperlink r:id="rId26" w:history="1">
        <w:r w:rsidRPr="004165D1">
          <w:rPr>
            <w:rStyle w:val="Hyperlink"/>
            <w:rFonts w:cs="Arial"/>
            <w:szCs w:val="21"/>
          </w:rPr>
          <w:t>Work from home and employee well-being: a double-edged sword</w:t>
        </w:r>
      </w:hyperlink>
      <w:r w:rsidR="007704CD" w:rsidRPr="004165D1">
        <w:rPr>
          <w:rFonts w:cs="Arial"/>
          <w:szCs w:val="21"/>
        </w:rPr>
        <w:t>,</w:t>
      </w:r>
      <w:r w:rsidRPr="004165D1">
        <w:rPr>
          <w:rFonts w:cs="Arial"/>
          <w:szCs w:val="21"/>
        </w:rPr>
        <w:t xml:space="preserve"> </w:t>
      </w:r>
      <w:r w:rsidRPr="004165D1">
        <w:rPr>
          <w:rFonts w:cs="Arial"/>
          <w:i/>
          <w:iCs/>
          <w:szCs w:val="21"/>
        </w:rPr>
        <w:t>BMC Psychol</w:t>
      </w:r>
      <w:r w:rsidR="005C0B2F" w:rsidRPr="004165D1">
        <w:rPr>
          <w:rFonts w:cs="Arial"/>
          <w:i/>
          <w:iCs/>
          <w:szCs w:val="21"/>
        </w:rPr>
        <w:t>ogy</w:t>
      </w:r>
      <w:r w:rsidRPr="004165D1">
        <w:rPr>
          <w:rFonts w:cs="Arial"/>
          <w:szCs w:val="21"/>
        </w:rPr>
        <w:t xml:space="preserve"> 13, 748</w:t>
      </w:r>
      <w:r w:rsidR="007704CD" w:rsidRPr="004165D1">
        <w:rPr>
          <w:rFonts w:cs="Arial"/>
          <w:szCs w:val="21"/>
        </w:rPr>
        <w:t xml:space="preserve">: </w:t>
      </w:r>
      <w:r w:rsidRPr="004165D1">
        <w:rPr>
          <w:rFonts w:cs="Arial"/>
          <w:szCs w:val="21"/>
        </w:rPr>
        <w:t>doi.org/10.1186/s40359-025-02994-5</w:t>
      </w:r>
    </w:p>
    <w:p w14:paraId="3DC114E6" w14:textId="60B3EACC" w:rsidR="00A52F85" w:rsidRPr="004165D1" w:rsidRDefault="00A52F85" w:rsidP="00876F56">
      <w:pPr>
        <w:spacing w:before="120"/>
        <w:rPr>
          <w:rFonts w:cs="Arial"/>
          <w:szCs w:val="21"/>
        </w:rPr>
      </w:pPr>
      <w:r w:rsidRPr="004165D1">
        <w:rPr>
          <w:rFonts w:cs="Arial"/>
          <w:szCs w:val="21"/>
        </w:rPr>
        <w:t>Eva, C, Harris, J, Bodle, K, Foley, D, Hunter, B </w:t>
      </w:r>
      <w:r w:rsidR="00E83796" w:rsidRPr="004165D1">
        <w:rPr>
          <w:rFonts w:cs="Arial"/>
          <w:szCs w:val="21"/>
        </w:rPr>
        <w:t>and</w:t>
      </w:r>
      <w:r w:rsidRPr="004165D1">
        <w:rPr>
          <w:rFonts w:cs="Arial"/>
          <w:szCs w:val="21"/>
        </w:rPr>
        <w:t> Nichols, N (2024) </w:t>
      </w:r>
      <w:hyperlink r:id="rId27" w:history="1">
        <w:r w:rsidR="006D7C44" w:rsidRPr="004165D1">
          <w:rPr>
            <w:rStyle w:val="Hyperlink"/>
            <w:rFonts w:cs="Arial"/>
            <w:szCs w:val="21"/>
          </w:rPr>
          <w:t>“</w:t>
        </w:r>
        <w:r w:rsidRPr="004165D1">
          <w:rPr>
            <w:rStyle w:val="Hyperlink"/>
            <w:rFonts w:cs="Arial"/>
            <w:szCs w:val="21"/>
          </w:rPr>
          <w:t>It's Self-Determination. Blackfullas Making Right Decisions for Blackfullas”: Why Indigenous-owned businesses create better Indigenous employment outcomes</w:t>
        </w:r>
      </w:hyperlink>
      <w:r w:rsidR="006D7C44" w:rsidRPr="004165D1">
        <w:rPr>
          <w:rFonts w:cs="Arial"/>
          <w:szCs w:val="21"/>
        </w:rPr>
        <w:t>,</w:t>
      </w:r>
      <w:r w:rsidRPr="004165D1">
        <w:rPr>
          <w:rFonts w:cs="Arial"/>
          <w:szCs w:val="21"/>
        </w:rPr>
        <w:t> </w:t>
      </w:r>
      <w:r w:rsidRPr="004165D1">
        <w:rPr>
          <w:rFonts w:cs="Arial"/>
          <w:i/>
          <w:iCs/>
          <w:szCs w:val="21"/>
        </w:rPr>
        <w:t>Australian Journal of Social Issues</w:t>
      </w:r>
      <w:r w:rsidRPr="004165D1">
        <w:rPr>
          <w:rFonts w:cs="Arial"/>
          <w:szCs w:val="21"/>
        </w:rPr>
        <w:t> 59</w:t>
      </w:r>
      <w:r w:rsidR="00401183" w:rsidRPr="004165D1">
        <w:rPr>
          <w:rFonts w:cs="Arial"/>
          <w:szCs w:val="21"/>
        </w:rPr>
        <w:t>(1)</w:t>
      </w:r>
      <w:r w:rsidRPr="004165D1">
        <w:rPr>
          <w:rFonts w:cs="Arial"/>
          <w:szCs w:val="21"/>
        </w:rPr>
        <w:t>, 29–56:</w:t>
      </w:r>
      <w:r w:rsidR="006D7C44" w:rsidRPr="004165D1">
        <w:rPr>
          <w:rFonts w:cs="Arial"/>
          <w:b/>
          <w:bCs/>
          <w:szCs w:val="21"/>
        </w:rPr>
        <w:t xml:space="preserve"> </w:t>
      </w:r>
      <w:r w:rsidRPr="004165D1">
        <w:rPr>
          <w:rFonts w:cs="Arial"/>
          <w:szCs w:val="21"/>
        </w:rPr>
        <w:t>doi.org/10.1002/ajs4.292</w:t>
      </w:r>
      <w:r w:rsidR="006D7C44" w:rsidRPr="004165D1">
        <w:rPr>
          <w:rFonts w:cs="Arial"/>
          <w:szCs w:val="21"/>
        </w:rPr>
        <w:t>.</w:t>
      </w:r>
    </w:p>
    <w:p w14:paraId="60DA94A3" w14:textId="007E09BD" w:rsidR="00112B63" w:rsidRPr="004165D1" w:rsidRDefault="00112B63" w:rsidP="00876F56">
      <w:pPr>
        <w:spacing w:before="120"/>
        <w:rPr>
          <w:rFonts w:cs="Arial"/>
          <w:szCs w:val="21"/>
        </w:rPr>
      </w:pPr>
      <w:r w:rsidRPr="004165D1">
        <w:rPr>
          <w:rFonts w:cs="Arial"/>
          <w:szCs w:val="21"/>
        </w:rPr>
        <w:t>GEO (Government Equalities Office) (2021)</w:t>
      </w:r>
      <w:r w:rsidR="00C2403D" w:rsidRPr="004165D1">
        <w:rPr>
          <w:rFonts w:cs="Arial"/>
          <w:szCs w:val="21"/>
        </w:rPr>
        <w:t xml:space="preserve"> </w:t>
      </w:r>
      <w:hyperlink r:id="rId28" w:history="1">
        <w:r w:rsidR="00C2403D" w:rsidRPr="004165D1">
          <w:rPr>
            <w:rStyle w:val="Hyperlink"/>
            <w:rFonts w:cs="Arial"/>
            <w:szCs w:val="21"/>
          </w:rPr>
          <w:t>Encouraging employers to advertise jobs as flexible with jobs site Indeed</w:t>
        </w:r>
      </w:hyperlink>
      <w:r w:rsidR="00C2403D" w:rsidRPr="004165D1">
        <w:rPr>
          <w:rFonts w:cs="Arial"/>
          <w:szCs w:val="21"/>
        </w:rPr>
        <w:t>, GEO and Women and Equalities Unit, U</w:t>
      </w:r>
      <w:r w:rsidR="00C80BC6" w:rsidRPr="004165D1">
        <w:rPr>
          <w:rFonts w:cs="Arial"/>
          <w:szCs w:val="21"/>
        </w:rPr>
        <w:t xml:space="preserve">nited </w:t>
      </w:r>
      <w:r w:rsidR="00C2403D" w:rsidRPr="004165D1">
        <w:rPr>
          <w:rFonts w:cs="Arial"/>
          <w:szCs w:val="21"/>
        </w:rPr>
        <w:t>K</w:t>
      </w:r>
      <w:r w:rsidR="00C80BC6" w:rsidRPr="004165D1">
        <w:rPr>
          <w:rFonts w:cs="Arial"/>
          <w:szCs w:val="21"/>
        </w:rPr>
        <w:t>ingdom</w:t>
      </w:r>
      <w:r w:rsidR="00C2403D" w:rsidRPr="004165D1">
        <w:rPr>
          <w:rFonts w:cs="Arial"/>
          <w:szCs w:val="21"/>
        </w:rPr>
        <w:t xml:space="preserve">. </w:t>
      </w:r>
    </w:p>
    <w:p w14:paraId="154A24FA" w14:textId="7E483567" w:rsidR="00F71BB7" w:rsidRDefault="00F71BB7" w:rsidP="00876F56">
      <w:pPr>
        <w:spacing w:before="120" w:line="240" w:lineRule="auto"/>
        <w:rPr>
          <w:rFonts w:eastAsia="Arial" w:cs="Arial"/>
          <w:szCs w:val="21"/>
        </w:rPr>
      </w:pPr>
      <w:r w:rsidRPr="004165D1">
        <w:rPr>
          <w:rFonts w:eastAsia="Arial" w:cs="Arial"/>
          <w:szCs w:val="21"/>
        </w:rPr>
        <w:t xml:space="preserve">Gray M, Hunter B and Lohoar S (2012) </w:t>
      </w:r>
      <w:hyperlink r:id="rId29" w:history="1">
        <w:r w:rsidRPr="004165D1">
          <w:rPr>
            <w:rStyle w:val="Hyperlink"/>
            <w:rFonts w:eastAsia="Arial" w:cs="Arial"/>
            <w:i/>
            <w:iCs/>
            <w:szCs w:val="21"/>
          </w:rPr>
          <w:t>Increasing Indigenous employment rates</w:t>
        </w:r>
      </w:hyperlink>
      <w:r w:rsidRPr="004165D1">
        <w:rPr>
          <w:rFonts w:eastAsia="Arial" w:cs="Arial"/>
          <w:szCs w:val="21"/>
        </w:rPr>
        <w:t>, Closing the Gap Clearinghouse</w:t>
      </w:r>
      <w:r w:rsidR="006C4010" w:rsidRPr="004165D1">
        <w:rPr>
          <w:rFonts w:eastAsia="Arial" w:cs="Arial"/>
          <w:szCs w:val="21"/>
        </w:rPr>
        <w:t xml:space="preserve"> Website, Issues Paper no.</w:t>
      </w:r>
      <w:r w:rsidR="005B066E" w:rsidRPr="004165D1">
        <w:rPr>
          <w:rFonts w:eastAsia="Arial" w:cs="Arial"/>
          <w:szCs w:val="21"/>
        </w:rPr>
        <w:t xml:space="preserve"> 3</w:t>
      </w:r>
      <w:r w:rsidR="006C4010" w:rsidRPr="004165D1">
        <w:rPr>
          <w:rFonts w:eastAsia="Arial" w:cs="Arial"/>
          <w:szCs w:val="21"/>
        </w:rPr>
        <w:t>, 30.</w:t>
      </w:r>
    </w:p>
    <w:p w14:paraId="3BD11748" w14:textId="35E821D9" w:rsidR="00935AD7" w:rsidRDefault="00935AD7" w:rsidP="00876F56">
      <w:pPr>
        <w:spacing w:before="120" w:line="240" w:lineRule="auto"/>
        <w:rPr>
          <w:rFonts w:cs="Arial"/>
          <w:szCs w:val="21"/>
        </w:rPr>
      </w:pPr>
      <w:r w:rsidRPr="00935AD7">
        <w:rPr>
          <w:rFonts w:cs="Arial"/>
          <w:szCs w:val="21"/>
        </w:rPr>
        <w:t>Hill</w:t>
      </w:r>
      <w:r>
        <w:rPr>
          <w:rFonts w:cs="Arial"/>
          <w:szCs w:val="21"/>
        </w:rPr>
        <w:t>,</w:t>
      </w:r>
      <w:r w:rsidRPr="00935AD7">
        <w:rPr>
          <w:rFonts w:cs="Arial"/>
          <w:szCs w:val="21"/>
        </w:rPr>
        <w:t xml:space="preserve"> A,</w:t>
      </w:r>
      <w:r>
        <w:rPr>
          <w:rFonts w:cs="Arial"/>
          <w:szCs w:val="21"/>
        </w:rPr>
        <w:t xml:space="preserve"> Lyons, A, Jones, J, McGowan, I, Carman, M,</w:t>
      </w:r>
      <w:r w:rsidR="00680E93">
        <w:rPr>
          <w:rFonts w:cs="Arial"/>
          <w:szCs w:val="21"/>
        </w:rPr>
        <w:t xml:space="preserve"> Parsons, M, Power, J and Bourne, A</w:t>
      </w:r>
      <w:r w:rsidRPr="00935AD7">
        <w:rPr>
          <w:rFonts w:cs="Arial"/>
          <w:szCs w:val="21"/>
        </w:rPr>
        <w:t xml:space="preserve"> (2021) </w:t>
      </w:r>
      <w:hyperlink r:id="rId30" w:history="1">
        <w:r w:rsidRPr="003E04E0">
          <w:rPr>
            <w:rStyle w:val="Hyperlink"/>
            <w:rFonts w:cs="Arial"/>
            <w:szCs w:val="21"/>
          </w:rPr>
          <w:t>Writing Themselves In 4: The health and wellbeing of LGBTQA+ young people in Australia</w:t>
        </w:r>
      </w:hyperlink>
      <w:r w:rsidR="00680E93">
        <w:rPr>
          <w:rFonts w:cs="Arial"/>
          <w:szCs w:val="21"/>
        </w:rPr>
        <w:t>,</w:t>
      </w:r>
      <w:r w:rsidRPr="00935AD7">
        <w:rPr>
          <w:rFonts w:cs="Arial"/>
          <w:szCs w:val="21"/>
        </w:rPr>
        <w:t xml:space="preserve"> National report, </w:t>
      </w:r>
      <w:r w:rsidR="00680E93">
        <w:rPr>
          <w:rFonts w:cs="Arial"/>
          <w:szCs w:val="21"/>
        </w:rPr>
        <w:t>M</w:t>
      </w:r>
      <w:r w:rsidRPr="00935AD7">
        <w:rPr>
          <w:rFonts w:cs="Arial"/>
          <w:szCs w:val="21"/>
        </w:rPr>
        <w:t xml:space="preserve">onograph </w:t>
      </w:r>
      <w:r w:rsidR="00680E93">
        <w:rPr>
          <w:rFonts w:cs="Arial"/>
          <w:szCs w:val="21"/>
        </w:rPr>
        <w:t>S</w:t>
      </w:r>
      <w:r w:rsidRPr="00935AD7">
        <w:rPr>
          <w:rFonts w:cs="Arial"/>
          <w:szCs w:val="21"/>
        </w:rPr>
        <w:t xml:space="preserve">eries </w:t>
      </w:r>
      <w:r w:rsidR="00680E93">
        <w:rPr>
          <w:rFonts w:cs="Arial"/>
          <w:szCs w:val="21"/>
        </w:rPr>
        <w:t>no.</w:t>
      </w:r>
      <w:r w:rsidRPr="00935AD7">
        <w:rPr>
          <w:rFonts w:cs="Arial"/>
          <w:szCs w:val="21"/>
        </w:rPr>
        <w:t xml:space="preserve"> 124</w:t>
      </w:r>
      <w:r w:rsidR="00680E93">
        <w:rPr>
          <w:rFonts w:cs="Arial"/>
          <w:szCs w:val="21"/>
        </w:rPr>
        <w:t>,</w:t>
      </w:r>
      <w:r w:rsidRPr="00935AD7">
        <w:rPr>
          <w:rFonts w:cs="Arial"/>
          <w:szCs w:val="21"/>
        </w:rPr>
        <w:t xml:space="preserve"> Australian Research Centre in Sex, Health and Society, La Trobe University</w:t>
      </w:r>
      <w:r w:rsidR="00680E93">
        <w:rPr>
          <w:rFonts w:cs="Arial"/>
          <w:szCs w:val="21"/>
        </w:rPr>
        <w:t>,</w:t>
      </w:r>
      <w:r w:rsidRPr="00935AD7">
        <w:rPr>
          <w:rFonts w:cs="Arial"/>
          <w:szCs w:val="21"/>
        </w:rPr>
        <w:t xml:space="preserve"> Melbourne. </w:t>
      </w:r>
    </w:p>
    <w:p w14:paraId="0A0CF270" w14:textId="163C4F67" w:rsidR="00420BE2" w:rsidRPr="004165D1" w:rsidRDefault="00420BE2" w:rsidP="00420BE2">
      <w:pPr>
        <w:spacing w:before="120" w:line="240" w:lineRule="auto"/>
        <w:rPr>
          <w:rFonts w:cs="Arial"/>
          <w:szCs w:val="21"/>
        </w:rPr>
      </w:pPr>
      <w:r w:rsidRPr="00420BE2">
        <w:rPr>
          <w:rFonts w:cs="Arial"/>
          <w:szCs w:val="21"/>
        </w:rPr>
        <w:lastRenderedPageBreak/>
        <w:t>Hunter</w:t>
      </w:r>
      <w:r>
        <w:rPr>
          <w:rFonts w:cs="Arial"/>
          <w:szCs w:val="21"/>
        </w:rPr>
        <w:t>,</w:t>
      </w:r>
      <w:r w:rsidRPr="00420BE2">
        <w:rPr>
          <w:rFonts w:cs="Arial"/>
          <w:szCs w:val="21"/>
        </w:rPr>
        <w:t xml:space="preserve"> B</w:t>
      </w:r>
      <w:r>
        <w:rPr>
          <w:rFonts w:cs="Arial"/>
          <w:szCs w:val="21"/>
        </w:rPr>
        <w:t>, and</w:t>
      </w:r>
      <w:r w:rsidRPr="00420BE2">
        <w:rPr>
          <w:rFonts w:cs="Arial"/>
          <w:szCs w:val="21"/>
        </w:rPr>
        <w:t xml:space="preserve"> Gray</w:t>
      </w:r>
      <w:r>
        <w:rPr>
          <w:rFonts w:cs="Arial"/>
          <w:szCs w:val="21"/>
        </w:rPr>
        <w:t>,</w:t>
      </w:r>
      <w:r w:rsidRPr="00420BE2">
        <w:rPr>
          <w:rFonts w:cs="Arial"/>
          <w:szCs w:val="21"/>
        </w:rPr>
        <w:t xml:space="preserve"> M </w:t>
      </w:r>
      <w:r>
        <w:rPr>
          <w:rFonts w:cs="Arial"/>
          <w:szCs w:val="21"/>
        </w:rPr>
        <w:t>(</w:t>
      </w:r>
      <w:r w:rsidRPr="00420BE2">
        <w:rPr>
          <w:rFonts w:cs="Arial"/>
          <w:szCs w:val="21"/>
        </w:rPr>
        <w:t>2001</w:t>
      </w:r>
      <w:r>
        <w:rPr>
          <w:rFonts w:cs="Arial"/>
          <w:szCs w:val="21"/>
        </w:rPr>
        <w:t>)</w:t>
      </w:r>
      <w:r w:rsidRPr="00420BE2">
        <w:rPr>
          <w:rFonts w:cs="Arial"/>
          <w:szCs w:val="21"/>
        </w:rPr>
        <w:t xml:space="preserve"> Indigenous labour force status re-visited: </w:t>
      </w:r>
      <w:r>
        <w:rPr>
          <w:rFonts w:cs="Arial"/>
          <w:szCs w:val="21"/>
        </w:rPr>
        <w:t>F</w:t>
      </w:r>
      <w:r w:rsidRPr="00420BE2">
        <w:rPr>
          <w:rFonts w:cs="Arial"/>
          <w:szCs w:val="21"/>
        </w:rPr>
        <w:t>actors associated with the discouraged worker phenomenon</w:t>
      </w:r>
      <w:r>
        <w:rPr>
          <w:rFonts w:cs="Arial"/>
          <w:szCs w:val="21"/>
        </w:rPr>
        <w:t>,</w:t>
      </w:r>
      <w:r w:rsidRPr="00420BE2">
        <w:rPr>
          <w:rFonts w:cs="Arial"/>
          <w:szCs w:val="21"/>
        </w:rPr>
        <w:t xml:space="preserve"> </w:t>
      </w:r>
      <w:r w:rsidRPr="00420BE2">
        <w:rPr>
          <w:rFonts w:cs="Arial"/>
          <w:i/>
          <w:iCs/>
          <w:szCs w:val="21"/>
        </w:rPr>
        <w:t>Australian Journal of Labour Economics</w:t>
      </w:r>
      <w:r w:rsidRPr="00420BE2">
        <w:rPr>
          <w:rFonts w:cs="Arial"/>
          <w:szCs w:val="21"/>
        </w:rPr>
        <w:t xml:space="preserve"> 4(2):115–37.</w:t>
      </w:r>
    </w:p>
    <w:p w14:paraId="6915B2A2" w14:textId="3335B4E5" w:rsidR="003E617B" w:rsidRPr="004165D1" w:rsidRDefault="003E617B" w:rsidP="00876F56">
      <w:pPr>
        <w:spacing w:before="120"/>
        <w:rPr>
          <w:rFonts w:cs="Arial"/>
          <w:szCs w:val="21"/>
        </w:rPr>
      </w:pPr>
      <w:r w:rsidRPr="004165D1">
        <w:rPr>
          <w:rFonts w:cs="Arial"/>
          <w:szCs w:val="21"/>
        </w:rPr>
        <w:t xml:space="preserve">Irwin, J (2002) Discrimination against gay men, lesbians and transgender people working in education, </w:t>
      </w:r>
      <w:r w:rsidRPr="004165D1">
        <w:rPr>
          <w:rFonts w:cs="Arial"/>
          <w:i/>
          <w:iCs/>
          <w:szCs w:val="21"/>
        </w:rPr>
        <w:t>Journal of Gay and Lesbian Social Services</w:t>
      </w:r>
      <w:r w:rsidRPr="004165D1">
        <w:rPr>
          <w:rFonts w:cs="Arial"/>
          <w:szCs w:val="21"/>
        </w:rPr>
        <w:t xml:space="preserve"> 14</w:t>
      </w:r>
      <w:r w:rsidR="004165D1">
        <w:rPr>
          <w:rFonts w:cs="Arial"/>
          <w:szCs w:val="21"/>
        </w:rPr>
        <w:t>(</w:t>
      </w:r>
      <w:r w:rsidRPr="004165D1">
        <w:rPr>
          <w:rFonts w:cs="Arial"/>
          <w:szCs w:val="21"/>
        </w:rPr>
        <w:t>2</w:t>
      </w:r>
      <w:r w:rsidR="004165D1">
        <w:rPr>
          <w:rFonts w:cs="Arial"/>
          <w:szCs w:val="21"/>
        </w:rPr>
        <w:t>),</w:t>
      </w:r>
      <w:r w:rsidRPr="004165D1">
        <w:rPr>
          <w:rFonts w:cs="Arial"/>
          <w:szCs w:val="21"/>
        </w:rPr>
        <w:t xml:space="preserve"> 65-77</w:t>
      </w:r>
      <w:r w:rsidR="004165D1">
        <w:rPr>
          <w:rFonts w:cs="Arial"/>
          <w:szCs w:val="21"/>
        </w:rPr>
        <w:t>.</w:t>
      </w:r>
    </w:p>
    <w:p w14:paraId="57B1C94F" w14:textId="2E69799A" w:rsidR="00B239BE" w:rsidRPr="004165D1" w:rsidRDefault="00B239BE" w:rsidP="00876F56">
      <w:pPr>
        <w:spacing w:before="120"/>
        <w:rPr>
          <w:rFonts w:cs="Arial"/>
          <w:szCs w:val="21"/>
        </w:rPr>
      </w:pPr>
      <w:r w:rsidRPr="004165D1">
        <w:rPr>
          <w:rFonts w:cs="Arial"/>
          <w:szCs w:val="21"/>
        </w:rPr>
        <w:t>Jones, O (2023)</w:t>
      </w:r>
      <w:r w:rsidR="00B21612" w:rsidRPr="004165D1">
        <w:rPr>
          <w:rFonts w:cs="Arial"/>
          <w:szCs w:val="21"/>
        </w:rPr>
        <w:t xml:space="preserve"> </w:t>
      </w:r>
      <w:hyperlink r:id="rId31" w:history="1">
        <w:r w:rsidR="00B21612" w:rsidRPr="004165D1">
          <w:rPr>
            <w:rStyle w:val="Hyperlink"/>
            <w:rFonts w:cs="Arial"/>
            <w:szCs w:val="21"/>
          </w:rPr>
          <w:t>Bridging barriers: how remote work enhances accessibility</w:t>
        </w:r>
      </w:hyperlink>
      <w:r w:rsidR="00B21612" w:rsidRPr="004165D1">
        <w:rPr>
          <w:rFonts w:cs="Arial"/>
          <w:szCs w:val="21"/>
        </w:rPr>
        <w:t>, Resources for Employers</w:t>
      </w:r>
      <w:r w:rsidR="00E15CA8">
        <w:rPr>
          <w:rFonts w:cs="Arial"/>
          <w:szCs w:val="21"/>
        </w:rPr>
        <w:t xml:space="preserve"> Website, </w:t>
      </w:r>
      <w:r w:rsidR="003575EC">
        <w:rPr>
          <w:rFonts w:cs="Arial"/>
          <w:szCs w:val="21"/>
        </w:rPr>
        <w:t>Inside HR.</w:t>
      </w:r>
    </w:p>
    <w:p w14:paraId="28669D3B" w14:textId="1F6ADC91" w:rsidR="00063F1E" w:rsidRPr="005C11B0" w:rsidRDefault="00063F1E" w:rsidP="00876F56">
      <w:pPr>
        <w:spacing w:before="120"/>
        <w:rPr>
          <w:rFonts w:cs="Arial"/>
          <w:szCs w:val="21"/>
        </w:rPr>
      </w:pPr>
      <w:r w:rsidRPr="004165D1">
        <w:rPr>
          <w:rFonts w:cs="Arial"/>
          <w:szCs w:val="21"/>
        </w:rPr>
        <w:t>Kho</w:t>
      </w:r>
      <w:r w:rsidR="006D0EB5">
        <w:rPr>
          <w:rFonts w:cs="Arial"/>
          <w:szCs w:val="21"/>
        </w:rPr>
        <w:t xml:space="preserve">, A, </w:t>
      </w:r>
      <w:r w:rsidR="00F20B63">
        <w:rPr>
          <w:rFonts w:cs="Arial"/>
          <w:szCs w:val="21"/>
        </w:rPr>
        <w:t>Cahyadi, H, Meilani, Y and Pramono, R</w:t>
      </w:r>
      <w:r w:rsidR="005C11B0">
        <w:rPr>
          <w:rFonts w:cs="Arial"/>
          <w:szCs w:val="21"/>
        </w:rPr>
        <w:t xml:space="preserve"> (2024)</w:t>
      </w:r>
      <w:r w:rsidRPr="004165D1">
        <w:rPr>
          <w:rFonts w:cs="Arial"/>
          <w:szCs w:val="21"/>
        </w:rPr>
        <w:t xml:space="preserve"> </w:t>
      </w:r>
      <w:hyperlink r:id="rId32" w:history="1">
        <w:r w:rsidRPr="004165D1">
          <w:rPr>
            <w:rStyle w:val="Hyperlink"/>
            <w:rFonts w:cs="Arial"/>
            <w:szCs w:val="21"/>
          </w:rPr>
          <w:t>Talent attraction through flexible work anytime from anywhere</w:t>
        </w:r>
      </w:hyperlink>
      <w:r w:rsidR="005C11B0">
        <w:rPr>
          <w:rFonts w:cs="Arial"/>
          <w:szCs w:val="21"/>
        </w:rPr>
        <w:t xml:space="preserve">, </w:t>
      </w:r>
      <w:r w:rsidR="005C11B0">
        <w:rPr>
          <w:rFonts w:cs="Arial"/>
          <w:i/>
          <w:iCs/>
          <w:szCs w:val="21"/>
        </w:rPr>
        <w:t xml:space="preserve">Journal of Infrastructure and Policy Development </w:t>
      </w:r>
      <w:r w:rsidR="005C11B0">
        <w:rPr>
          <w:rFonts w:cs="Arial"/>
          <w:szCs w:val="21"/>
        </w:rPr>
        <w:t xml:space="preserve">8(3): </w:t>
      </w:r>
      <w:r w:rsidR="005461F2">
        <w:rPr>
          <w:rFonts w:cs="Arial"/>
          <w:szCs w:val="21"/>
        </w:rPr>
        <w:t>doi:</w:t>
      </w:r>
      <w:r w:rsidR="005461F2" w:rsidRPr="005461F2">
        <w:rPr>
          <w:rFonts w:cs="Arial"/>
          <w:szCs w:val="21"/>
        </w:rPr>
        <w:t>10.24294/jipd.v8i3.2998</w:t>
      </w:r>
      <w:r w:rsidR="005461F2">
        <w:rPr>
          <w:rFonts w:cs="Arial"/>
          <w:szCs w:val="21"/>
        </w:rPr>
        <w:t>.</w:t>
      </w:r>
    </w:p>
    <w:p w14:paraId="2B918A1D" w14:textId="619C756C" w:rsidR="00D1067A" w:rsidRPr="004165D1" w:rsidRDefault="00D1067A" w:rsidP="00876F56">
      <w:pPr>
        <w:spacing w:before="120"/>
        <w:rPr>
          <w:rFonts w:cs="Arial"/>
          <w:szCs w:val="21"/>
        </w:rPr>
      </w:pPr>
      <w:r w:rsidRPr="004165D1">
        <w:rPr>
          <w:rFonts w:cs="Arial"/>
          <w:szCs w:val="21"/>
        </w:rPr>
        <w:t>Lai, M, Anagnostou, E, Wiznitzer, M, Allison, C</w:t>
      </w:r>
      <w:r w:rsidR="003575EC">
        <w:rPr>
          <w:rFonts w:cs="Arial"/>
          <w:szCs w:val="21"/>
        </w:rPr>
        <w:t>,</w:t>
      </w:r>
      <w:r w:rsidRPr="004165D1">
        <w:rPr>
          <w:rFonts w:cs="Arial"/>
          <w:szCs w:val="21"/>
        </w:rPr>
        <w:t xml:space="preserve"> and Baron-Cohen, S (2020) Evidence-based support for autistic people across the lifespan: maximising potential, minimising barriers, and optimising the person–environment fit, </w:t>
      </w:r>
      <w:r w:rsidRPr="003575EC">
        <w:rPr>
          <w:rFonts w:cs="Arial"/>
          <w:i/>
          <w:iCs/>
          <w:szCs w:val="21"/>
        </w:rPr>
        <w:t>The Lancet Neurology</w:t>
      </w:r>
      <w:r w:rsidR="003575EC">
        <w:rPr>
          <w:rFonts w:cs="Arial"/>
          <w:szCs w:val="21"/>
        </w:rPr>
        <w:t xml:space="preserve"> </w:t>
      </w:r>
      <w:r w:rsidRPr="004165D1">
        <w:rPr>
          <w:rFonts w:cs="Arial"/>
          <w:szCs w:val="21"/>
        </w:rPr>
        <w:t>19</w:t>
      </w:r>
      <w:r w:rsidR="003575EC">
        <w:rPr>
          <w:rFonts w:cs="Arial"/>
          <w:szCs w:val="21"/>
        </w:rPr>
        <w:t>(</w:t>
      </w:r>
      <w:r w:rsidRPr="004165D1">
        <w:rPr>
          <w:rFonts w:cs="Arial"/>
          <w:szCs w:val="21"/>
        </w:rPr>
        <w:t>5</w:t>
      </w:r>
      <w:r w:rsidR="003575EC">
        <w:rPr>
          <w:rFonts w:cs="Arial"/>
          <w:szCs w:val="21"/>
        </w:rPr>
        <w:t>)</w:t>
      </w:r>
      <w:r w:rsidRPr="004165D1">
        <w:rPr>
          <w:rFonts w:cs="Arial"/>
          <w:szCs w:val="21"/>
        </w:rPr>
        <w:t>, 434-451</w:t>
      </w:r>
      <w:r w:rsidR="003575EC">
        <w:rPr>
          <w:rFonts w:cs="Arial"/>
          <w:szCs w:val="21"/>
        </w:rPr>
        <w:t>:</w:t>
      </w:r>
      <w:r w:rsidRPr="004165D1">
        <w:rPr>
          <w:rFonts w:cs="Arial"/>
          <w:szCs w:val="21"/>
        </w:rPr>
        <w:t xml:space="preserve"> doi: 10.1016/S1474-4422(20)30034-X.</w:t>
      </w:r>
    </w:p>
    <w:p w14:paraId="1C953758" w14:textId="4A51ACC4" w:rsidR="00C9587D" w:rsidRPr="00504F1F" w:rsidRDefault="00C9587D" w:rsidP="00876F56">
      <w:pPr>
        <w:spacing w:before="120"/>
        <w:rPr>
          <w:b/>
          <w:bCs/>
          <w:szCs w:val="21"/>
        </w:rPr>
      </w:pPr>
      <w:r w:rsidRPr="004165D1">
        <w:rPr>
          <w:rFonts w:cs="Arial"/>
          <w:szCs w:val="21"/>
        </w:rPr>
        <w:t>Laß</w:t>
      </w:r>
      <w:r w:rsidR="007964B6">
        <w:rPr>
          <w:rFonts w:cs="Arial"/>
          <w:szCs w:val="21"/>
        </w:rPr>
        <w:t>, I</w:t>
      </w:r>
      <w:r w:rsidR="00504F1F">
        <w:rPr>
          <w:rFonts w:cs="Arial"/>
          <w:szCs w:val="21"/>
        </w:rPr>
        <w:t>, Vera-Toscano, E and Wooden, M</w:t>
      </w:r>
      <w:r w:rsidRPr="004165D1">
        <w:rPr>
          <w:rFonts w:cs="Arial"/>
          <w:szCs w:val="21"/>
        </w:rPr>
        <w:t xml:space="preserve"> </w:t>
      </w:r>
      <w:r w:rsidR="00504F1F">
        <w:rPr>
          <w:rFonts w:cs="Arial"/>
          <w:szCs w:val="21"/>
        </w:rPr>
        <w:t>(</w:t>
      </w:r>
      <w:r w:rsidRPr="004165D1">
        <w:rPr>
          <w:rFonts w:cs="Arial"/>
          <w:szCs w:val="21"/>
        </w:rPr>
        <w:t>2023</w:t>
      </w:r>
      <w:r w:rsidR="00504F1F">
        <w:rPr>
          <w:rFonts w:cs="Arial"/>
          <w:szCs w:val="21"/>
        </w:rPr>
        <w:t xml:space="preserve">) </w:t>
      </w:r>
      <w:hyperlink r:id="rId33" w:history="1">
        <w:r w:rsidR="00504F1F" w:rsidRPr="006A7AD0">
          <w:rPr>
            <w:rStyle w:val="Hyperlink"/>
            <w:szCs w:val="21"/>
          </w:rPr>
          <w:t>Working from Home, COVID-19, and Job Satisfaction</w:t>
        </w:r>
      </w:hyperlink>
      <w:r w:rsidR="00504F1F">
        <w:rPr>
          <w:szCs w:val="21"/>
        </w:rPr>
        <w:t xml:space="preserve">, </w:t>
      </w:r>
      <w:r w:rsidR="00102450" w:rsidRPr="006A7AD0">
        <w:rPr>
          <w:i/>
          <w:iCs/>
          <w:szCs w:val="21"/>
        </w:rPr>
        <w:t>ILR Review</w:t>
      </w:r>
      <w:r w:rsidR="006A7AD0">
        <w:rPr>
          <w:szCs w:val="21"/>
        </w:rPr>
        <w:t xml:space="preserve"> 78(2), doi:</w:t>
      </w:r>
      <w:r w:rsidR="006A7AD0" w:rsidRPr="006A7AD0">
        <w:rPr>
          <w:szCs w:val="21"/>
        </w:rPr>
        <w:t>10.1177/00197939241301704</w:t>
      </w:r>
      <w:r w:rsidR="006A7AD0">
        <w:rPr>
          <w:szCs w:val="21"/>
        </w:rPr>
        <w:t>.</w:t>
      </w:r>
    </w:p>
    <w:p w14:paraId="0CADDD51" w14:textId="3EBB9BBB" w:rsidR="00F04751" w:rsidRPr="004165D1" w:rsidRDefault="00F04751" w:rsidP="00876F56">
      <w:pPr>
        <w:spacing w:before="120"/>
        <w:rPr>
          <w:rFonts w:cs="Arial"/>
          <w:szCs w:val="21"/>
        </w:rPr>
      </w:pPr>
      <w:r w:rsidRPr="004165D1">
        <w:rPr>
          <w:rFonts w:cs="Arial"/>
          <w:szCs w:val="21"/>
        </w:rPr>
        <w:t>Liu</w:t>
      </w:r>
      <w:r w:rsidR="00BA390B" w:rsidRPr="004165D1">
        <w:rPr>
          <w:rFonts w:cs="Arial"/>
          <w:szCs w:val="21"/>
        </w:rPr>
        <w:t>, S</w:t>
      </w:r>
      <w:r w:rsidRPr="004165D1">
        <w:rPr>
          <w:rFonts w:cs="Arial"/>
          <w:szCs w:val="21"/>
        </w:rPr>
        <w:t xml:space="preserve"> and Quinby</w:t>
      </w:r>
      <w:r w:rsidR="00BA390B" w:rsidRPr="004165D1">
        <w:rPr>
          <w:rFonts w:cs="Arial"/>
          <w:szCs w:val="21"/>
        </w:rPr>
        <w:t>, L</w:t>
      </w:r>
      <w:r w:rsidRPr="004165D1">
        <w:rPr>
          <w:rFonts w:cs="Arial"/>
          <w:szCs w:val="21"/>
        </w:rPr>
        <w:t xml:space="preserve"> (2024)</w:t>
      </w:r>
      <w:r w:rsidR="00BA390B" w:rsidRPr="004165D1">
        <w:rPr>
          <w:rFonts w:cs="Arial"/>
          <w:szCs w:val="21"/>
        </w:rPr>
        <w:t xml:space="preserve"> </w:t>
      </w:r>
      <w:r w:rsidR="00EF17E7" w:rsidRPr="004165D1">
        <w:rPr>
          <w:rFonts w:cs="Arial"/>
          <w:szCs w:val="21"/>
        </w:rPr>
        <w:t>‘</w:t>
      </w:r>
      <w:hyperlink r:id="rId34" w:history="1">
        <w:r w:rsidR="00BA390B" w:rsidRPr="004165D1">
          <w:rPr>
            <w:rStyle w:val="Hyperlink"/>
            <w:rFonts w:cs="Arial"/>
            <w:szCs w:val="21"/>
          </w:rPr>
          <w:t>Does Remote Work Help Older People with Disabilities?</w:t>
        </w:r>
      </w:hyperlink>
      <w:r w:rsidR="00EF17E7" w:rsidRPr="004165D1">
        <w:rPr>
          <w:rFonts w:cs="Arial"/>
          <w:szCs w:val="21"/>
        </w:rPr>
        <w:t>’</w:t>
      </w:r>
      <w:r w:rsidR="00860544">
        <w:rPr>
          <w:rFonts w:cs="Arial"/>
          <w:szCs w:val="21"/>
        </w:rPr>
        <w:t>,</w:t>
      </w:r>
      <w:r w:rsidR="00EF17E7" w:rsidRPr="004165D1">
        <w:rPr>
          <w:rFonts w:cs="Arial"/>
          <w:szCs w:val="21"/>
        </w:rPr>
        <w:t xml:space="preserve"> Issue in Brief 24-19</w:t>
      </w:r>
      <w:r w:rsidR="00BA390B" w:rsidRPr="004165D1">
        <w:rPr>
          <w:rFonts w:cs="Arial"/>
          <w:szCs w:val="21"/>
        </w:rPr>
        <w:t>, Centre for Retirement Researc</w:t>
      </w:r>
      <w:r w:rsidR="00EF17E7" w:rsidRPr="004165D1">
        <w:rPr>
          <w:rFonts w:cs="Arial"/>
          <w:szCs w:val="21"/>
        </w:rPr>
        <w:t>h, Boston College.</w:t>
      </w:r>
    </w:p>
    <w:p w14:paraId="2CC8B01C" w14:textId="3A5DB0B2" w:rsidR="00897E30" w:rsidRPr="004165D1" w:rsidRDefault="00897E30" w:rsidP="00876F56">
      <w:pPr>
        <w:spacing w:before="120"/>
        <w:rPr>
          <w:rFonts w:cs="Arial"/>
          <w:szCs w:val="21"/>
        </w:rPr>
      </w:pPr>
      <w:r w:rsidRPr="004165D1">
        <w:rPr>
          <w:rFonts w:cs="Arial"/>
          <w:szCs w:val="21"/>
        </w:rPr>
        <w:t xml:space="preserve">Lutkevich, B (2023) </w:t>
      </w:r>
      <w:hyperlink r:id="rId35" w:history="1">
        <w:r w:rsidRPr="006C1FF1">
          <w:rPr>
            <w:rStyle w:val="Hyperlink"/>
            <w:rFonts w:cs="Arial"/>
            <w:szCs w:val="21"/>
          </w:rPr>
          <w:t>Proximity bias explained: Everything you need to know</w:t>
        </w:r>
      </w:hyperlink>
      <w:r w:rsidR="00860544">
        <w:rPr>
          <w:rFonts w:cs="Arial"/>
          <w:szCs w:val="21"/>
        </w:rPr>
        <w:t>,</w:t>
      </w:r>
      <w:r w:rsidRPr="004165D1">
        <w:rPr>
          <w:rFonts w:cs="Arial"/>
          <w:szCs w:val="21"/>
        </w:rPr>
        <w:t xml:space="preserve"> TechTarget</w:t>
      </w:r>
      <w:r w:rsidR="00E91371">
        <w:rPr>
          <w:rFonts w:cs="Arial"/>
          <w:szCs w:val="21"/>
        </w:rPr>
        <w:t xml:space="preserve"> Website</w:t>
      </w:r>
      <w:r w:rsidR="006C1FF1">
        <w:rPr>
          <w:rFonts w:cs="Arial"/>
          <w:szCs w:val="21"/>
        </w:rPr>
        <w:t>.</w:t>
      </w:r>
      <w:r w:rsidR="00E91371">
        <w:rPr>
          <w:rFonts w:cs="Arial"/>
          <w:szCs w:val="21"/>
        </w:rPr>
        <w:t xml:space="preserve"> </w:t>
      </w:r>
    </w:p>
    <w:p w14:paraId="2C492376" w14:textId="797AE610" w:rsidR="00F53132" w:rsidRPr="004165D1" w:rsidRDefault="00AF1FB0" w:rsidP="00876F56">
      <w:pPr>
        <w:spacing w:before="120"/>
        <w:rPr>
          <w:rFonts w:cs="Arial"/>
          <w:szCs w:val="21"/>
        </w:rPr>
      </w:pPr>
      <w:r>
        <w:rPr>
          <w:rFonts w:cs="Arial"/>
          <w:szCs w:val="21"/>
        </w:rPr>
        <w:t>MIAESR (</w:t>
      </w:r>
      <w:r w:rsidR="002C0EAB" w:rsidRPr="004165D1">
        <w:rPr>
          <w:rFonts w:cs="Arial"/>
          <w:szCs w:val="21"/>
        </w:rPr>
        <w:t>Melbourne Institute Applied Economic and Social Research</w:t>
      </w:r>
      <w:r>
        <w:rPr>
          <w:rFonts w:cs="Arial"/>
          <w:szCs w:val="21"/>
        </w:rPr>
        <w:t>)</w:t>
      </w:r>
      <w:r w:rsidR="002C0EAB" w:rsidRPr="004165D1">
        <w:rPr>
          <w:rFonts w:cs="Arial"/>
          <w:szCs w:val="21"/>
        </w:rPr>
        <w:t xml:space="preserve"> </w:t>
      </w:r>
      <w:r>
        <w:rPr>
          <w:rFonts w:cs="Arial"/>
          <w:szCs w:val="21"/>
        </w:rPr>
        <w:t>(</w:t>
      </w:r>
      <w:r w:rsidR="002C0EAB" w:rsidRPr="004165D1">
        <w:rPr>
          <w:rFonts w:cs="Arial"/>
          <w:szCs w:val="21"/>
        </w:rPr>
        <w:t>2022</w:t>
      </w:r>
      <w:r>
        <w:rPr>
          <w:rFonts w:cs="Arial"/>
          <w:szCs w:val="21"/>
        </w:rPr>
        <w:t xml:space="preserve">) </w:t>
      </w:r>
      <w:hyperlink r:id="rId36" w:tgtFrame="_blank" w:history="1">
        <w:r w:rsidRPr="00AF1FB0">
          <w:rPr>
            <w:rStyle w:val="Hyperlink"/>
            <w:rFonts w:cs="Arial"/>
            <w:i/>
            <w:iCs/>
            <w:szCs w:val="21"/>
          </w:rPr>
          <w:t>Taking the Pulse of the Nation</w:t>
        </w:r>
        <w:r w:rsidRPr="00AF1FB0">
          <w:rPr>
            <w:rStyle w:val="Hyperlink"/>
            <w:rFonts w:cs="Arial"/>
            <w:szCs w:val="21"/>
          </w:rPr>
          <w:t>- external site opens in new window</w:t>
        </w:r>
      </w:hyperlink>
      <w:r w:rsidRPr="00AF1FB0">
        <w:rPr>
          <w:rFonts w:cs="Arial"/>
          <w:i/>
          <w:iCs/>
          <w:szCs w:val="21"/>
        </w:rPr>
        <w:t>,</w:t>
      </w:r>
      <w:r w:rsidRPr="00AF1FB0">
        <w:rPr>
          <w:rFonts w:cs="Arial"/>
          <w:szCs w:val="21"/>
        </w:rPr>
        <w:t xml:space="preserve"> M</w:t>
      </w:r>
      <w:r>
        <w:rPr>
          <w:rFonts w:cs="Arial"/>
          <w:szCs w:val="21"/>
        </w:rPr>
        <w:t>IAESR</w:t>
      </w:r>
      <w:r w:rsidR="002720BC">
        <w:rPr>
          <w:rFonts w:cs="Arial"/>
          <w:szCs w:val="21"/>
        </w:rPr>
        <w:t>.</w:t>
      </w:r>
    </w:p>
    <w:p w14:paraId="6823F6B5" w14:textId="3750802B" w:rsidR="003857B9" w:rsidRPr="004165D1" w:rsidRDefault="003857B9" w:rsidP="00876F56">
      <w:pPr>
        <w:spacing w:before="120"/>
        <w:rPr>
          <w:rFonts w:cs="Arial"/>
          <w:szCs w:val="21"/>
        </w:rPr>
      </w:pPr>
      <w:r w:rsidRPr="004165D1">
        <w:rPr>
          <w:rFonts w:cs="Arial"/>
          <w:szCs w:val="21"/>
        </w:rPr>
        <w:t>Mousa,</w:t>
      </w:r>
      <w:r w:rsidR="002720BC">
        <w:rPr>
          <w:rFonts w:cs="Arial"/>
          <w:szCs w:val="21"/>
        </w:rPr>
        <w:t xml:space="preserve"> M,</w:t>
      </w:r>
      <w:r w:rsidRPr="004165D1">
        <w:rPr>
          <w:rFonts w:cs="Arial"/>
          <w:szCs w:val="21"/>
        </w:rPr>
        <w:t>  Arslan,</w:t>
      </w:r>
      <w:r w:rsidR="002720BC">
        <w:rPr>
          <w:rFonts w:cs="Arial"/>
          <w:szCs w:val="21"/>
        </w:rPr>
        <w:t xml:space="preserve"> Al,</w:t>
      </w:r>
      <w:r w:rsidRPr="004165D1">
        <w:rPr>
          <w:rFonts w:cs="Arial"/>
          <w:szCs w:val="21"/>
        </w:rPr>
        <w:t> Ullah,</w:t>
      </w:r>
      <w:r w:rsidR="002720BC">
        <w:rPr>
          <w:rFonts w:cs="Arial"/>
          <w:szCs w:val="21"/>
        </w:rPr>
        <w:t xml:space="preserve"> A, </w:t>
      </w:r>
      <w:r w:rsidRPr="004165D1">
        <w:rPr>
          <w:rFonts w:cs="Arial"/>
          <w:szCs w:val="21"/>
        </w:rPr>
        <w:t>Tarba,</w:t>
      </w:r>
      <w:r w:rsidR="002720BC">
        <w:rPr>
          <w:rFonts w:cs="Arial"/>
          <w:szCs w:val="21"/>
        </w:rPr>
        <w:t xml:space="preserve"> S and</w:t>
      </w:r>
      <w:r w:rsidRPr="004165D1">
        <w:rPr>
          <w:rFonts w:cs="Arial"/>
          <w:szCs w:val="21"/>
        </w:rPr>
        <w:t xml:space="preserve"> Cooper</w:t>
      </w:r>
      <w:r w:rsidR="002720BC">
        <w:rPr>
          <w:rFonts w:cs="Arial"/>
          <w:szCs w:val="21"/>
        </w:rPr>
        <w:t>, C (2025)</w:t>
      </w:r>
      <w:r w:rsidRPr="004165D1">
        <w:rPr>
          <w:rFonts w:cs="Arial"/>
          <w:szCs w:val="21"/>
        </w:rPr>
        <w:t xml:space="preserve"> </w:t>
      </w:r>
      <w:hyperlink r:id="rId37" w:history="1">
        <w:r w:rsidRPr="002720BC">
          <w:rPr>
            <w:rStyle w:val="Hyperlink"/>
            <w:rFonts w:cs="Arial"/>
            <w:szCs w:val="21"/>
          </w:rPr>
          <w:t>Work from home feasibility and challenges for public sector employees in a developing country</w:t>
        </w:r>
      </w:hyperlink>
      <w:r w:rsidR="002720BC">
        <w:rPr>
          <w:rFonts w:cs="Arial"/>
          <w:szCs w:val="21"/>
        </w:rPr>
        <w:t>,</w:t>
      </w:r>
      <w:r w:rsidRPr="004165D1">
        <w:rPr>
          <w:rFonts w:cs="Arial"/>
          <w:szCs w:val="21"/>
        </w:rPr>
        <w:t> </w:t>
      </w:r>
      <w:r w:rsidRPr="004165D1">
        <w:rPr>
          <w:rFonts w:cs="Arial"/>
          <w:i/>
          <w:iCs/>
          <w:szCs w:val="21"/>
        </w:rPr>
        <w:t>Journal of Organizational Effectiveness: People and Performance</w:t>
      </w:r>
      <w:r w:rsidRPr="004165D1">
        <w:rPr>
          <w:rFonts w:cs="Arial"/>
          <w:szCs w:val="21"/>
        </w:rPr>
        <w:t> 12(5)</w:t>
      </w:r>
      <w:r w:rsidR="002720BC">
        <w:rPr>
          <w:rFonts w:cs="Arial"/>
          <w:szCs w:val="21"/>
        </w:rPr>
        <w:t>,</w:t>
      </w:r>
      <w:r w:rsidRPr="004165D1">
        <w:rPr>
          <w:rFonts w:cs="Arial"/>
          <w:szCs w:val="21"/>
        </w:rPr>
        <w:t xml:space="preserve"> 41–59</w:t>
      </w:r>
      <w:r w:rsidR="002720BC">
        <w:rPr>
          <w:rFonts w:cs="Arial"/>
          <w:szCs w:val="21"/>
        </w:rPr>
        <w:t>:</w:t>
      </w:r>
      <w:r w:rsidR="002720BC" w:rsidRPr="002720BC">
        <w:rPr>
          <w:rFonts w:cs="Arial"/>
          <w:szCs w:val="21"/>
        </w:rPr>
        <w:t xml:space="preserve"> </w:t>
      </w:r>
      <w:r w:rsidRPr="002720BC">
        <w:rPr>
          <w:rFonts w:cs="Arial"/>
          <w:szCs w:val="21"/>
        </w:rPr>
        <w:t>doi</w:t>
      </w:r>
      <w:r w:rsidR="002720BC">
        <w:rPr>
          <w:rFonts w:cs="Arial"/>
          <w:szCs w:val="21"/>
        </w:rPr>
        <w:t>:</w:t>
      </w:r>
      <w:r w:rsidRPr="002720BC">
        <w:rPr>
          <w:rFonts w:cs="Arial"/>
          <w:szCs w:val="21"/>
        </w:rPr>
        <w:t>10.1108/JOEPP-12-2023-0549</w:t>
      </w:r>
      <w:r w:rsidR="002720BC">
        <w:rPr>
          <w:rFonts w:cs="Arial"/>
          <w:szCs w:val="21"/>
        </w:rPr>
        <w:t>.</w:t>
      </w:r>
    </w:p>
    <w:p w14:paraId="1B1EF07D" w14:textId="2651D3DB" w:rsidR="00BD7E29" w:rsidRPr="004165D1" w:rsidRDefault="00BD7E29" w:rsidP="00876F56">
      <w:pPr>
        <w:spacing w:before="120"/>
        <w:rPr>
          <w:rFonts w:cs="Arial"/>
          <w:szCs w:val="21"/>
        </w:rPr>
      </w:pPr>
      <w:r w:rsidRPr="004165D1">
        <w:rPr>
          <w:rFonts w:cs="Arial"/>
          <w:szCs w:val="21"/>
        </w:rPr>
        <w:t xml:space="preserve">Padkapayeva, K, Posen, A, Yazdani, A, Buettgen, A, Mahood, Q, &amp; Tompa, E (2016) </w:t>
      </w:r>
      <w:hyperlink r:id="rId38" w:history="1">
        <w:r w:rsidRPr="00803254">
          <w:rPr>
            <w:rStyle w:val="Hyperlink"/>
            <w:rFonts w:cs="Arial"/>
            <w:szCs w:val="21"/>
          </w:rPr>
          <w:t>Workplace accommodations for persons with physical disabilities: evidence synthesis of the peer-reviewed literature</w:t>
        </w:r>
      </w:hyperlink>
      <w:r w:rsidR="00803254">
        <w:rPr>
          <w:rFonts w:cs="Arial"/>
          <w:szCs w:val="21"/>
        </w:rPr>
        <w:t>,</w:t>
      </w:r>
      <w:r w:rsidRPr="004165D1">
        <w:rPr>
          <w:rFonts w:cs="Arial"/>
          <w:szCs w:val="21"/>
        </w:rPr>
        <w:t xml:space="preserve"> </w:t>
      </w:r>
      <w:r w:rsidRPr="00803254">
        <w:rPr>
          <w:rFonts w:cs="Arial"/>
          <w:i/>
          <w:iCs/>
          <w:szCs w:val="21"/>
        </w:rPr>
        <w:t>Disability and Rehabilitation</w:t>
      </w:r>
      <w:r w:rsidRPr="004165D1">
        <w:rPr>
          <w:rFonts w:cs="Arial"/>
          <w:szCs w:val="21"/>
        </w:rPr>
        <w:t xml:space="preserve"> 39(21), 2134–2147</w:t>
      </w:r>
      <w:r w:rsidR="00803254">
        <w:rPr>
          <w:rFonts w:cs="Arial"/>
          <w:szCs w:val="21"/>
        </w:rPr>
        <w:t>:</w:t>
      </w:r>
      <w:r w:rsidRPr="004165D1">
        <w:rPr>
          <w:rFonts w:cs="Arial"/>
          <w:szCs w:val="21"/>
        </w:rPr>
        <w:t xml:space="preserve"> </w:t>
      </w:r>
      <w:r w:rsidR="00980117" w:rsidRPr="00803254">
        <w:rPr>
          <w:rFonts w:cs="Arial"/>
          <w:szCs w:val="21"/>
        </w:rPr>
        <w:t>doi</w:t>
      </w:r>
      <w:r w:rsidR="00803254">
        <w:rPr>
          <w:rFonts w:cs="Arial"/>
          <w:szCs w:val="21"/>
        </w:rPr>
        <w:t>:</w:t>
      </w:r>
      <w:r w:rsidR="00980117" w:rsidRPr="00803254">
        <w:rPr>
          <w:rFonts w:cs="Arial"/>
          <w:szCs w:val="21"/>
        </w:rPr>
        <w:t>10.1080/09638288.2016.1224276</w:t>
      </w:r>
      <w:r w:rsidR="00803254">
        <w:rPr>
          <w:rFonts w:cs="Arial"/>
          <w:szCs w:val="21"/>
        </w:rPr>
        <w:t>.</w:t>
      </w:r>
    </w:p>
    <w:p w14:paraId="76DE0A0C" w14:textId="1F7A6E33" w:rsidR="00980117" w:rsidRPr="004165D1" w:rsidRDefault="00980117" w:rsidP="00876F56">
      <w:pPr>
        <w:spacing w:before="120"/>
        <w:rPr>
          <w:rFonts w:cs="Arial"/>
          <w:szCs w:val="21"/>
        </w:rPr>
      </w:pPr>
      <w:r w:rsidRPr="004165D1">
        <w:rPr>
          <w:rFonts w:cs="Arial"/>
          <w:szCs w:val="21"/>
        </w:rPr>
        <w:t xml:space="preserve">Parmelee, M, </w:t>
      </w:r>
      <w:r w:rsidR="00803254">
        <w:rPr>
          <w:rFonts w:cs="Arial"/>
          <w:szCs w:val="21"/>
        </w:rPr>
        <w:t>and</w:t>
      </w:r>
      <w:r w:rsidRPr="004165D1">
        <w:rPr>
          <w:rFonts w:cs="Arial"/>
          <w:szCs w:val="21"/>
        </w:rPr>
        <w:t xml:space="preserve"> Codd, E (2023) </w:t>
      </w:r>
      <w:hyperlink r:id="rId39" w:history="1">
        <w:r w:rsidRPr="001F2D23">
          <w:rPr>
            <w:rStyle w:val="Hyperlink"/>
            <w:rFonts w:cs="Arial"/>
            <w:szCs w:val="21"/>
          </w:rPr>
          <w:t xml:space="preserve">Women @ </w:t>
        </w:r>
        <w:r w:rsidR="00803254" w:rsidRPr="001F2D23">
          <w:rPr>
            <w:rStyle w:val="Hyperlink"/>
            <w:rFonts w:cs="Arial"/>
            <w:szCs w:val="21"/>
          </w:rPr>
          <w:t>W</w:t>
        </w:r>
        <w:r w:rsidRPr="001F2D23">
          <w:rPr>
            <w:rStyle w:val="Hyperlink"/>
            <w:rFonts w:cs="Arial"/>
            <w:szCs w:val="21"/>
          </w:rPr>
          <w:t>ork 2023</w:t>
        </w:r>
        <w:r w:rsidR="001F2D23" w:rsidRPr="001F2D23">
          <w:rPr>
            <w:rStyle w:val="Hyperlink"/>
            <w:rFonts w:cs="Arial"/>
            <w:szCs w:val="21"/>
          </w:rPr>
          <w:t>:</w:t>
        </w:r>
        <w:r w:rsidRPr="001F2D23">
          <w:rPr>
            <w:rStyle w:val="Hyperlink"/>
            <w:rFonts w:cs="Arial"/>
            <w:szCs w:val="21"/>
          </w:rPr>
          <w:t xml:space="preserve"> </w:t>
        </w:r>
        <w:r w:rsidR="001F2D23" w:rsidRPr="001F2D23">
          <w:rPr>
            <w:rStyle w:val="Hyperlink"/>
            <w:rFonts w:cs="Arial"/>
            <w:szCs w:val="21"/>
          </w:rPr>
          <w:t>A</w:t>
        </w:r>
        <w:r w:rsidRPr="001F2D23">
          <w:rPr>
            <w:rStyle w:val="Hyperlink"/>
            <w:rFonts w:cs="Arial"/>
            <w:szCs w:val="21"/>
          </w:rPr>
          <w:t xml:space="preserve"> </w:t>
        </w:r>
        <w:r w:rsidR="001F2D23" w:rsidRPr="001F2D23">
          <w:rPr>
            <w:rStyle w:val="Hyperlink"/>
            <w:rFonts w:cs="Arial"/>
            <w:szCs w:val="21"/>
          </w:rPr>
          <w:t>G</w:t>
        </w:r>
        <w:r w:rsidRPr="001F2D23">
          <w:rPr>
            <w:rStyle w:val="Hyperlink"/>
            <w:rFonts w:cs="Arial"/>
            <w:szCs w:val="21"/>
          </w:rPr>
          <w:t xml:space="preserve">lobal </w:t>
        </w:r>
        <w:r w:rsidR="001F2D23" w:rsidRPr="001F2D23">
          <w:rPr>
            <w:rStyle w:val="Hyperlink"/>
            <w:rFonts w:cs="Arial"/>
            <w:szCs w:val="21"/>
          </w:rPr>
          <w:t>O</w:t>
        </w:r>
        <w:r w:rsidRPr="001F2D23">
          <w:rPr>
            <w:rStyle w:val="Hyperlink"/>
            <w:rFonts w:cs="Arial"/>
            <w:szCs w:val="21"/>
          </w:rPr>
          <w:t>utlook</w:t>
        </w:r>
      </w:hyperlink>
      <w:r w:rsidR="001F2D23">
        <w:rPr>
          <w:rFonts w:cs="Arial"/>
          <w:szCs w:val="21"/>
        </w:rPr>
        <w:t>,</w:t>
      </w:r>
      <w:r w:rsidRPr="004165D1">
        <w:rPr>
          <w:rFonts w:cs="Arial"/>
          <w:szCs w:val="21"/>
        </w:rPr>
        <w:t xml:space="preserve"> Deloitte. </w:t>
      </w:r>
    </w:p>
    <w:p w14:paraId="230A533F" w14:textId="47C1700E" w:rsidR="00C606E3" w:rsidRDefault="00C606E3" w:rsidP="00876F56">
      <w:pPr>
        <w:spacing w:before="120"/>
        <w:rPr>
          <w:rFonts w:cs="Arial"/>
          <w:szCs w:val="21"/>
        </w:rPr>
      </w:pPr>
      <w:r w:rsidRPr="004165D1">
        <w:rPr>
          <w:rFonts w:cs="Arial"/>
          <w:szCs w:val="21"/>
        </w:rPr>
        <w:t xml:space="preserve">Pfeiffer, B, Braun, K, Kinnealey, M, Derstine Matczak, M and Polatajko, H (2017) </w:t>
      </w:r>
      <w:hyperlink r:id="rId40" w:history="1">
        <w:r w:rsidRPr="001F2D23">
          <w:rPr>
            <w:rStyle w:val="Hyperlink"/>
            <w:rFonts w:cs="Arial"/>
            <w:szCs w:val="21"/>
          </w:rPr>
          <w:t>Environmental factors impacting work satisfaction and performance for adults with autism spectrum disorders</w:t>
        </w:r>
      </w:hyperlink>
      <w:r w:rsidRPr="004165D1">
        <w:rPr>
          <w:rFonts w:cs="Arial"/>
          <w:szCs w:val="21"/>
        </w:rPr>
        <w:t xml:space="preserve">, </w:t>
      </w:r>
      <w:r w:rsidRPr="001F2D23">
        <w:rPr>
          <w:rFonts w:cs="Arial"/>
          <w:i/>
          <w:iCs/>
          <w:szCs w:val="21"/>
        </w:rPr>
        <w:t>Journal of Vocational Rehabilitatio</w:t>
      </w:r>
      <w:r w:rsidR="001F2D23">
        <w:rPr>
          <w:rFonts w:cs="Arial"/>
          <w:i/>
          <w:iCs/>
          <w:szCs w:val="21"/>
        </w:rPr>
        <w:t>n</w:t>
      </w:r>
      <w:r w:rsidRPr="004165D1">
        <w:rPr>
          <w:rFonts w:cs="Arial"/>
          <w:szCs w:val="21"/>
        </w:rPr>
        <w:t xml:space="preserve"> 47</w:t>
      </w:r>
      <w:r w:rsidR="001F2D23">
        <w:rPr>
          <w:rFonts w:cs="Arial"/>
          <w:szCs w:val="21"/>
        </w:rPr>
        <w:t>(</w:t>
      </w:r>
      <w:r w:rsidRPr="004165D1">
        <w:rPr>
          <w:rFonts w:cs="Arial"/>
          <w:szCs w:val="21"/>
        </w:rPr>
        <w:t>1</w:t>
      </w:r>
      <w:r w:rsidR="001F2D23">
        <w:rPr>
          <w:rFonts w:cs="Arial"/>
          <w:szCs w:val="21"/>
        </w:rPr>
        <w:t>),</w:t>
      </w:r>
      <w:r w:rsidRPr="004165D1">
        <w:rPr>
          <w:rFonts w:cs="Arial"/>
          <w:szCs w:val="21"/>
        </w:rPr>
        <w:t xml:space="preserve"> 1-12,</w:t>
      </w:r>
      <w:r w:rsidR="001F2D23">
        <w:rPr>
          <w:rFonts w:cs="Arial"/>
          <w:szCs w:val="21"/>
        </w:rPr>
        <w:t>:</w:t>
      </w:r>
      <w:r w:rsidRPr="004165D1">
        <w:rPr>
          <w:rFonts w:cs="Arial"/>
          <w:szCs w:val="21"/>
        </w:rPr>
        <w:t xml:space="preserve"> doi: </w:t>
      </w:r>
      <w:hyperlink r:id="rId41" w:history="1">
        <w:r w:rsidR="00874835" w:rsidRPr="00065A5A">
          <w:rPr>
            <w:rStyle w:val="Hyperlink"/>
            <w:rFonts w:cs="Arial"/>
            <w:szCs w:val="21"/>
          </w:rPr>
          <w:t>https://doi.org/10.3233/JVR-170878</w:t>
        </w:r>
      </w:hyperlink>
      <w:r w:rsidRPr="004165D1">
        <w:rPr>
          <w:rFonts w:cs="Arial"/>
          <w:szCs w:val="21"/>
        </w:rPr>
        <w:t>.</w:t>
      </w:r>
    </w:p>
    <w:p w14:paraId="466B8FD7" w14:textId="451F610C" w:rsidR="00874835" w:rsidRPr="004165D1" w:rsidRDefault="00874835" w:rsidP="00876F56">
      <w:pPr>
        <w:spacing w:before="120"/>
        <w:rPr>
          <w:rFonts w:cs="Arial"/>
          <w:szCs w:val="21"/>
        </w:rPr>
      </w:pPr>
      <w:r w:rsidRPr="00874835">
        <w:rPr>
          <w:rFonts w:cs="Arial"/>
          <w:szCs w:val="21"/>
        </w:rPr>
        <w:t>Pitts, M</w:t>
      </w:r>
      <w:r w:rsidR="00C3785E">
        <w:rPr>
          <w:rFonts w:cs="Arial"/>
          <w:szCs w:val="21"/>
        </w:rPr>
        <w:t>, Smith, A, Mitchell, A and Patel, S</w:t>
      </w:r>
      <w:r w:rsidRPr="00874835">
        <w:rPr>
          <w:rFonts w:cs="Arial"/>
          <w:szCs w:val="21"/>
        </w:rPr>
        <w:t xml:space="preserve"> (2006) </w:t>
      </w:r>
      <w:hyperlink r:id="rId42" w:history="1">
        <w:r w:rsidRPr="002D7448">
          <w:rPr>
            <w:rStyle w:val="Hyperlink"/>
            <w:rFonts w:cs="Arial"/>
            <w:szCs w:val="21"/>
          </w:rPr>
          <w:t xml:space="preserve">Private lives: </w:t>
        </w:r>
        <w:r w:rsidR="00C3785E" w:rsidRPr="002D7448">
          <w:rPr>
            <w:rStyle w:val="Hyperlink"/>
            <w:rFonts w:cs="Arial"/>
            <w:szCs w:val="21"/>
          </w:rPr>
          <w:t>A</w:t>
        </w:r>
        <w:r w:rsidRPr="002D7448">
          <w:rPr>
            <w:rStyle w:val="Hyperlink"/>
            <w:rFonts w:cs="Arial"/>
            <w:szCs w:val="21"/>
          </w:rPr>
          <w:t xml:space="preserve"> report on the health and wellbeing of GLBTI Australians</w:t>
        </w:r>
      </w:hyperlink>
      <w:r w:rsidRPr="00874835">
        <w:rPr>
          <w:rFonts w:cs="Arial"/>
          <w:szCs w:val="21"/>
        </w:rPr>
        <w:t xml:space="preserve">, Australian research Centre in Sex, </w:t>
      </w:r>
      <w:r w:rsidR="00C3785E">
        <w:rPr>
          <w:rFonts w:cs="Arial"/>
          <w:szCs w:val="21"/>
        </w:rPr>
        <w:t>H</w:t>
      </w:r>
      <w:r w:rsidRPr="00874835">
        <w:rPr>
          <w:rFonts w:cs="Arial"/>
          <w:szCs w:val="21"/>
        </w:rPr>
        <w:t>ealth and Society</w:t>
      </w:r>
      <w:r w:rsidR="00C3785E">
        <w:rPr>
          <w:rFonts w:cs="Arial"/>
          <w:szCs w:val="21"/>
        </w:rPr>
        <w:t>, Latrobe University, Melbourne.</w:t>
      </w:r>
    </w:p>
    <w:p w14:paraId="468A3452" w14:textId="77777777" w:rsidR="00D1067A" w:rsidRPr="004165D1" w:rsidRDefault="00D1067A" w:rsidP="00876F56">
      <w:pPr>
        <w:spacing w:before="120"/>
        <w:rPr>
          <w:rFonts w:cs="Arial"/>
          <w:szCs w:val="21"/>
        </w:rPr>
      </w:pPr>
      <w:r w:rsidRPr="004165D1">
        <w:rPr>
          <w:rFonts w:cs="Arial"/>
          <w:szCs w:val="21"/>
        </w:rPr>
        <w:t>PM&amp;C (Department of the Prime Minister and Cabinet) (2025) Status of Women Report Card 2025, Australian Government, Canberra.</w:t>
      </w:r>
    </w:p>
    <w:p w14:paraId="1254988D" w14:textId="2C39310E" w:rsidR="00D1067A" w:rsidRPr="004165D1" w:rsidRDefault="00014FA4" w:rsidP="00876F56">
      <w:pPr>
        <w:spacing w:before="120"/>
        <w:rPr>
          <w:rFonts w:cs="Arial"/>
          <w:szCs w:val="21"/>
        </w:rPr>
      </w:pPr>
      <w:r w:rsidRPr="00014FA4">
        <w:rPr>
          <w:rFonts w:cs="Arial"/>
          <w:szCs w:val="21"/>
        </w:rPr>
        <w:t>Productivity Commission (2021) </w:t>
      </w:r>
      <w:r w:rsidRPr="00014FA4">
        <w:rPr>
          <w:rFonts w:cs="Arial"/>
          <w:i/>
          <w:iCs/>
          <w:szCs w:val="21"/>
        </w:rPr>
        <w:t xml:space="preserve">Working from home: </w:t>
      </w:r>
      <w:r>
        <w:rPr>
          <w:rFonts w:cs="Arial"/>
          <w:i/>
          <w:iCs/>
          <w:szCs w:val="21"/>
        </w:rPr>
        <w:t>R</w:t>
      </w:r>
      <w:r w:rsidRPr="00014FA4">
        <w:rPr>
          <w:rFonts w:cs="Arial"/>
          <w:i/>
          <w:iCs/>
          <w:szCs w:val="21"/>
        </w:rPr>
        <w:t>esearch paper</w:t>
      </w:r>
      <w:r w:rsidRPr="00014FA4">
        <w:rPr>
          <w:rFonts w:cs="Arial"/>
          <w:szCs w:val="21"/>
        </w:rPr>
        <w:t>, Productivity Commission, Australian Government, </w:t>
      </w:r>
      <w:r>
        <w:rPr>
          <w:rFonts w:cs="Arial"/>
          <w:szCs w:val="21"/>
        </w:rPr>
        <w:t>Canberra.</w:t>
      </w:r>
    </w:p>
    <w:p w14:paraId="739724BB" w14:textId="291BBE47" w:rsidR="00703289" w:rsidRPr="004165D1" w:rsidRDefault="00703289" w:rsidP="00876F56">
      <w:pPr>
        <w:spacing w:before="120"/>
        <w:rPr>
          <w:rFonts w:cs="Arial"/>
          <w:szCs w:val="21"/>
        </w:rPr>
      </w:pPr>
      <w:r w:rsidRPr="004165D1">
        <w:rPr>
          <w:rFonts w:cs="Arial"/>
          <w:szCs w:val="21"/>
        </w:rPr>
        <w:t xml:space="preserve">Praslova, L (2025) </w:t>
      </w:r>
      <w:hyperlink r:id="rId43" w:history="1">
        <w:r w:rsidR="00853CCF" w:rsidRPr="004165D1">
          <w:rPr>
            <w:rStyle w:val="Hyperlink"/>
            <w:rFonts w:cs="Arial"/>
            <w:szCs w:val="21"/>
          </w:rPr>
          <w:t>The Strain of Masking: Reclaiming Our Neurodivergent Selves: Neurodivergent masking at work is not thriving; it's a taxing survival strategy</w:t>
        </w:r>
      </w:hyperlink>
      <w:r w:rsidR="00853CCF" w:rsidRPr="004165D1">
        <w:rPr>
          <w:rFonts w:cs="Arial"/>
          <w:szCs w:val="21"/>
        </w:rPr>
        <w:t>, Psychology Today.</w:t>
      </w:r>
    </w:p>
    <w:p w14:paraId="2EEA3A33" w14:textId="19105D36" w:rsidR="002D7448" w:rsidRDefault="002D7448" w:rsidP="00876F56">
      <w:pPr>
        <w:spacing w:before="120"/>
        <w:rPr>
          <w:rFonts w:cs="Arial"/>
          <w:szCs w:val="21"/>
        </w:rPr>
      </w:pPr>
      <w:r w:rsidRPr="002D7448">
        <w:rPr>
          <w:rFonts w:cs="Arial"/>
          <w:szCs w:val="21"/>
        </w:rPr>
        <w:t xml:space="preserve">Robinson, S, </w:t>
      </w:r>
      <w:r>
        <w:rPr>
          <w:rFonts w:cs="Arial"/>
          <w:szCs w:val="21"/>
        </w:rPr>
        <w:t>and</w:t>
      </w:r>
      <w:r w:rsidRPr="002D7448">
        <w:rPr>
          <w:rFonts w:cs="Arial"/>
          <w:szCs w:val="21"/>
        </w:rPr>
        <w:t xml:space="preserve"> Berman, A (2010) </w:t>
      </w:r>
      <w:r w:rsidRPr="00C71706">
        <w:rPr>
          <w:rFonts w:cs="Arial"/>
          <w:i/>
          <w:iCs/>
          <w:szCs w:val="21"/>
        </w:rPr>
        <w:t>Speaking out: Stopping homophobic and transphobic abuse in Queensland</w:t>
      </w:r>
      <w:r w:rsidR="006F24ED">
        <w:rPr>
          <w:rFonts w:cs="Arial"/>
          <w:szCs w:val="21"/>
        </w:rPr>
        <w:t xml:space="preserve">, </w:t>
      </w:r>
      <w:r w:rsidRPr="002D7448">
        <w:rPr>
          <w:rFonts w:cs="Arial"/>
          <w:szCs w:val="21"/>
        </w:rPr>
        <w:t>Australian Academic Press</w:t>
      </w:r>
      <w:r w:rsidR="00C71706">
        <w:rPr>
          <w:rFonts w:cs="Arial"/>
          <w:szCs w:val="21"/>
        </w:rPr>
        <w:t xml:space="preserve">, Brisbane. </w:t>
      </w:r>
    </w:p>
    <w:p w14:paraId="56A5A892" w14:textId="42193BF5" w:rsidR="002101F7" w:rsidRDefault="002101F7" w:rsidP="002101F7">
      <w:pPr>
        <w:spacing w:before="120"/>
        <w:rPr>
          <w:rFonts w:cs="Arial"/>
          <w:szCs w:val="21"/>
        </w:rPr>
      </w:pPr>
      <w:r w:rsidRPr="002101F7">
        <w:rPr>
          <w:rFonts w:cs="Arial"/>
          <w:szCs w:val="21"/>
        </w:rPr>
        <w:t>Ross</w:t>
      </w:r>
      <w:r>
        <w:rPr>
          <w:rFonts w:cs="Arial"/>
          <w:szCs w:val="21"/>
        </w:rPr>
        <w:t>,</w:t>
      </w:r>
      <w:r w:rsidRPr="002101F7">
        <w:rPr>
          <w:rFonts w:cs="Arial"/>
          <w:szCs w:val="21"/>
        </w:rPr>
        <w:t xml:space="preserve"> R </w:t>
      </w:r>
      <w:r>
        <w:rPr>
          <w:rFonts w:cs="Arial"/>
          <w:szCs w:val="21"/>
        </w:rPr>
        <w:t>(</w:t>
      </w:r>
      <w:r w:rsidRPr="002101F7">
        <w:rPr>
          <w:rFonts w:cs="Arial"/>
          <w:szCs w:val="21"/>
        </w:rPr>
        <w:t>2006</w:t>
      </w:r>
      <w:r>
        <w:rPr>
          <w:rFonts w:cs="Arial"/>
          <w:szCs w:val="21"/>
        </w:rPr>
        <w:t>)</w:t>
      </w:r>
      <w:r w:rsidRPr="002101F7">
        <w:rPr>
          <w:rFonts w:cs="Arial"/>
          <w:szCs w:val="21"/>
        </w:rPr>
        <w:t xml:space="preserve"> Recent evidence on health and employment status for Indigenous Australia</w:t>
      </w:r>
      <w:r>
        <w:rPr>
          <w:rFonts w:cs="Arial"/>
          <w:szCs w:val="21"/>
        </w:rPr>
        <w:t>,</w:t>
      </w:r>
      <w:r w:rsidRPr="002101F7">
        <w:rPr>
          <w:rFonts w:cs="Arial"/>
          <w:szCs w:val="21"/>
        </w:rPr>
        <w:t xml:space="preserve"> </w:t>
      </w:r>
      <w:r w:rsidRPr="002101F7">
        <w:rPr>
          <w:rFonts w:cs="Arial"/>
          <w:i/>
          <w:iCs/>
          <w:szCs w:val="21"/>
        </w:rPr>
        <w:t>Australian Journal of Labour Economics</w:t>
      </w:r>
      <w:r w:rsidRPr="002101F7">
        <w:rPr>
          <w:rFonts w:cs="Arial"/>
          <w:szCs w:val="21"/>
        </w:rPr>
        <w:t xml:space="preserve"> 9(1):65–81.</w:t>
      </w:r>
    </w:p>
    <w:p w14:paraId="7298E704" w14:textId="4E084920" w:rsidR="00281F2C" w:rsidRDefault="00281F2C" w:rsidP="00876F56">
      <w:pPr>
        <w:spacing w:before="120"/>
        <w:rPr>
          <w:rFonts w:cs="Arial"/>
          <w:szCs w:val="21"/>
        </w:rPr>
      </w:pPr>
      <w:r w:rsidRPr="004165D1">
        <w:rPr>
          <w:rFonts w:cs="Arial"/>
          <w:szCs w:val="21"/>
        </w:rPr>
        <w:t xml:space="preserve">Schur A, Ameri M, Kruse, D (2020) </w:t>
      </w:r>
      <w:hyperlink r:id="rId44" w:history="1">
        <w:r w:rsidRPr="004165D1">
          <w:rPr>
            <w:rStyle w:val="Hyperlink"/>
            <w:rFonts w:cs="Arial"/>
            <w:szCs w:val="21"/>
          </w:rPr>
          <w:t>Telework After COVID: A "Silver Lining" for Workers with Disabilities?</w:t>
        </w:r>
      </w:hyperlink>
      <w:r w:rsidRPr="004165D1">
        <w:rPr>
          <w:rFonts w:cs="Arial"/>
          <w:szCs w:val="21"/>
        </w:rPr>
        <w:t xml:space="preserve"> </w:t>
      </w:r>
      <w:r w:rsidRPr="004165D1">
        <w:rPr>
          <w:rFonts w:cs="Arial"/>
          <w:i/>
          <w:iCs/>
          <w:szCs w:val="21"/>
        </w:rPr>
        <w:t xml:space="preserve">Journal </w:t>
      </w:r>
      <w:r w:rsidR="0078315B" w:rsidRPr="004165D1">
        <w:rPr>
          <w:rFonts w:cs="Arial"/>
          <w:i/>
          <w:iCs/>
          <w:szCs w:val="21"/>
        </w:rPr>
        <w:t xml:space="preserve">of </w:t>
      </w:r>
      <w:r w:rsidRPr="004165D1">
        <w:rPr>
          <w:rFonts w:cs="Arial"/>
          <w:i/>
          <w:iCs/>
          <w:szCs w:val="21"/>
        </w:rPr>
        <w:t>Occup</w:t>
      </w:r>
      <w:r w:rsidR="0078315B" w:rsidRPr="004165D1">
        <w:rPr>
          <w:rFonts w:cs="Arial"/>
          <w:i/>
          <w:iCs/>
          <w:szCs w:val="21"/>
        </w:rPr>
        <w:t>ational</w:t>
      </w:r>
      <w:r w:rsidRPr="004165D1">
        <w:rPr>
          <w:rFonts w:cs="Arial"/>
          <w:i/>
          <w:iCs/>
          <w:szCs w:val="21"/>
        </w:rPr>
        <w:t xml:space="preserve"> Rehabil</w:t>
      </w:r>
      <w:r w:rsidR="0078315B" w:rsidRPr="004165D1">
        <w:rPr>
          <w:rFonts w:cs="Arial"/>
          <w:i/>
          <w:iCs/>
          <w:szCs w:val="21"/>
        </w:rPr>
        <w:t>itation</w:t>
      </w:r>
      <w:r w:rsidR="0078315B" w:rsidRPr="004165D1">
        <w:rPr>
          <w:rFonts w:cs="Arial"/>
          <w:szCs w:val="21"/>
        </w:rPr>
        <w:t xml:space="preserve"> </w:t>
      </w:r>
      <w:r w:rsidRPr="004165D1">
        <w:rPr>
          <w:rFonts w:cs="Arial"/>
          <w:szCs w:val="21"/>
        </w:rPr>
        <w:t>30(4):</w:t>
      </w:r>
      <w:r w:rsidR="00876F56">
        <w:rPr>
          <w:rFonts w:cs="Arial"/>
          <w:szCs w:val="21"/>
        </w:rPr>
        <w:t xml:space="preserve"> </w:t>
      </w:r>
      <w:r w:rsidRPr="004165D1">
        <w:rPr>
          <w:rFonts w:cs="Arial"/>
          <w:szCs w:val="21"/>
        </w:rPr>
        <w:t>521-536</w:t>
      </w:r>
      <w:r w:rsidR="0078315B" w:rsidRPr="004165D1">
        <w:rPr>
          <w:rFonts w:cs="Arial"/>
          <w:szCs w:val="21"/>
        </w:rPr>
        <w:t xml:space="preserve">: </w:t>
      </w:r>
      <w:r w:rsidRPr="004165D1">
        <w:rPr>
          <w:rFonts w:cs="Arial"/>
          <w:szCs w:val="21"/>
        </w:rPr>
        <w:t>doi:10.1007/s10926-020-09936-5</w:t>
      </w:r>
      <w:r w:rsidR="00876F56">
        <w:rPr>
          <w:rFonts w:cs="Arial"/>
          <w:szCs w:val="21"/>
        </w:rPr>
        <w:t>.</w:t>
      </w:r>
    </w:p>
    <w:p w14:paraId="74F2C628" w14:textId="59A93A81" w:rsidR="001760A1" w:rsidRPr="004165D1" w:rsidRDefault="001760A1" w:rsidP="001760A1">
      <w:pPr>
        <w:spacing w:before="120"/>
        <w:rPr>
          <w:rFonts w:cs="Arial"/>
          <w:szCs w:val="21"/>
        </w:rPr>
      </w:pPr>
      <w:r w:rsidRPr="001760A1">
        <w:rPr>
          <w:rFonts w:cs="Arial"/>
          <w:szCs w:val="21"/>
        </w:rPr>
        <w:lastRenderedPageBreak/>
        <w:t>Stephens</w:t>
      </w:r>
      <w:r>
        <w:rPr>
          <w:rFonts w:cs="Arial"/>
          <w:szCs w:val="21"/>
        </w:rPr>
        <w:t>,</w:t>
      </w:r>
      <w:r w:rsidRPr="001760A1">
        <w:rPr>
          <w:rFonts w:cs="Arial"/>
          <w:szCs w:val="21"/>
        </w:rPr>
        <w:t xml:space="preserve"> B </w:t>
      </w:r>
      <w:r>
        <w:rPr>
          <w:rFonts w:cs="Arial"/>
          <w:szCs w:val="21"/>
        </w:rPr>
        <w:t>(</w:t>
      </w:r>
      <w:r w:rsidRPr="001760A1">
        <w:rPr>
          <w:rFonts w:cs="Arial"/>
          <w:szCs w:val="21"/>
        </w:rPr>
        <w:t>2010</w:t>
      </w:r>
      <w:r>
        <w:rPr>
          <w:rFonts w:cs="Arial"/>
          <w:szCs w:val="21"/>
        </w:rPr>
        <w:t>)</w:t>
      </w:r>
      <w:r w:rsidRPr="001760A1">
        <w:rPr>
          <w:rFonts w:cs="Arial"/>
          <w:szCs w:val="21"/>
        </w:rPr>
        <w:t xml:space="preserve"> The Determinants of labour force status among Indigenous Australians</w:t>
      </w:r>
      <w:r>
        <w:rPr>
          <w:rFonts w:cs="Arial"/>
          <w:szCs w:val="21"/>
        </w:rPr>
        <w:t>,</w:t>
      </w:r>
      <w:r w:rsidRPr="001760A1">
        <w:rPr>
          <w:rFonts w:cs="Arial"/>
          <w:szCs w:val="21"/>
        </w:rPr>
        <w:t xml:space="preserve"> </w:t>
      </w:r>
      <w:r w:rsidRPr="001760A1">
        <w:rPr>
          <w:rFonts w:cs="Arial"/>
          <w:i/>
          <w:iCs/>
          <w:szCs w:val="21"/>
        </w:rPr>
        <w:t>Australian Journal of Labour Economics</w:t>
      </w:r>
      <w:r w:rsidRPr="001760A1">
        <w:rPr>
          <w:rFonts w:cs="Arial"/>
          <w:szCs w:val="21"/>
        </w:rPr>
        <w:t xml:space="preserve"> 13(3):</w:t>
      </w:r>
      <w:r>
        <w:rPr>
          <w:rFonts w:cs="Arial"/>
          <w:szCs w:val="21"/>
        </w:rPr>
        <w:t xml:space="preserve"> </w:t>
      </w:r>
      <w:r w:rsidRPr="001760A1">
        <w:rPr>
          <w:rFonts w:cs="Arial"/>
          <w:szCs w:val="21"/>
        </w:rPr>
        <w:t>287–312</w:t>
      </w:r>
      <w:r>
        <w:rPr>
          <w:rFonts w:cs="Arial"/>
          <w:szCs w:val="21"/>
        </w:rPr>
        <w:t>.</w:t>
      </w:r>
    </w:p>
    <w:p w14:paraId="5C7BE478" w14:textId="066FA09C" w:rsidR="00C6429C" w:rsidRPr="004165D1" w:rsidRDefault="00C6429C" w:rsidP="00876F56">
      <w:pPr>
        <w:spacing w:before="120"/>
        <w:rPr>
          <w:rFonts w:cs="Arial"/>
          <w:szCs w:val="21"/>
        </w:rPr>
      </w:pPr>
      <w:r w:rsidRPr="004165D1">
        <w:rPr>
          <w:rFonts w:cs="Arial"/>
          <w:szCs w:val="21"/>
        </w:rPr>
        <w:t>Tsipursky, G (2024) What is Proximity Bias and How Can Managers Prevent It?</w:t>
      </w:r>
      <w:r w:rsidR="00A02FD0" w:rsidRPr="004165D1">
        <w:rPr>
          <w:rFonts w:cs="Arial"/>
          <w:szCs w:val="21"/>
        </w:rPr>
        <w:t xml:space="preserve">, Harvard Business Review, Inclusion and Belonging. </w:t>
      </w:r>
    </w:p>
    <w:p w14:paraId="276549CD" w14:textId="3F50AB06" w:rsidR="00281F2C" w:rsidRDefault="00E26816" w:rsidP="00876F56">
      <w:pPr>
        <w:pStyle w:val="FootnoteText"/>
        <w:spacing w:before="120" w:after="120"/>
        <w:rPr>
          <w:sz w:val="21"/>
          <w:szCs w:val="21"/>
        </w:rPr>
      </w:pPr>
      <w:r w:rsidRPr="004165D1">
        <w:rPr>
          <w:sz w:val="21"/>
          <w:szCs w:val="21"/>
        </w:rPr>
        <w:t xml:space="preserve">VLA (Victoria Legal Aid) (2024) </w:t>
      </w:r>
      <w:hyperlink r:id="rId45" w:anchor="record/67317" w:history="1">
        <w:r w:rsidRPr="004165D1">
          <w:rPr>
            <w:rStyle w:val="Hyperlink"/>
            <w:sz w:val="21"/>
            <w:szCs w:val="21"/>
          </w:rPr>
          <w:t>Current and emerging threats to trans and gender diverse human rights</w:t>
        </w:r>
      </w:hyperlink>
      <w:r w:rsidRPr="004165D1">
        <w:rPr>
          <w:sz w:val="21"/>
          <w:szCs w:val="21"/>
        </w:rPr>
        <w:t>, Victoria Legal Aid submission to the Australian Human Rights Commission, 26 April 2024.</w:t>
      </w:r>
    </w:p>
    <w:p w14:paraId="3DD263A3" w14:textId="1889D10A" w:rsidR="00D73727" w:rsidRPr="004165D1" w:rsidRDefault="00D73727" w:rsidP="00876F56">
      <w:pPr>
        <w:pStyle w:val="FootnoteText"/>
        <w:spacing w:before="120" w:after="120"/>
        <w:rPr>
          <w:sz w:val="21"/>
          <w:szCs w:val="21"/>
        </w:rPr>
      </w:pPr>
      <w:r>
        <w:rPr>
          <w:sz w:val="21"/>
          <w:szCs w:val="21"/>
        </w:rPr>
        <w:t xml:space="preserve">VPSC (Victorian Public Sector Commission) 2024, </w:t>
      </w:r>
      <w:hyperlink r:id="rId46" w:history="1">
        <w:r w:rsidR="000E7E6E" w:rsidRPr="00C666FD">
          <w:rPr>
            <w:rStyle w:val="Hyperlink"/>
            <w:sz w:val="21"/>
            <w:szCs w:val="21"/>
          </w:rPr>
          <w:t>Workforce data (state of the public sector) 2024: Em</w:t>
        </w:r>
        <w:r w:rsidR="005D7979" w:rsidRPr="00C666FD">
          <w:rPr>
            <w:rStyle w:val="Hyperlink"/>
            <w:sz w:val="21"/>
            <w:szCs w:val="21"/>
          </w:rPr>
          <w:t>ployment arrangements 2024</w:t>
        </w:r>
      </w:hyperlink>
      <w:r w:rsidR="00415210">
        <w:rPr>
          <w:sz w:val="21"/>
          <w:szCs w:val="21"/>
        </w:rPr>
        <w:t>, VPSC Website.</w:t>
      </w:r>
    </w:p>
    <w:p w14:paraId="101FBCF5" w14:textId="03225CF5" w:rsidR="00A05F8D" w:rsidRPr="004165D1" w:rsidRDefault="00A05F8D" w:rsidP="00876F56">
      <w:pPr>
        <w:spacing w:before="120"/>
        <w:rPr>
          <w:rFonts w:cs="Arial"/>
          <w:szCs w:val="21"/>
        </w:rPr>
      </w:pPr>
      <w:r w:rsidRPr="004165D1">
        <w:rPr>
          <w:rFonts w:cs="Arial"/>
          <w:szCs w:val="21"/>
        </w:rPr>
        <w:t>Wang B, Liu Y, Qian J, Parker S</w:t>
      </w:r>
      <w:r w:rsidR="00634D22">
        <w:rPr>
          <w:rFonts w:cs="Arial"/>
          <w:szCs w:val="21"/>
        </w:rPr>
        <w:t xml:space="preserve"> (2021)</w:t>
      </w:r>
      <w:r w:rsidRPr="004165D1">
        <w:rPr>
          <w:rFonts w:cs="Arial"/>
          <w:szCs w:val="21"/>
        </w:rPr>
        <w:t xml:space="preserve"> Achieving effective remote working during the </w:t>
      </w:r>
      <w:r w:rsidR="00634D22">
        <w:rPr>
          <w:rFonts w:cs="Arial"/>
          <w:szCs w:val="21"/>
        </w:rPr>
        <w:t>COVID</w:t>
      </w:r>
      <w:r w:rsidRPr="004165D1">
        <w:rPr>
          <w:rFonts w:cs="Arial"/>
          <w:szCs w:val="21"/>
        </w:rPr>
        <w:t xml:space="preserve">-19 pandemic: </w:t>
      </w:r>
      <w:r w:rsidR="00634D22">
        <w:rPr>
          <w:rFonts w:cs="Arial"/>
          <w:szCs w:val="21"/>
        </w:rPr>
        <w:t>A</w:t>
      </w:r>
      <w:r w:rsidRPr="004165D1">
        <w:rPr>
          <w:rFonts w:cs="Arial"/>
          <w:szCs w:val="21"/>
        </w:rPr>
        <w:t xml:space="preserve"> work design perspective</w:t>
      </w:r>
      <w:r w:rsidR="00634D22">
        <w:rPr>
          <w:rFonts w:cs="Arial"/>
          <w:szCs w:val="21"/>
        </w:rPr>
        <w:t>,</w:t>
      </w:r>
      <w:r w:rsidRPr="004165D1">
        <w:rPr>
          <w:rFonts w:cs="Arial"/>
          <w:szCs w:val="21"/>
        </w:rPr>
        <w:t xml:space="preserve"> </w:t>
      </w:r>
      <w:r w:rsidRPr="00634D22">
        <w:rPr>
          <w:rFonts w:cs="Arial"/>
          <w:i/>
          <w:iCs/>
          <w:szCs w:val="21"/>
        </w:rPr>
        <w:t>Appl</w:t>
      </w:r>
      <w:r w:rsidR="00634D22" w:rsidRPr="00634D22">
        <w:rPr>
          <w:rFonts w:cs="Arial"/>
          <w:i/>
          <w:iCs/>
          <w:szCs w:val="21"/>
        </w:rPr>
        <w:t>ied</w:t>
      </w:r>
      <w:r w:rsidRPr="00634D22">
        <w:rPr>
          <w:rFonts w:cs="Arial"/>
          <w:i/>
          <w:iCs/>
          <w:szCs w:val="21"/>
        </w:rPr>
        <w:t xml:space="preserve"> Psychol</w:t>
      </w:r>
      <w:r w:rsidR="00634D22" w:rsidRPr="00634D22">
        <w:rPr>
          <w:rFonts w:cs="Arial"/>
          <w:i/>
          <w:iCs/>
          <w:szCs w:val="21"/>
        </w:rPr>
        <w:t>ogy</w:t>
      </w:r>
      <w:r w:rsidRPr="004165D1">
        <w:rPr>
          <w:rFonts w:cs="Arial"/>
          <w:szCs w:val="21"/>
        </w:rPr>
        <w:t xml:space="preserve"> 70(1):16–59.</w:t>
      </w:r>
    </w:p>
    <w:p w14:paraId="3022F675" w14:textId="7198DB3E" w:rsidR="00790631" w:rsidRPr="004165D1" w:rsidRDefault="00D1067A" w:rsidP="00876F56">
      <w:pPr>
        <w:spacing w:before="120"/>
        <w:rPr>
          <w:rFonts w:cs="Arial"/>
          <w:szCs w:val="21"/>
        </w:rPr>
      </w:pPr>
      <w:r w:rsidRPr="004165D1">
        <w:rPr>
          <w:rFonts w:cs="Arial"/>
          <w:szCs w:val="21"/>
        </w:rPr>
        <w:t>WGEA (Workplace Gender Equality Agency) (2024) Policy and strategy guidance: Flexible working arrangements, WGEA.</w:t>
      </w:r>
    </w:p>
    <w:p w14:paraId="747B583D" w14:textId="308C4257" w:rsidR="009B1195" w:rsidRPr="004165D1" w:rsidRDefault="009B1195" w:rsidP="00876F56">
      <w:pPr>
        <w:spacing w:before="120"/>
        <w:rPr>
          <w:rFonts w:cs="Arial"/>
          <w:szCs w:val="21"/>
        </w:rPr>
      </w:pPr>
      <w:r w:rsidRPr="004165D1">
        <w:rPr>
          <w:rFonts w:cs="Arial"/>
          <w:szCs w:val="21"/>
        </w:rPr>
        <w:t xml:space="preserve">Williamson, S, </w:t>
      </w:r>
      <w:r w:rsidR="00634D22">
        <w:rPr>
          <w:rFonts w:cs="Arial"/>
          <w:szCs w:val="21"/>
        </w:rPr>
        <w:t>and</w:t>
      </w:r>
      <w:r w:rsidRPr="004165D1">
        <w:rPr>
          <w:rFonts w:cs="Arial"/>
          <w:szCs w:val="21"/>
        </w:rPr>
        <w:t xml:space="preserve"> Colley, L (2022) Working during the pandemic: The future of work is hybrid</w:t>
      </w:r>
      <w:r w:rsidR="00634D22">
        <w:rPr>
          <w:rFonts w:cs="Arial"/>
          <w:szCs w:val="21"/>
        </w:rPr>
        <w:t>,</w:t>
      </w:r>
      <w:r w:rsidRPr="004165D1">
        <w:rPr>
          <w:rFonts w:cs="Arial"/>
          <w:szCs w:val="21"/>
        </w:rPr>
        <w:t xml:space="preserve"> Public Service Research Group, U</w:t>
      </w:r>
      <w:r w:rsidR="00634D22">
        <w:rPr>
          <w:rFonts w:cs="Arial"/>
          <w:szCs w:val="21"/>
        </w:rPr>
        <w:t xml:space="preserve">niversity of </w:t>
      </w:r>
      <w:r w:rsidRPr="004165D1">
        <w:rPr>
          <w:rFonts w:cs="Arial"/>
          <w:szCs w:val="21"/>
        </w:rPr>
        <w:t>N</w:t>
      </w:r>
      <w:r w:rsidR="00634D22">
        <w:rPr>
          <w:rFonts w:cs="Arial"/>
          <w:szCs w:val="21"/>
        </w:rPr>
        <w:t xml:space="preserve">ew </w:t>
      </w:r>
      <w:r w:rsidRPr="004165D1">
        <w:rPr>
          <w:rFonts w:cs="Arial"/>
          <w:szCs w:val="21"/>
        </w:rPr>
        <w:t>S</w:t>
      </w:r>
      <w:r w:rsidR="00634D22">
        <w:rPr>
          <w:rFonts w:cs="Arial"/>
          <w:szCs w:val="21"/>
        </w:rPr>
        <w:t xml:space="preserve">outh </w:t>
      </w:r>
      <w:r w:rsidRPr="004165D1">
        <w:rPr>
          <w:rFonts w:cs="Arial"/>
          <w:szCs w:val="21"/>
        </w:rPr>
        <w:t>W</w:t>
      </w:r>
      <w:r w:rsidR="00634D22">
        <w:rPr>
          <w:rFonts w:cs="Arial"/>
          <w:szCs w:val="21"/>
        </w:rPr>
        <w:t>ales,</w:t>
      </w:r>
      <w:r w:rsidRPr="004165D1">
        <w:rPr>
          <w:rFonts w:cs="Arial"/>
          <w:szCs w:val="21"/>
        </w:rPr>
        <w:t xml:space="preserve"> Canberra. </w:t>
      </w:r>
    </w:p>
    <w:p w14:paraId="312DEA78" w14:textId="76BBE62F" w:rsidR="00162CA9" w:rsidRPr="001760A1" w:rsidRDefault="00980117" w:rsidP="001760A1">
      <w:pPr>
        <w:spacing w:before="120"/>
        <w:rPr>
          <w:rFonts w:cs="Arial"/>
          <w:szCs w:val="21"/>
        </w:rPr>
      </w:pPr>
      <w:r w:rsidRPr="004165D1">
        <w:rPr>
          <w:rFonts w:cs="Arial"/>
          <w:szCs w:val="21"/>
        </w:rPr>
        <w:t xml:space="preserve">Williamson, S, Jogulu, U, Lundy, J, </w:t>
      </w:r>
      <w:r w:rsidR="00656CF6">
        <w:rPr>
          <w:rFonts w:cs="Arial"/>
          <w:szCs w:val="21"/>
        </w:rPr>
        <w:t>and</w:t>
      </w:r>
      <w:r w:rsidRPr="004165D1">
        <w:rPr>
          <w:rFonts w:cs="Arial"/>
          <w:szCs w:val="21"/>
        </w:rPr>
        <w:t xml:space="preserve"> Taylor, H (2024) </w:t>
      </w:r>
      <w:hyperlink r:id="rId47" w:history="1">
        <w:r w:rsidRPr="00656CF6">
          <w:rPr>
            <w:rStyle w:val="Hyperlink"/>
            <w:rFonts w:cs="Arial"/>
            <w:szCs w:val="21"/>
          </w:rPr>
          <w:t>Will return-to-office mandates prevent proximity bias for employees working from home?</w:t>
        </w:r>
      </w:hyperlink>
      <w:r w:rsidR="00656CF6">
        <w:rPr>
          <w:rFonts w:cs="Arial"/>
          <w:szCs w:val="21"/>
        </w:rPr>
        <w:t>,</w:t>
      </w:r>
      <w:r w:rsidRPr="004165D1">
        <w:rPr>
          <w:rFonts w:cs="Arial"/>
          <w:szCs w:val="21"/>
        </w:rPr>
        <w:t xml:space="preserve"> </w:t>
      </w:r>
      <w:r w:rsidRPr="00656CF6">
        <w:rPr>
          <w:rFonts w:cs="Arial"/>
          <w:i/>
          <w:iCs/>
          <w:szCs w:val="21"/>
        </w:rPr>
        <w:t>Australian Journal of Public Administration</w:t>
      </w:r>
      <w:r w:rsidRPr="004165D1">
        <w:rPr>
          <w:rFonts w:cs="Arial"/>
          <w:szCs w:val="21"/>
        </w:rPr>
        <w:t xml:space="preserve"> 83, 717–722</w:t>
      </w:r>
      <w:r w:rsidR="00656CF6">
        <w:rPr>
          <w:rFonts w:cs="Arial"/>
          <w:szCs w:val="21"/>
        </w:rPr>
        <w:t xml:space="preserve">: </w:t>
      </w:r>
      <w:r w:rsidR="00656CF6" w:rsidRPr="00656CF6">
        <w:rPr>
          <w:rFonts w:cs="Arial"/>
          <w:szCs w:val="21"/>
        </w:rPr>
        <w:t>doi</w:t>
      </w:r>
      <w:r w:rsidR="00656CF6">
        <w:rPr>
          <w:rFonts w:cs="Arial"/>
          <w:szCs w:val="21"/>
        </w:rPr>
        <w:t xml:space="preserve">: </w:t>
      </w:r>
      <w:r w:rsidR="00656CF6" w:rsidRPr="00656CF6">
        <w:rPr>
          <w:rFonts w:cs="Arial"/>
          <w:szCs w:val="21"/>
        </w:rPr>
        <w:t>10.1111/1467-8500.12634</w:t>
      </w:r>
      <w:r w:rsidR="00C73692">
        <w:rPr>
          <w:rFonts w:cs="Arial"/>
          <w:szCs w:val="21"/>
        </w:rPr>
        <w:t xml:space="preserve">. </w:t>
      </w:r>
    </w:p>
    <w:sectPr w:rsidR="00162CA9" w:rsidRPr="001760A1" w:rsidSect="00AE4DC0">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55C4" w14:textId="77777777" w:rsidR="002D4054" w:rsidRDefault="002D4054">
      <w:r>
        <w:separator/>
      </w:r>
    </w:p>
    <w:p w14:paraId="44322E33" w14:textId="77777777" w:rsidR="002D4054" w:rsidRDefault="002D4054"/>
  </w:endnote>
  <w:endnote w:type="continuationSeparator" w:id="0">
    <w:p w14:paraId="654F2F4F" w14:textId="77777777" w:rsidR="002D4054" w:rsidRDefault="002D4054">
      <w:r>
        <w:continuationSeparator/>
      </w:r>
    </w:p>
    <w:p w14:paraId="29D6E5A2" w14:textId="77777777" w:rsidR="002D4054" w:rsidRDefault="002D4054"/>
  </w:endnote>
  <w:endnote w:type="continuationNotice" w:id="1">
    <w:p w14:paraId="52ED2A7A" w14:textId="77777777" w:rsidR="002D4054" w:rsidRDefault="002D4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1442014"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253715333"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B7BF" w14:textId="77777777" w:rsidR="002D4054" w:rsidRDefault="002D4054" w:rsidP="00207717">
      <w:pPr>
        <w:spacing w:before="120"/>
      </w:pPr>
      <w:r>
        <w:separator/>
      </w:r>
    </w:p>
  </w:footnote>
  <w:footnote w:type="continuationSeparator" w:id="0">
    <w:p w14:paraId="13DC0EC8" w14:textId="77777777" w:rsidR="002D4054" w:rsidRDefault="002D4054">
      <w:r>
        <w:continuationSeparator/>
      </w:r>
    </w:p>
    <w:p w14:paraId="7C2FBB4F" w14:textId="77777777" w:rsidR="002D4054" w:rsidRDefault="002D4054"/>
  </w:footnote>
  <w:footnote w:type="continuationNotice" w:id="1">
    <w:p w14:paraId="67FD6F97" w14:textId="77777777" w:rsidR="002D4054" w:rsidRDefault="002D4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20CFAEB" w:rsidR="00E261B3" w:rsidRPr="0051568D" w:rsidRDefault="002151B0" w:rsidP="00E05026">
    <w:pPr>
      <w:pStyle w:val="Header"/>
    </w:pPr>
    <w:r>
      <w:t>PSGEC</w:t>
    </w:r>
    <w:r w:rsidR="008D1850">
      <w:t xml:space="preserve"> submission on the proposed working from home legislation</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KcS4MKJbUaoGDY" int2:id="IJXVKQ4J">
      <int2:state int2:value="Rejected" int2:type="spell"/>
    </int2:textHash>
    <int2:textHash int2:hashCode="j3UPz0yHNPCpk4" int2:id="OxpM2FGO">
      <int2:state int2:value="Rejected" int2:type="spell"/>
    </int2:textHash>
    <int2:textHash int2:hashCode="IHZO8dpey4486P" int2:id="QDHPAqdP">
      <int2:state int2:value="Rejected" int2:type="spell"/>
    </int2:textHash>
    <int2:textHash int2:hashCode="b4eeGkucU5gw9z" int2:id="c4X8SlRL">
      <int2:state int2:value="Rejected" int2:type="spell"/>
    </int2:textHash>
    <int2:textHash int2:hashCode="A97lfao2plgKbJ" int2:id="cQClmx3y">
      <int2:state int2:value="Rejected" int2:type="spell"/>
    </int2:textHash>
    <int2:textHash int2:hashCode="MKlkuJjd8WrH0W" int2:id="gbBhTggx">
      <int2:state int2:value="Rejected" int2:type="spell"/>
    </int2:textHash>
    <int2:textHash int2:hashCode="2/1znc2uTpGPw5" int2:id="oowgWiL0">
      <int2:state int2:value="Rejected" int2:type="spell"/>
    </int2:textHash>
    <int2:textHash int2:hashCode="6RkAu/qOVwqyxY" int2:id="rNb3fMHX">
      <int2:state int2:value="Rejected" int2:type="spell"/>
    </int2:textHash>
    <int2:textHash int2:hashCode="ikGLSdVBwWPFVA" int2:id="rQDjIvpY">
      <int2:state int2:value="Rejected" int2:type="spell"/>
    </int2:textHash>
    <int2:textHash int2:hashCode="K5k3SIcfUZsfuT" int2:id="xTNMToXi">
      <int2:state int2:value="Rejected" int2:type="spell"/>
    </int2:textHash>
    <int2:textHash int2:hashCode="jtzAEUhErluszH" int2:id="y7yB2Jw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62"/>
    <w:multiLevelType w:val="multilevel"/>
    <w:tmpl w:val="743E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A701E"/>
    <w:multiLevelType w:val="multilevel"/>
    <w:tmpl w:val="175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0056"/>
    <w:multiLevelType w:val="multilevel"/>
    <w:tmpl w:val="A10A987A"/>
    <w:numStyleLink w:val="ZZNumbersloweralpha"/>
  </w:abstractNum>
  <w:abstractNum w:abstractNumId="3" w15:restartNumberingAfterBreak="0">
    <w:nsid w:val="04ED1589"/>
    <w:multiLevelType w:val="multilevel"/>
    <w:tmpl w:val="CD84C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93BBE"/>
    <w:multiLevelType w:val="multilevel"/>
    <w:tmpl w:val="600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D43DB"/>
    <w:multiLevelType w:val="multilevel"/>
    <w:tmpl w:val="B4525A8A"/>
    <w:numStyleLink w:val="ZZNumbersdigit"/>
  </w:abstractNum>
  <w:abstractNum w:abstractNumId="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1F4916"/>
    <w:multiLevelType w:val="multilevel"/>
    <w:tmpl w:val="3FD0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A56DD"/>
    <w:multiLevelType w:val="multilevel"/>
    <w:tmpl w:val="69623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DEFDE"/>
    <w:multiLevelType w:val="hybridMultilevel"/>
    <w:tmpl w:val="F06AD99C"/>
    <w:lvl w:ilvl="0" w:tplc="E1C26464">
      <w:start w:val="1"/>
      <w:numFmt w:val="bullet"/>
      <w:lvlText w:val=""/>
      <w:lvlJc w:val="left"/>
      <w:pPr>
        <w:ind w:left="720" w:hanging="360"/>
      </w:pPr>
      <w:rPr>
        <w:rFonts w:ascii="Symbol" w:hAnsi="Symbol" w:hint="default"/>
      </w:rPr>
    </w:lvl>
    <w:lvl w:ilvl="1" w:tplc="BFE2E1F2">
      <w:start w:val="1"/>
      <w:numFmt w:val="bullet"/>
      <w:lvlText w:val="o"/>
      <w:lvlJc w:val="left"/>
      <w:pPr>
        <w:ind w:left="1440" w:hanging="360"/>
      </w:pPr>
      <w:rPr>
        <w:rFonts w:ascii="Courier New" w:hAnsi="Courier New" w:hint="default"/>
      </w:rPr>
    </w:lvl>
    <w:lvl w:ilvl="2" w:tplc="A9781470">
      <w:start w:val="1"/>
      <w:numFmt w:val="bullet"/>
      <w:lvlText w:val=""/>
      <w:lvlJc w:val="left"/>
      <w:pPr>
        <w:ind w:left="2160" w:hanging="360"/>
      </w:pPr>
      <w:rPr>
        <w:rFonts w:ascii="Wingdings" w:hAnsi="Wingdings" w:hint="default"/>
      </w:rPr>
    </w:lvl>
    <w:lvl w:ilvl="3" w:tplc="8BE8A55E">
      <w:start w:val="1"/>
      <w:numFmt w:val="bullet"/>
      <w:lvlText w:val=""/>
      <w:lvlJc w:val="left"/>
      <w:pPr>
        <w:ind w:left="2880" w:hanging="360"/>
      </w:pPr>
      <w:rPr>
        <w:rFonts w:ascii="Symbol" w:hAnsi="Symbol" w:hint="default"/>
      </w:rPr>
    </w:lvl>
    <w:lvl w:ilvl="4" w:tplc="9618C0B4">
      <w:start w:val="1"/>
      <w:numFmt w:val="bullet"/>
      <w:lvlText w:val="o"/>
      <w:lvlJc w:val="left"/>
      <w:pPr>
        <w:ind w:left="3600" w:hanging="360"/>
      </w:pPr>
      <w:rPr>
        <w:rFonts w:ascii="Courier New" w:hAnsi="Courier New" w:hint="default"/>
      </w:rPr>
    </w:lvl>
    <w:lvl w:ilvl="5" w:tplc="31A4B824">
      <w:start w:val="1"/>
      <w:numFmt w:val="bullet"/>
      <w:lvlText w:val=""/>
      <w:lvlJc w:val="left"/>
      <w:pPr>
        <w:ind w:left="4320" w:hanging="360"/>
      </w:pPr>
      <w:rPr>
        <w:rFonts w:ascii="Wingdings" w:hAnsi="Wingdings" w:hint="default"/>
      </w:rPr>
    </w:lvl>
    <w:lvl w:ilvl="6" w:tplc="E4ECD0A4">
      <w:start w:val="1"/>
      <w:numFmt w:val="bullet"/>
      <w:lvlText w:val=""/>
      <w:lvlJc w:val="left"/>
      <w:pPr>
        <w:ind w:left="5040" w:hanging="360"/>
      </w:pPr>
      <w:rPr>
        <w:rFonts w:ascii="Symbol" w:hAnsi="Symbol" w:hint="default"/>
      </w:rPr>
    </w:lvl>
    <w:lvl w:ilvl="7" w:tplc="9BFCB39C">
      <w:start w:val="1"/>
      <w:numFmt w:val="bullet"/>
      <w:lvlText w:val="o"/>
      <w:lvlJc w:val="left"/>
      <w:pPr>
        <w:ind w:left="5760" w:hanging="360"/>
      </w:pPr>
      <w:rPr>
        <w:rFonts w:ascii="Courier New" w:hAnsi="Courier New" w:hint="default"/>
      </w:rPr>
    </w:lvl>
    <w:lvl w:ilvl="8" w:tplc="1EFE644E">
      <w:start w:val="1"/>
      <w:numFmt w:val="bullet"/>
      <w:lvlText w:val=""/>
      <w:lvlJc w:val="left"/>
      <w:pPr>
        <w:ind w:left="6480" w:hanging="360"/>
      </w:pPr>
      <w:rPr>
        <w:rFonts w:ascii="Wingdings" w:hAnsi="Wingdings" w:hint="default"/>
      </w:rPr>
    </w:lvl>
  </w:abstractNum>
  <w:abstractNum w:abstractNumId="10" w15:restartNumberingAfterBreak="0">
    <w:nsid w:val="2F0D4C2B"/>
    <w:multiLevelType w:val="hybridMultilevel"/>
    <w:tmpl w:val="C5E67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971B41"/>
    <w:multiLevelType w:val="multilevel"/>
    <w:tmpl w:val="A4060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659B0"/>
    <w:multiLevelType w:val="multilevel"/>
    <w:tmpl w:val="1A6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03615"/>
    <w:multiLevelType w:val="multilevel"/>
    <w:tmpl w:val="F6A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5854F5C"/>
    <w:multiLevelType w:val="multilevel"/>
    <w:tmpl w:val="670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44C1D"/>
    <w:multiLevelType w:val="multilevel"/>
    <w:tmpl w:val="5E00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161D5"/>
    <w:multiLevelType w:val="hybridMultilevel"/>
    <w:tmpl w:val="C9740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6374520"/>
    <w:multiLevelType w:val="multilevel"/>
    <w:tmpl w:val="594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7049C"/>
    <w:multiLevelType w:val="multilevel"/>
    <w:tmpl w:val="1E9C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8752F"/>
    <w:multiLevelType w:val="multilevel"/>
    <w:tmpl w:val="DA488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5070E7B"/>
    <w:multiLevelType w:val="multilevel"/>
    <w:tmpl w:val="722A4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045F2"/>
    <w:multiLevelType w:val="multilevel"/>
    <w:tmpl w:val="0C20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227A0"/>
    <w:multiLevelType w:val="multilevel"/>
    <w:tmpl w:val="BAC2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A3A89"/>
    <w:multiLevelType w:val="hybridMultilevel"/>
    <w:tmpl w:val="4A782A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589266887">
    <w:abstractNumId w:val="14"/>
  </w:num>
  <w:num w:numId="2" w16cid:durableId="1736510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20"/>
  </w:num>
  <w:num w:numId="4" w16cid:durableId="2113083680">
    <w:abstractNumId w:val="19"/>
  </w:num>
  <w:num w:numId="5" w16cid:durableId="1212838369">
    <w:abstractNumId w:val="24"/>
  </w:num>
  <w:num w:numId="6" w16cid:durableId="1752003522">
    <w:abstractNumId w:val="15"/>
  </w:num>
  <w:num w:numId="7" w16cid:durableId="1586567688">
    <w:abstractNumId w:val="6"/>
  </w:num>
  <w:num w:numId="8" w16cid:durableId="1128744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5353463">
    <w:abstractNumId w:val="18"/>
  </w:num>
  <w:num w:numId="10" w16cid:durableId="14198655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88737">
    <w:abstractNumId w:val="17"/>
  </w:num>
  <w:num w:numId="12" w16cid:durableId="28842683">
    <w:abstractNumId w:val="27"/>
  </w:num>
  <w:num w:numId="13" w16cid:durableId="594485806">
    <w:abstractNumId w:val="4"/>
  </w:num>
  <w:num w:numId="14" w16cid:durableId="161088160">
    <w:abstractNumId w:val="22"/>
  </w:num>
  <w:num w:numId="15" w16cid:durableId="1816212825">
    <w:abstractNumId w:val="25"/>
  </w:num>
  <w:num w:numId="16" w16cid:durableId="46074177">
    <w:abstractNumId w:val="3"/>
  </w:num>
  <w:num w:numId="17" w16cid:durableId="231350052">
    <w:abstractNumId w:val="11"/>
  </w:num>
  <w:num w:numId="18" w16cid:durableId="1801994033">
    <w:abstractNumId w:val="21"/>
  </w:num>
  <w:num w:numId="19" w16cid:durableId="514659842">
    <w:abstractNumId w:val="0"/>
  </w:num>
  <w:num w:numId="20" w16cid:durableId="850799121">
    <w:abstractNumId w:val="8"/>
  </w:num>
  <w:num w:numId="21" w16cid:durableId="1274634812">
    <w:abstractNumId w:val="1"/>
  </w:num>
  <w:num w:numId="22" w16cid:durableId="1619868036">
    <w:abstractNumId w:val="23"/>
  </w:num>
  <w:num w:numId="23" w16cid:durableId="995260780">
    <w:abstractNumId w:val="7"/>
  </w:num>
  <w:num w:numId="24" w16cid:durableId="752975002">
    <w:abstractNumId w:val="26"/>
  </w:num>
  <w:num w:numId="25" w16cid:durableId="803078967">
    <w:abstractNumId w:val="9"/>
  </w:num>
  <w:num w:numId="26" w16cid:durableId="907574555">
    <w:abstractNumId w:val="12"/>
  </w:num>
  <w:num w:numId="27" w16cid:durableId="622267176">
    <w:abstractNumId w:val="16"/>
  </w:num>
  <w:num w:numId="28" w16cid:durableId="1236818144">
    <w:abstractNumId w:val="13"/>
  </w:num>
  <w:num w:numId="29" w16cid:durableId="86259947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DDF"/>
    <w:rsid w:val="00002D68"/>
    <w:rsid w:val="00003403"/>
    <w:rsid w:val="000035FA"/>
    <w:rsid w:val="00004475"/>
    <w:rsid w:val="00005347"/>
    <w:rsid w:val="00006155"/>
    <w:rsid w:val="000064E3"/>
    <w:rsid w:val="000072B6"/>
    <w:rsid w:val="0001021B"/>
    <w:rsid w:val="00010E83"/>
    <w:rsid w:val="000111F4"/>
    <w:rsid w:val="00011D89"/>
    <w:rsid w:val="00012EA4"/>
    <w:rsid w:val="00013DDD"/>
    <w:rsid w:val="0001440F"/>
    <w:rsid w:val="00014FA4"/>
    <w:rsid w:val="000150E8"/>
    <w:rsid w:val="000154FD"/>
    <w:rsid w:val="0001613A"/>
    <w:rsid w:val="00016577"/>
    <w:rsid w:val="00017AFE"/>
    <w:rsid w:val="00017D29"/>
    <w:rsid w:val="00020ECD"/>
    <w:rsid w:val="00022271"/>
    <w:rsid w:val="0002232B"/>
    <w:rsid w:val="0002285C"/>
    <w:rsid w:val="00022E37"/>
    <w:rsid w:val="000235E8"/>
    <w:rsid w:val="00023C00"/>
    <w:rsid w:val="00024D89"/>
    <w:rsid w:val="000250B6"/>
    <w:rsid w:val="000259BF"/>
    <w:rsid w:val="00025F89"/>
    <w:rsid w:val="00027010"/>
    <w:rsid w:val="0002707E"/>
    <w:rsid w:val="000270A5"/>
    <w:rsid w:val="00031A1A"/>
    <w:rsid w:val="00033522"/>
    <w:rsid w:val="00033770"/>
    <w:rsid w:val="00033849"/>
    <w:rsid w:val="00033D81"/>
    <w:rsid w:val="00034A5D"/>
    <w:rsid w:val="00034DD9"/>
    <w:rsid w:val="00035E8F"/>
    <w:rsid w:val="00036747"/>
    <w:rsid w:val="00036929"/>
    <w:rsid w:val="00037366"/>
    <w:rsid w:val="0004011F"/>
    <w:rsid w:val="0004024E"/>
    <w:rsid w:val="00041BF0"/>
    <w:rsid w:val="00041F03"/>
    <w:rsid w:val="00042401"/>
    <w:rsid w:val="00042C8A"/>
    <w:rsid w:val="00044A35"/>
    <w:rsid w:val="00044A92"/>
    <w:rsid w:val="00044EA6"/>
    <w:rsid w:val="0004536B"/>
    <w:rsid w:val="0004553E"/>
    <w:rsid w:val="00045E6F"/>
    <w:rsid w:val="00046B68"/>
    <w:rsid w:val="00050240"/>
    <w:rsid w:val="0005189F"/>
    <w:rsid w:val="00051A8F"/>
    <w:rsid w:val="000527DD"/>
    <w:rsid w:val="0005349F"/>
    <w:rsid w:val="00056EDA"/>
    <w:rsid w:val="000578B2"/>
    <w:rsid w:val="00057EB5"/>
    <w:rsid w:val="00060959"/>
    <w:rsid w:val="00060A99"/>
    <w:rsid w:val="00060C3E"/>
    <w:rsid w:val="00060C8F"/>
    <w:rsid w:val="00061271"/>
    <w:rsid w:val="000625CC"/>
    <w:rsid w:val="0006298A"/>
    <w:rsid w:val="00062F83"/>
    <w:rsid w:val="000632F9"/>
    <w:rsid w:val="00063C21"/>
    <w:rsid w:val="00063F1E"/>
    <w:rsid w:val="000643BD"/>
    <w:rsid w:val="00065AFF"/>
    <w:rsid w:val="00065DCE"/>
    <w:rsid w:val="000663CD"/>
    <w:rsid w:val="00067BF6"/>
    <w:rsid w:val="00071DC2"/>
    <w:rsid w:val="000732D6"/>
    <w:rsid w:val="000733FE"/>
    <w:rsid w:val="00073CD1"/>
    <w:rsid w:val="00073DAE"/>
    <w:rsid w:val="00074219"/>
    <w:rsid w:val="00074ED5"/>
    <w:rsid w:val="00075474"/>
    <w:rsid w:val="00076E97"/>
    <w:rsid w:val="00077547"/>
    <w:rsid w:val="00077548"/>
    <w:rsid w:val="0008094C"/>
    <w:rsid w:val="000812AB"/>
    <w:rsid w:val="00081D88"/>
    <w:rsid w:val="0008251C"/>
    <w:rsid w:val="00083BFA"/>
    <w:rsid w:val="00084BEE"/>
    <w:rsid w:val="0008508E"/>
    <w:rsid w:val="0008627A"/>
    <w:rsid w:val="00086557"/>
    <w:rsid w:val="00087951"/>
    <w:rsid w:val="0009050A"/>
    <w:rsid w:val="0009113B"/>
    <w:rsid w:val="000914B7"/>
    <w:rsid w:val="00091732"/>
    <w:rsid w:val="00092C01"/>
    <w:rsid w:val="00092EAD"/>
    <w:rsid w:val="00093402"/>
    <w:rsid w:val="00093534"/>
    <w:rsid w:val="00093B65"/>
    <w:rsid w:val="0009444B"/>
    <w:rsid w:val="00094DA3"/>
    <w:rsid w:val="00094E11"/>
    <w:rsid w:val="00096CD1"/>
    <w:rsid w:val="000A012C"/>
    <w:rsid w:val="000A0EB9"/>
    <w:rsid w:val="000A15D2"/>
    <w:rsid w:val="000A186C"/>
    <w:rsid w:val="000A1EA4"/>
    <w:rsid w:val="000A2476"/>
    <w:rsid w:val="000A564E"/>
    <w:rsid w:val="000A641A"/>
    <w:rsid w:val="000A69D4"/>
    <w:rsid w:val="000B15F2"/>
    <w:rsid w:val="000B1745"/>
    <w:rsid w:val="000B2117"/>
    <w:rsid w:val="000B3EDB"/>
    <w:rsid w:val="000B4348"/>
    <w:rsid w:val="000B543D"/>
    <w:rsid w:val="000B55F9"/>
    <w:rsid w:val="000B5BF7"/>
    <w:rsid w:val="000B6BC8"/>
    <w:rsid w:val="000C0303"/>
    <w:rsid w:val="000C19E5"/>
    <w:rsid w:val="000C35F3"/>
    <w:rsid w:val="000C42EA"/>
    <w:rsid w:val="000C4546"/>
    <w:rsid w:val="000C6D3B"/>
    <w:rsid w:val="000D0122"/>
    <w:rsid w:val="000D1242"/>
    <w:rsid w:val="000D1C16"/>
    <w:rsid w:val="000D26F4"/>
    <w:rsid w:val="000D2F2B"/>
    <w:rsid w:val="000D6228"/>
    <w:rsid w:val="000D6631"/>
    <w:rsid w:val="000D70E7"/>
    <w:rsid w:val="000E0970"/>
    <w:rsid w:val="000E0B3E"/>
    <w:rsid w:val="000E0E23"/>
    <w:rsid w:val="000E2893"/>
    <w:rsid w:val="000E2C06"/>
    <w:rsid w:val="000E3BD3"/>
    <w:rsid w:val="000E3CC7"/>
    <w:rsid w:val="000E456B"/>
    <w:rsid w:val="000E4CC2"/>
    <w:rsid w:val="000E5934"/>
    <w:rsid w:val="000E6BD4"/>
    <w:rsid w:val="000E6D6D"/>
    <w:rsid w:val="000E7E6E"/>
    <w:rsid w:val="000F1928"/>
    <w:rsid w:val="000F1A5C"/>
    <w:rsid w:val="000F1F1E"/>
    <w:rsid w:val="000F2259"/>
    <w:rsid w:val="000F2DDA"/>
    <w:rsid w:val="000F2EA0"/>
    <w:rsid w:val="000F3ED5"/>
    <w:rsid w:val="000F5213"/>
    <w:rsid w:val="001009B2"/>
    <w:rsid w:val="00101001"/>
    <w:rsid w:val="00101025"/>
    <w:rsid w:val="001018BA"/>
    <w:rsid w:val="00102450"/>
    <w:rsid w:val="00102A07"/>
    <w:rsid w:val="00103276"/>
    <w:rsid w:val="00103902"/>
    <w:rsid w:val="0010392D"/>
    <w:rsid w:val="0010447F"/>
    <w:rsid w:val="00104CBD"/>
    <w:rsid w:val="00104FE3"/>
    <w:rsid w:val="00105291"/>
    <w:rsid w:val="001055DC"/>
    <w:rsid w:val="00106096"/>
    <w:rsid w:val="0010714F"/>
    <w:rsid w:val="001076AE"/>
    <w:rsid w:val="0010797F"/>
    <w:rsid w:val="00107C10"/>
    <w:rsid w:val="00107E0E"/>
    <w:rsid w:val="0011035C"/>
    <w:rsid w:val="001120C5"/>
    <w:rsid w:val="0011228E"/>
    <w:rsid w:val="00112425"/>
    <w:rsid w:val="00112B63"/>
    <w:rsid w:val="001151CE"/>
    <w:rsid w:val="001159FE"/>
    <w:rsid w:val="0011699E"/>
    <w:rsid w:val="0011742A"/>
    <w:rsid w:val="00117D1C"/>
    <w:rsid w:val="00120BD3"/>
    <w:rsid w:val="00122FEA"/>
    <w:rsid w:val="001232BD"/>
    <w:rsid w:val="001247D6"/>
    <w:rsid w:val="00124ED5"/>
    <w:rsid w:val="001276CC"/>
    <w:rsid w:val="001276FA"/>
    <w:rsid w:val="00127ECB"/>
    <w:rsid w:val="00133D5B"/>
    <w:rsid w:val="00134375"/>
    <w:rsid w:val="0013627F"/>
    <w:rsid w:val="00137372"/>
    <w:rsid w:val="00137D47"/>
    <w:rsid w:val="00140478"/>
    <w:rsid w:val="00140B63"/>
    <w:rsid w:val="001410F3"/>
    <w:rsid w:val="001418DE"/>
    <w:rsid w:val="00141B24"/>
    <w:rsid w:val="001420CF"/>
    <w:rsid w:val="0014288E"/>
    <w:rsid w:val="001432A3"/>
    <w:rsid w:val="001447B3"/>
    <w:rsid w:val="00145E7F"/>
    <w:rsid w:val="00150F4B"/>
    <w:rsid w:val="00152073"/>
    <w:rsid w:val="001526FE"/>
    <w:rsid w:val="001528AE"/>
    <w:rsid w:val="00153459"/>
    <w:rsid w:val="0015365A"/>
    <w:rsid w:val="0015519D"/>
    <w:rsid w:val="0015575F"/>
    <w:rsid w:val="00155764"/>
    <w:rsid w:val="0015598A"/>
    <w:rsid w:val="00156598"/>
    <w:rsid w:val="00156C0B"/>
    <w:rsid w:val="0016037B"/>
    <w:rsid w:val="00160BFD"/>
    <w:rsid w:val="001613F5"/>
    <w:rsid w:val="001617DA"/>
    <w:rsid w:val="00161939"/>
    <w:rsid w:val="00161AA0"/>
    <w:rsid w:val="00161B8E"/>
    <w:rsid w:val="00161D2E"/>
    <w:rsid w:val="00161F3E"/>
    <w:rsid w:val="00162093"/>
    <w:rsid w:val="00162840"/>
    <w:rsid w:val="00162CA9"/>
    <w:rsid w:val="00165459"/>
    <w:rsid w:val="00165A57"/>
    <w:rsid w:val="001664CC"/>
    <w:rsid w:val="0016681A"/>
    <w:rsid w:val="0016704C"/>
    <w:rsid w:val="001712C2"/>
    <w:rsid w:val="001712C6"/>
    <w:rsid w:val="00172BAF"/>
    <w:rsid w:val="001732AA"/>
    <w:rsid w:val="001756BE"/>
    <w:rsid w:val="001760A1"/>
    <w:rsid w:val="001760E8"/>
    <w:rsid w:val="001764EB"/>
    <w:rsid w:val="0017674D"/>
    <w:rsid w:val="001771DD"/>
    <w:rsid w:val="00177995"/>
    <w:rsid w:val="00177A8C"/>
    <w:rsid w:val="00181362"/>
    <w:rsid w:val="00183537"/>
    <w:rsid w:val="00183AF9"/>
    <w:rsid w:val="00186B33"/>
    <w:rsid w:val="00186B73"/>
    <w:rsid w:val="00192F9D"/>
    <w:rsid w:val="001932D7"/>
    <w:rsid w:val="001937FA"/>
    <w:rsid w:val="001952DC"/>
    <w:rsid w:val="00196CC6"/>
    <w:rsid w:val="00196EB8"/>
    <w:rsid w:val="00196EFB"/>
    <w:rsid w:val="001979FF"/>
    <w:rsid w:val="00197B17"/>
    <w:rsid w:val="001A1950"/>
    <w:rsid w:val="001A1A66"/>
    <w:rsid w:val="001A1C54"/>
    <w:rsid w:val="001A202A"/>
    <w:rsid w:val="001A222A"/>
    <w:rsid w:val="001A2EF4"/>
    <w:rsid w:val="001A3551"/>
    <w:rsid w:val="001A3ACE"/>
    <w:rsid w:val="001A5AC1"/>
    <w:rsid w:val="001A7882"/>
    <w:rsid w:val="001B058F"/>
    <w:rsid w:val="001B08E9"/>
    <w:rsid w:val="001B0A0C"/>
    <w:rsid w:val="001B34B6"/>
    <w:rsid w:val="001B4ED3"/>
    <w:rsid w:val="001B5DD7"/>
    <w:rsid w:val="001B6B96"/>
    <w:rsid w:val="001B7228"/>
    <w:rsid w:val="001B738B"/>
    <w:rsid w:val="001C02B5"/>
    <w:rsid w:val="001C09DB"/>
    <w:rsid w:val="001C0B56"/>
    <w:rsid w:val="001C1D13"/>
    <w:rsid w:val="001C277E"/>
    <w:rsid w:val="001C2A72"/>
    <w:rsid w:val="001C31B7"/>
    <w:rsid w:val="001C334F"/>
    <w:rsid w:val="001C33FA"/>
    <w:rsid w:val="001C76B1"/>
    <w:rsid w:val="001D0B75"/>
    <w:rsid w:val="001D39A5"/>
    <w:rsid w:val="001D3B1B"/>
    <w:rsid w:val="001D3C09"/>
    <w:rsid w:val="001D44E8"/>
    <w:rsid w:val="001D5569"/>
    <w:rsid w:val="001D5FF7"/>
    <w:rsid w:val="001D60EC"/>
    <w:rsid w:val="001D6539"/>
    <w:rsid w:val="001D677F"/>
    <w:rsid w:val="001D6F59"/>
    <w:rsid w:val="001D76CD"/>
    <w:rsid w:val="001E07AD"/>
    <w:rsid w:val="001E342B"/>
    <w:rsid w:val="001E44DF"/>
    <w:rsid w:val="001E46EE"/>
    <w:rsid w:val="001E5176"/>
    <w:rsid w:val="001E5884"/>
    <w:rsid w:val="001E68A5"/>
    <w:rsid w:val="001E6BB0"/>
    <w:rsid w:val="001E7282"/>
    <w:rsid w:val="001F06B4"/>
    <w:rsid w:val="001F2D23"/>
    <w:rsid w:val="001F3826"/>
    <w:rsid w:val="001F5AFE"/>
    <w:rsid w:val="001F6075"/>
    <w:rsid w:val="001F6E46"/>
    <w:rsid w:val="001F78E0"/>
    <w:rsid w:val="001F7C91"/>
    <w:rsid w:val="00200DFA"/>
    <w:rsid w:val="00201552"/>
    <w:rsid w:val="002033B7"/>
    <w:rsid w:val="00203C9B"/>
    <w:rsid w:val="00204444"/>
    <w:rsid w:val="002051F1"/>
    <w:rsid w:val="00205DE3"/>
    <w:rsid w:val="00206218"/>
    <w:rsid w:val="00206463"/>
    <w:rsid w:val="0020684C"/>
    <w:rsid w:val="00206F2F"/>
    <w:rsid w:val="00207717"/>
    <w:rsid w:val="002101F7"/>
    <w:rsid w:val="0021053D"/>
    <w:rsid w:val="00210A92"/>
    <w:rsid w:val="002117BD"/>
    <w:rsid w:val="00211FBB"/>
    <w:rsid w:val="00212176"/>
    <w:rsid w:val="00214F3C"/>
    <w:rsid w:val="002151B0"/>
    <w:rsid w:val="0021691C"/>
    <w:rsid w:val="00216C03"/>
    <w:rsid w:val="00220236"/>
    <w:rsid w:val="00220C04"/>
    <w:rsid w:val="002223DC"/>
    <w:rsid w:val="00222738"/>
    <w:rsid w:val="0022278D"/>
    <w:rsid w:val="00222C79"/>
    <w:rsid w:val="00225227"/>
    <w:rsid w:val="00226CAF"/>
    <w:rsid w:val="0022701F"/>
    <w:rsid w:val="002278FB"/>
    <w:rsid w:val="00227C68"/>
    <w:rsid w:val="00232271"/>
    <w:rsid w:val="00233311"/>
    <w:rsid w:val="002333F5"/>
    <w:rsid w:val="00233724"/>
    <w:rsid w:val="00233AB6"/>
    <w:rsid w:val="002365B4"/>
    <w:rsid w:val="0023703B"/>
    <w:rsid w:val="00237483"/>
    <w:rsid w:val="00241455"/>
    <w:rsid w:val="00242378"/>
    <w:rsid w:val="002432E1"/>
    <w:rsid w:val="002448D2"/>
    <w:rsid w:val="00245532"/>
    <w:rsid w:val="00245C72"/>
    <w:rsid w:val="00246207"/>
    <w:rsid w:val="00246C5E"/>
    <w:rsid w:val="00246F20"/>
    <w:rsid w:val="00250960"/>
    <w:rsid w:val="00250DC4"/>
    <w:rsid w:val="00251343"/>
    <w:rsid w:val="0025268E"/>
    <w:rsid w:val="002535F3"/>
    <w:rsid w:val="002536A4"/>
    <w:rsid w:val="00253AA6"/>
    <w:rsid w:val="00254D76"/>
    <w:rsid w:val="00254F58"/>
    <w:rsid w:val="00255C60"/>
    <w:rsid w:val="002561A9"/>
    <w:rsid w:val="00257931"/>
    <w:rsid w:val="00257D56"/>
    <w:rsid w:val="00260675"/>
    <w:rsid w:val="002607AF"/>
    <w:rsid w:val="00260BB9"/>
    <w:rsid w:val="002614E0"/>
    <w:rsid w:val="0026205D"/>
    <w:rsid w:val="002620BC"/>
    <w:rsid w:val="00262802"/>
    <w:rsid w:val="00263A90"/>
    <w:rsid w:val="0026408B"/>
    <w:rsid w:val="002641DB"/>
    <w:rsid w:val="00264E23"/>
    <w:rsid w:val="00266302"/>
    <w:rsid w:val="00267C3E"/>
    <w:rsid w:val="00270656"/>
    <w:rsid w:val="00270699"/>
    <w:rsid w:val="002709BB"/>
    <w:rsid w:val="00270DF0"/>
    <w:rsid w:val="0027131C"/>
    <w:rsid w:val="002720BC"/>
    <w:rsid w:val="00273BAC"/>
    <w:rsid w:val="00273DBA"/>
    <w:rsid w:val="002748D3"/>
    <w:rsid w:val="00274A2E"/>
    <w:rsid w:val="002757D2"/>
    <w:rsid w:val="00275FE6"/>
    <w:rsid w:val="002763B3"/>
    <w:rsid w:val="002763BF"/>
    <w:rsid w:val="00276BAF"/>
    <w:rsid w:val="00277C1F"/>
    <w:rsid w:val="002802E3"/>
    <w:rsid w:val="002806A6"/>
    <w:rsid w:val="00280C4B"/>
    <w:rsid w:val="00281F2C"/>
    <w:rsid w:val="0028213D"/>
    <w:rsid w:val="002836F5"/>
    <w:rsid w:val="00283987"/>
    <w:rsid w:val="00284D4D"/>
    <w:rsid w:val="00284F25"/>
    <w:rsid w:val="002862F1"/>
    <w:rsid w:val="00286A71"/>
    <w:rsid w:val="00287CD5"/>
    <w:rsid w:val="00290F15"/>
    <w:rsid w:val="00291373"/>
    <w:rsid w:val="002932B9"/>
    <w:rsid w:val="00293B85"/>
    <w:rsid w:val="00293BDE"/>
    <w:rsid w:val="00294507"/>
    <w:rsid w:val="00295913"/>
    <w:rsid w:val="0029597D"/>
    <w:rsid w:val="002962C3"/>
    <w:rsid w:val="0029752B"/>
    <w:rsid w:val="002A0A9C"/>
    <w:rsid w:val="002A483C"/>
    <w:rsid w:val="002A4897"/>
    <w:rsid w:val="002A4ADC"/>
    <w:rsid w:val="002A5A88"/>
    <w:rsid w:val="002A61E2"/>
    <w:rsid w:val="002B0C7C"/>
    <w:rsid w:val="002B0C89"/>
    <w:rsid w:val="002B1729"/>
    <w:rsid w:val="002B3221"/>
    <w:rsid w:val="002B36C7"/>
    <w:rsid w:val="002B45E8"/>
    <w:rsid w:val="002B480F"/>
    <w:rsid w:val="002B49A6"/>
    <w:rsid w:val="002B4DD4"/>
    <w:rsid w:val="002B5277"/>
    <w:rsid w:val="002B5375"/>
    <w:rsid w:val="002B55D1"/>
    <w:rsid w:val="002B5BA7"/>
    <w:rsid w:val="002B5EA3"/>
    <w:rsid w:val="002B6B01"/>
    <w:rsid w:val="002B77C1"/>
    <w:rsid w:val="002C0EAB"/>
    <w:rsid w:val="002C0ED7"/>
    <w:rsid w:val="002C2728"/>
    <w:rsid w:val="002C2AA9"/>
    <w:rsid w:val="002C3C2E"/>
    <w:rsid w:val="002C4FB6"/>
    <w:rsid w:val="002C51B4"/>
    <w:rsid w:val="002C5A49"/>
    <w:rsid w:val="002C7FDD"/>
    <w:rsid w:val="002D1802"/>
    <w:rsid w:val="002D1E0D"/>
    <w:rsid w:val="002D213B"/>
    <w:rsid w:val="002D4054"/>
    <w:rsid w:val="002D4A05"/>
    <w:rsid w:val="002D5006"/>
    <w:rsid w:val="002D5283"/>
    <w:rsid w:val="002D5AF2"/>
    <w:rsid w:val="002D6CF2"/>
    <w:rsid w:val="002D7448"/>
    <w:rsid w:val="002D7578"/>
    <w:rsid w:val="002D75C4"/>
    <w:rsid w:val="002D7D82"/>
    <w:rsid w:val="002D7E19"/>
    <w:rsid w:val="002E01D0"/>
    <w:rsid w:val="002E06B4"/>
    <w:rsid w:val="002E161D"/>
    <w:rsid w:val="002E3100"/>
    <w:rsid w:val="002E4082"/>
    <w:rsid w:val="002E57F0"/>
    <w:rsid w:val="002E5D91"/>
    <w:rsid w:val="002E5DB8"/>
    <w:rsid w:val="002E5F71"/>
    <w:rsid w:val="002E6C95"/>
    <w:rsid w:val="002E7C36"/>
    <w:rsid w:val="002E7FED"/>
    <w:rsid w:val="002F0784"/>
    <w:rsid w:val="002F11AA"/>
    <w:rsid w:val="002F17C6"/>
    <w:rsid w:val="002F1C4F"/>
    <w:rsid w:val="002F226F"/>
    <w:rsid w:val="002F2382"/>
    <w:rsid w:val="002F2403"/>
    <w:rsid w:val="002F3117"/>
    <w:rsid w:val="002F37F8"/>
    <w:rsid w:val="002F3ADF"/>
    <w:rsid w:val="002F3D32"/>
    <w:rsid w:val="002F4468"/>
    <w:rsid w:val="002F5F31"/>
    <w:rsid w:val="002F5F46"/>
    <w:rsid w:val="002F699B"/>
    <w:rsid w:val="002F75D8"/>
    <w:rsid w:val="002F75E6"/>
    <w:rsid w:val="00300873"/>
    <w:rsid w:val="00300C9F"/>
    <w:rsid w:val="00301162"/>
    <w:rsid w:val="00301356"/>
    <w:rsid w:val="00301A8E"/>
    <w:rsid w:val="00301D0B"/>
    <w:rsid w:val="00301F38"/>
    <w:rsid w:val="00302216"/>
    <w:rsid w:val="00302A73"/>
    <w:rsid w:val="00303B03"/>
    <w:rsid w:val="00303B94"/>
    <w:rsid w:val="00303E53"/>
    <w:rsid w:val="003051CA"/>
    <w:rsid w:val="00305AD9"/>
    <w:rsid w:val="00305CC1"/>
    <w:rsid w:val="00306CA2"/>
    <w:rsid w:val="00306E5F"/>
    <w:rsid w:val="00307E14"/>
    <w:rsid w:val="0031063C"/>
    <w:rsid w:val="00310B70"/>
    <w:rsid w:val="00312DA3"/>
    <w:rsid w:val="00313A09"/>
    <w:rsid w:val="00314054"/>
    <w:rsid w:val="00315449"/>
    <w:rsid w:val="003162D2"/>
    <w:rsid w:val="00316F27"/>
    <w:rsid w:val="00317F14"/>
    <w:rsid w:val="0032073C"/>
    <w:rsid w:val="003214F1"/>
    <w:rsid w:val="00322813"/>
    <w:rsid w:val="00322E4B"/>
    <w:rsid w:val="00323B88"/>
    <w:rsid w:val="00323D42"/>
    <w:rsid w:val="003252EE"/>
    <w:rsid w:val="00326404"/>
    <w:rsid w:val="00326658"/>
    <w:rsid w:val="00326B09"/>
    <w:rsid w:val="00327870"/>
    <w:rsid w:val="0033090A"/>
    <w:rsid w:val="00330B43"/>
    <w:rsid w:val="003319F3"/>
    <w:rsid w:val="00331A12"/>
    <w:rsid w:val="00331C32"/>
    <w:rsid w:val="0033259D"/>
    <w:rsid w:val="003333D2"/>
    <w:rsid w:val="00333943"/>
    <w:rsid w:val="00333BA3"/>
    <w:rsid w:val="00333FB5"/>
    <w:rsid w:val="003341F4"/>
    <w:rsid w:val="003345E1"/>
    <w:rsid w:val="00335C21"/>
    <w:rsid w:val="003363B3"/>
    <w:rsid w:val="00337339"/>
    <w:rsid w:val="00337F8C"/>
    <w:rsid w:val="003402B2"/>
    <w:rsid w:val="003406C6"/>
    <w:rsid w:val="003418CC"/>
    <w:rsid w:val="00342E91"/>
    <w:rsid w:val="003459BD"/>
    <w:rsid w:val="00346A04"/>
    <w:rsid w:val="00346E30"/>
    <w:rsid w:val="00347239"/>
    <w:rsid w:val="00347CFC"/>
    <w:rsid w:val="00347EEC"/>
    <w:rsid w:val="00350D38"/>
    <w:rsid w:val="00351405"/>
    <w:rsid w:val="00351B36"/>
    <w:rsid w:val="00351BC7"/>
    <w:rsid w:val="003525CC"/>
    <w:rsid w:val="003549B4"/>
    <w:rsid w:val="0035752B"/>
    <w:rsid w:val="003575EC"/>
    <w:rsid w:val="00357B4E"/>
    <w:rsid w:val="00361418"/>
    <w:rsid w:val="00364D32"/>
    <w:rsid w:val="0036508E"/>
    <w:rsid w:val="003661D9"/>
    <w:rsid w:val="0036662F"/>
    <w:rsid w:val="00366922"/>
    <w:rsid w:val="00367099"/>
    <w:rsid w:val="003716FD"/>
    <w:rsid w:val="00371CCF"/>
    <w:rsid w:val="0037204B"/>
    <w:rsid w:val="003729DC"/>
    <w:rsid w:val="00372D0C"/>
    <w:rsid w:val="00372E48"/>
    <w:rsid w:val="003735C7"/>
    <w:rsid w:val="0037423F"/>
    <w:rsid w:val="003744CF"/>
    <w:rsid w:val="00374717"/>
    <w:rsid w:val="0037676C"/>
    <w:rsid w:val="00377A1A"/>
    <w:rsid w:val="00381043"/>
    <w:rsid w:val="003810FE"/>
    <w:rsid w:val="0038129A"/>
    <w:rsid w:val="00381434"/>
    <w:rsid w:val="003820C9"/>
    <w:rsid w:val="00382521"/>
    <w:rsid w:val="003829E5"/>
    <w:rsid w:val="00383BF7"/>
    <w:rsid w:val="003857B9"/>
    <w:rsid w:val="00385AA2"/>
    <w:rsid w:val="00386109"/>
    <w:rsid w:val="003866DB"/>
    <w:rsid w:val="00386944"/>
    <w:rsid w:val="00390450"/>
    <w:rsid w:val="003920D5"/>
    <w:rsid w:val="00394405"/>
    <w:rsid w:val="003956CC"/>
    <w:rsid w:val="00395C9A"/>
    <w:rsid w:val="00396ACF"/>
    <w:rsid w:val="00397F80"/>
    <w:rsid w:val="003A0214"/>
    <w:rsid w:val="003A04E1"/>
    <w:rsid w:val="003A0853"/>
    <w:rsid w:val="003A36B3"/>
    <w:rsid w:val="003A3938"/>
    <w:rsid w:val="003A621E"/>
    <w:rsid w:val="003A6B06"/>
    <w:rsid w:val="003A6B67"/>
    <w:rsid w:val="003A76C9"/>
    <w:rsid w:val="003A7DB8"/>
    <w:rsid w:val="003A7E95"/>
    <w:rsid w:val="003B0C81"/>
    <w:rsid w:val="003B13B6"/>
    <w:rsid w:val="003B14C3"/>
    <w:rsid w:val="003B15E6"/>
    <w:rsid w:val="003B1BDC"/>
    <w:rsid w:val="003B2410"/>
    <w:rsid w:val="003B2F09"/>
    <w:rsid w:val="003B408A"/>
    <w:rsid w:val="003B585F"/>
    <w:rsid w:val="003B7812"/>
    <w:rsid w:val="003C08A2"/>
    <w:rsid w:val="003C1A81"/>
    <w:rsid w:val="003C2045"/>
    <w:rsid w:val="003C2A14"/>
    <w:rsid w:val="003C34E6"/>
    <w:rsid w:val="003C39BF"/>
    <w:rsid w:val="003C43A1"/>
    <w:rsid w:val="003C4FC0"/>
    <w:rsid w:val="003C55F4"/>
    <w:rsid w:val="003C5AA2"/>
    <w:rsid w:val="003C7897"/>
    <w:rsid w:val="003C7A3F"/>
    <w:rsid w:val="003C7D45"/>
    <w:rsid w:val="003D2766"/>
    <w:rsid w:val="003D2A74"/>
    <w:rsid w:val="003D3599"/>
    <w:rsid w:val="003D3A89"/>
    <w:rsid w:val="003D3E8F"/>
    <w:rsid w:val="003D47F5"/>
    <w:rsid w:val="003D54CD"/>
    <w:rsid w:val="003D6475"/>
    <w:rsid w:val="003D6EE6"/>
    <w:rsid w:val="003D6F46"/>
    <w:rsid w:val="003D7000"/>
    <w:rsid w:val="003D7E30"/>
    <w:rsid w:val="003E00D4"/>
    <w:rsid w:val="003E04E0"/>
    <w:rsid w:val="003E04E2"/>
    <w:rsid w:val="003E06FA"/>
    <w:rsid w:val="003E089F"/>
    <w:rsid w:val="003E0C71"/>
    <w:rsid w:val="003E30E4"/>
    <w:rsid w:val="003E375C"/>
    <w:rsid w:val="003E4086"/>
    <w:rsid w:val="003E617B"/>
    <w:rsid w:val="003E639E"/>
    <w:rsid w:val="003E6EB7"/>
    <w:rsid w:val="003E71E5"/>
    <w:rsid w:val="003E7D67"/>
    <w:rsid w:val="003F0445"/>
    <w:rsid w:val="003F0775"/>
    <w:rsid w:val="003F0CF0"/>
    <w:rsid w:val="003F0F22"/>
    <w:rsid w:val="003F14B1"/>
    <w:rsid w:val="003F1950"/>
    <w:rsid w:val="003F2036"/>
    <w:rsid w:val="003F2B20"/>
    <w:rsid w:val="003F3040"/>
    <w:rsid w:val="003F3289"/>
    <w:rsid w:val="003F3C62"/>
    <w:rsid w:val="003F41F4"/>
    <w:rsid w:val="003F4FD8"/>
    <w:rsid w:val="003F5CB9"/>
    <w:rsid w:val="003F68F6"/>
    <w:rsid w:val="003F6A4D"/>
    <w:rsid w:val="003F6C0E"/>
    <w:rsid w:val="003F769F"/>
    <w:rsid w:val="00400ACB"/>
    <w:rsid w:val="00400D87"/>
    <w:rsid w:val="00401183"/>
    <w:rsid w:val="004013C7"/>
    <w:rsid w:val="00401531"/>
    <w:rsid w:val="00401FCF"/>
    <w:rsid w:val="00402017"/>
    <w:rsid w:val="004022DE"/>
    <w:rsid w:val="00402983"/>
    <w:rsid w:val="00402D18"/>
    <w:rsid w:val="00404464"/>
    <w:rsid w:val="00406157"/>
    <w:rsid w:val="00406285"/>
    <w:rsid w:val="00406FC5"/>
    <w:rsid w:val="00411C36"/>
    <w:rsid w:val="00414467"/>
    <w:rsid w:val="004148F9"/>
    <w:rsid w:val="00414B55"/>
    <w:rsid w:val="00415210"/>
    <w:rsid w:val="004165D1"/>
    <w:rsid w:val="00417E10"/>
    <w:rsid w:val="00420013"/>
    <w:rsid w:val="004205B4"/>
    <w:rsid w:val="0042084E"/>
    <w:rsid w:val="00420BE2"/>
    <w:rsid w:val="004214C6"/>
    <w:rsid w:val="00421EEF"/>
    <w:rsid w:val="00424D65"/>
    <w:rsid w:val="00425109"/>
    <w:rsid w:val="00425677"/>
    <w:rsid w:val="004261FA"/>
    <w:rsid w:val="00430393"/>
    <w:rsid w:val="00430455"/>
    <w:rsid w:val="004311C4"/>
    <w:rsid w:val="00431443"/>
    <w:rsid w:val="00431806"/>
    <w:rsid w:val="00431E97"/>
    <w:rsid w:val="00433FFD"/>
    <w:rsid w:val="00434695"/>
    <w:rsid w:val="004347D1"/>
    <w:rsid w:val="004349E9"/>
    <w:rsid w:val="004350F9"/>
    <w:rsid w:val="004356E6"/>
    <w:rsid w:val="00437AC5"/>
    <w:rsid w:val="00442C6C"/>
    <w:rsid w:val="00443CBE"/>
    <w:rsid w:val="00443E8A"/>
    <w:rsid w:val="004441BC"/>
    <w:rsid w:val="004442A0"/>
    <w:rsid w:val="00444776"/>
    <w:rsid w:val="004468B4"/>
    <w:rsid w:val="0045215B"/>
    <w:rsid w:val="0045230A"/>
    <w:rsid w:val="00454AD0"/>
    <w:rsid w:val="00455548"/>
    <w:rsid w:val="00457337"/>
    <w:rsid w:val="00457740"/>
    <w:rsid w:val="00462E3D"/>
    <w:rsid w:val="0046440A"/>
    <w:rsid w:val="00464B94"/>
    <w:rsid w:val="00464D7F"/>
    <w:rsid w:val="00465B2E"/>
    <w:rsid w:val="00466842"/>
    <w:rsid w:val="00466E79"/>
    <w:rsid w:val="00470D7D"/>
    <w:rsid w:val="00470F52"/>
    <w:rsid w:val="0047118C"/>
    <w:rsid w:val="00472F80"/>
    <w:rsid w:val="0047372D"/>
    <w:rsid w:val="00473BA3"/>
    <w:rsid w:val="00474257"/>
    <w:rsid w:val="004743DD"/>
    <w:rsid w:val="00474CEA"/>
    <w:rsid w:val="00476498"/>
    <w:rsid w:val="00476A66"/>
    <w:rsid w:val="00480484"/>
    <w:rsid w:val="004818B6"/>
    <w:rsid w:val="00481BE4"/>
    <w:rsid w:val="00483968"/>
    <w:rsid w:val="00483C7B"/>
    <w:rsid w:val="004841BE"/>
    <w:rsid w:val="00484219"/>
    <w:rsid w:val="00484F86"/>
    <w:rsid w:val="00490746"/>
    <w:rsid w:val="00490852"/>
    <w:rsid w:val="004916D6"/>
    <w:rsid w:val="00491C9C"/>
    <w:rsid w:val="00492F30"/>
    <w:rsid w:val="00493068"/>
    <w:rsid w:val="0049321A"/>
    <w:rsid w:val="004932B1"/>
    <w:rsid w:val="00493B3B"/>
    <w:rsid w:val="004946F4"/>
    <w:rsid w:val="0049487E"/>
    <w:rsid w:val="004964EE"/>
    <w:rsid w:val="0049655B"/>
    <w:rsid w:val="0049750A"/>
    <w:rsid w:val="004A00EC"/>
    <w:rsid w:val="004A160D"/>
    <w:rsid w:val="004A1D74"/>
    <w:rsid w:val="004A3236"/>
    <w:rsid w:val="004A3376"/>
    <w:rsid w:val="004A35AF"/>
    <w:rsid w:val="004A3E81"/>
    <w:rsid w:val="004A4195"/>
    <w:rsid w:val="004A5077"/>
    <w:rsid w:val="004A5C62"/>
    <w:rsid w:val="004A5CE5"/>
    <w:rsid w:val="004A5E21"/>
    <w:rsid w:val="004A6138"/>
    <w:rsid w:val="004A7006"/>
    <w:rsid w:val="004A707D"/>
    <w:rsid w:val="004A74C3"/>
    <w:rsid w:val="004B10A5"/>
    <w:rsid w:val="004B1D6C"/>
    <w:rsid w:val="004B2BA9"/>
    <w:rsid w:val="004B3254"/>
    <w:rsid w:val="004B365D"/>
    <w:rsid w:val="004B3CD4"/>
    <w:rsid w:val="004B4185"/>
    <w:rsid w:val="004B4A43"/>
    <w:rsid w:val="004B7382"/>
    <w:rsid w:val="004B789D"/>
    <w:rsid w:val="004C293A"/>
    <w:rsid w:val="004C2DE6"/>
    <w:rsid w:val="004C3428"/>
    <w:rsid w:val="004C5541"/>
    <w:rsid w:val="004C55B8"/>
    <w:rsid w:val="004C563F"/>
    <w:rsid w:val="004C5A3E"/>
    <w:rsid w:val="004C6EEE"/>
    <w:rsid w:val="004C702B"/>
    <w:rsid w:val="004D0033"/>
    <w:rsid w:val="004D006A"/>
    <w:rsid w:val="004D016B"/>
    <w:rsid w:val="004D1B22"/>
    <w:rsid w:val="004D23CC"/>
    <w:rsid w:val="004D2EA0"/>
    <w:rsid w:val="004D36F2"/>
    <w:rsid w:val="004D441C"/>
    <w:rsid w:val="004D47D9"/>
    <w:rsid w:val="004D580F"/>
    <w:rsid w:val="004D6040"/>
    <w:rsid w:val="004D7949"/>
    <w:rsid w:val="004E068E"/>
    <w:rsid w:val="004E0F2D"/>
    <w:rsid w:val="004E1106"/>
    <w:rsid w:val="004E138F"/>
    <w:rsid w:val="004E4583"/>
    <w:rsid w:val="004E4649"/>
    <w:rsid w:val="004E48CA"/>
    <w:rsid w:val="004E5C2B"/>
    <w:rsid w:val="004E7047"/>
    <w:rsid w:val="004E76A8"/>
    <w:rsid w:val="004E76C1"/>
    <w:rsid w:val="004F00DD"/>
    <w:rsid w:val="004F14D0"/>
    <w:rsid w:val="004F2133"/>
    <w:rsid w:val="004F5398"/>
    <w:rsid w:val="004F55F1"/>
    <w:rsid w:val="004F5B99"/>
    <w:rsid w:val="004F6936"/>
    <w:rsid w:val="004F7B35"/>
    <w:rsid w:val="0050013D"/>
    <w:rsid w:val="00500B89"/>
    <w:rsid w:val="00501796"/>
    <w:rsid w:val="00503408"/>
    <w:rsid w:val="00503813"/>
    <w:rsid w:val="00503DC6"/>
    <w:rsid w:val="00504F1F"/>
    <w:rsid w:val="005059E3"/>
    <w:rsid w:val="00506F5D"/>
    <w:rsid w:val="0050739B"/>
    <w:rsid w:val="00510C37"/>
    <w:rsid w:val="00511C9E"/>
    <w:rsid w:val="005124B9"/>
    <w:rsid w:val="005126D0"/>
    <w:rsid w:val="00513109"/>
    <w:rsid w:val="005142A8"/>
    <w:rsid w:val="00514667"/>
    <w:rsid w:val="005146B3"/>
    <w:rsid w:val="00514DD9"/>
    <w:rsid w:val="005152BC"/>
    <w:rsid w:val="0051568D"/>
    <w:rsid w:val="00515806"/>
    <w:rsid w:val="00516DBA"/>
    <w:rsid w:val="00517FC8"/>
    <w:rsid w:val="005203D4"/>
    <w:rsid w:val="00520727"/>
    <w:rsid w:val="0052284E"/>
    <w:rsid w:val="005263C4"/>
    <w:rsid w:val="00526AC7"/>
    <w:rsid w:val="00526C15"/>
    <w:rsid w:val="005274E0"/>
    <w:rsid w:val="005319BD"/>
    <w:rsid w:val="00531C46"/>
    <w:rsid w:val="005328BC"/>
    <w:rsid w:val="00532958"/>
    <w:rsid w:val="00533018"/>
    <w:rsid w:val="00533990"/>
    <w:rsid w:val="0053532C"/>
    <w:rsid w:val="00536499"/>
    <w:rsid w:val="00537043"/>
    <w:rsid w:val="00537241"/>
    <w:rsid w:val="00540EA6"/>
    <w:rsid w:val="00542A03"/>
    <w:rsid w:val="00543903"/>
    <w:rsid w:val="00543ED7"/>
    <w:rsid w:val="00543F11"/>
    <w:rsid w:val="00543F96"/>
    <w:rsid w:val="00544E8C"/>
    <w:rsid w:val="00545403"/>
    <w:rsid w:val="0054592F"/>
    <w:rsid w:val="005461F2"/>
    <w:rsid w:val="00546305"/>
    <w:rsid w:val="00547A95"/>
    <w:rsid w:val="00547EA1"/>
    <w:rsid w:val="005510C6"/>
    <w:rsid w:val="0055119B"/>
    <w:rsid w:val="00552775"/>
    <w:rsid w:val="00554D3E"/>
    <w:rsid w:val="00555BB6"/>
    <w:rsid w:val="00557392"/>
    <w:rsid w:val="00557886"/>
    <w:rsid w:val="0056005B"/>
    <w:rsid w:val="00560214"/>
    <w:rsid w:val="00561202"/>
    <w:rsid w:val="0056524A"/>
    <w:rsid w:val="00567ED1"/>
    <w:rsid w:val="00571446"/>
    <w:rsid w:val="005715D8"/>
    <w:rsid w:val="00571E78"/>
    <w:rsid w:val="00572031"/>
    <w:rsid w:val="00572282"/>
    <w:rsid w:val="005736B1"/>
    <w:rsid w:val="00573CE3"/>
    <w:rsid w:val="00575201"/>
    <w:rsid w:val="00576C1C"/>
    <w:rsid w:val="00576E84"/>
    <w:rsid w:val="00580394"/>
    <w:rsid w:val="005809CD"/>
    <w:rsid w:val="00582B8C"/>
    <w:rsid w:val="00583201"/>
    <w:rsid w:val="005836A9"/>
    <w:rsid w:val="00584FBB"/>
    <w:rsid w:val="00586C9E"/>
    <w:rsid w:val="0058720E"/>
    <w:rsid w:val="0058757E"/>
    <w:rsid w:val="005875B7"/>
    <w:rsid w:val="00587676"/>
    <w:rsid w:val="0059161C"/>
    <w:rsid w:val="00593A99"/>
    <w:rsid w:val="00595ACB"/>
    <w:rsid w:val="00596A4B"/>
    <w:rsid w:val="00596D3A"/>
    <w:rsid w:val="005970BF"/>
    <w:rsid w:val="00597507"/>
    <w:rsid w:val="005A025B"/>
    <w:rsid w:val="005A1A3E"/>
    <w:rsid w:val="005A1BC6"/>
    <w:rsid w:val="005A2AF8"/>
    <w:rsid w:val="005A39D0"/>
    <w:rsid w:val="005A3D51"/>
    <w:rsid w:val="005A479D"/>
    <w:rsid w:val="005A5196"/>
    <w:rsid w:val="005A7FDA"/>
    <w:rsid w:val="005B066E"/>
    <w:rsid w:val="005B0B5B"/>
    <w:rsid w:val="005B1C6D"/>
    <w:rsid w:val="005B21B6"/>
    <w:rsid w:val="005B3A08"/>
    <w:rsid w:val="005B4A98"/>
    <w:rsid w:val="005B4B78"/>
    <w:rsid w:val="005B527C"/>
    <w:rsid w:val="005B6006"/>
    <w:rsid w:val="005B7A63"/>
    <w:rsid w:val="005C0955"/>
    <w:rsid w:val="005C0B2F"/>
    <w:rsid w:val="005C11B0"/>
    <w:rsid w:val="005C1776"/>
    <w:rsid w:val="005C2792"/>
    <w:rsid w:val="005C2AD9"/>
    <w:rsid w:val="005C3A41"/>
    <w:rsid w:val="005C49DA"/>
    <w:rsid w:val="005C50F3"/>
    <w:rsid w:val="005C54B5"/>
    <w:rsid w:val="005C54F3"/>
    <w:rsid w:val="005C5651"/>
    <w:rsid w:val="005C5D80"/>
    <w:rsid w:val="005C5D91"/>
    <w:rsid w:val="005D063B"/>
    <w:rsid w:val="005D07B8"/>
    <w:rsid w:val="005D1125"/>
    <w:rsid w:val="005D19DA"/>
    <w:rsid w:val="005D2CAB"/>
    <w:rsid w:val="005D35EF"/>
    <w:rsid w:val="005D3C46"/>
    <w:rsid w:val="005D3E5D"/>
    <w:rsid w:val="005D4C54"/>
    <w:rsid w:val="005D55CF"/>
    <w:rsid w:val="005D5CC5"/>
    <w:rsid w:val="005D5DD0"/>
    <w:rsid w:val="005D6597"/>
    <w:rsid w:val="005D7884"/>
    <w:rsid w:val="005D7979"/>
    <w:rsid w:val="005E1270"/>
    <w:rsid w:val="005E14E7"/>
    <w:rsid w:val="005E26A3"/>
    <w:rsid w:val="005E2ECB"/>
    <w:rsid w:val="005E3CA3"/>
    <w:rsid w:val="005E40EA"/>
    <w:rsid w:val="005E447E"/>
    <w:rsid w:val="005E4FD1"/>
    <w:rsid w:val="005E7496"/>
    <w:rsid w:val="005E75CD"/>
    <w:rsid w:val="005E79EE"/>
    <w:rsid w:val="005F0775"/>
    <w:rsid w:val="005F0CF5"/>
    <w:rsid w:val="005F1756"/>
    <w:rsid w:val="005F1C85"/>
    <w:rsid w:val="005F21EB"/>
    <w:rsid w:val="005F2321"/>
    <w:rsid w:val="005F3FA4"/>
    <w:rsid w:val="005F4039"/>
    <w:rsid w:val="005F64CF"/>
    <w:rsid w:val="005F6533"/>
    <w:rsid w:val="005F74FB"/>
    <w:rsid w:val="005F7613"/>
    <w:rsid w:val="006009F9"/>
    <w:rsid w:val="00601391"/>
    <w:rsid w:val="00601F81"/>
    <w:rsid w:val="006023F2"/>
    <w:rsid w:val="0060283A"/>
    <w:rsid w:val="006035DB"/>
    <w:rsid w:val="006041AD"/>
    <w:rsid w:val="0060432A"/>
    <w:rsid w:val="00604CED"/>
    <w:rsid w:val="00605908"/>
    <w:rsid w:val="006060A4"/>
    <w:rsid w:val="006060A7"/>
    <w:rsid w:val="00607604"/>
    <w:rsid w:val="00607850"/>
    <w:rsid w:val="00610D7C"/>
    <w:rsid w:val="00610E05"/>
    <w:rsid w:val="00611851"/>
    <w:rsid w:val="00611FD3"/>
    <w:rsid w:val="00613414"/>
    <w:rsid w:val="00613D79"/>
    <w:rsid w:val="00620154"/>
    <w:rsid w:val="0062062B"/>
    <w:rsid w:val="00620B15"/>
    <w:rsid w:val="006212CB"/>
    <w:rsid w:val="00622AA5"/>
    <w:rsid w:val="00623243"/>
    <w:rsid w:val="0062408D"/>
    <w:rsid w:val="006240CC"/>
    <w:rsid w:val="00624940"/>
    <w:rsid w:val="006254F8"/>
    <w:rsid w:val="00625B61"/>
    <w:rsid w:val="00627DA7"/>
    <w:rsid w:val="00630DA4"/>
    <w:rsid w:val="006311D5"/>
    <w:rsid w:val="00631CD4"/>
    <w:rsid w:val="00631D3F"/>
    <w:rsid w:val="00632597"/>
    <w:rsid w:val="00634AD5"/>
    <w:rsid w:val="00634D13"/>
    <w:rsid w:val="00634D22"/>
    <w:rsid w:val="006354F7"/>
    <w:rsid w:val="00635650"/>
    <w:rsid w:val="006358B4"/>
    <w:rsid w:val="00635D75"/>
    <w:rsid w:val="006362ED"/>
    <w:rsid w:val="00636B0C"/>
    <w:rsid w:val="00636E44"/>
    <w:rsid w:val="00636F8F"/>
    <w:rsid w:val="00640BAF"/>
    <w:rsid w:val="00641289"/>
    <w:rsid w:val="00641724"/>
    <w:rsid w:val="00641914"/>
    <w:rsid w:val="006419AA"/>
    <w:rsid w:val="00642121"/>
    <w:rsid w:val="00643338"/>
    <w:rsid w:val="00643F3F"/>
    <w:rsid w:val="00644A6D"/>
    <w:rsid w:val="00644B1F"/>
    <w:rsid w:val="00644B7E"/>
    <w:rsid w:val="00645253"/>
    <w:rsid w:val="006454E6"/>
    <w:rsid w:val="00646235"/>
    <w:rsid w:val="0064677E"/>
    <w:rsid w:val="0064684A"/>
    <w:rsid w:val="00646A68"/>
    <w:rsid w:val="00647D28"/>
    <w:rsid w:val="006505BD"/>
    <w:rsid w:val="006508EA"/>
    <w:rsid w:val="0065092E"/>
    <w:rsid w:val="00650FE1"/>
    <w:rsid w:val="00651EC3"/>
    <w:rsid w:val="00651FF9"/>
    <w:rsid w:val="00652146"/>
    <w:rsid w:val="006527E4"/>
    <w:rsid w:val="00652E3B"/>
    <w:rsid w:val="00654377"/>
    <w:rsid w:val="006557A7"/>
    <w:rsid w:val="00656290"/>
    <w:rsid w:val="00656CF6"/>
    <w:rsid w:val="006601C9"/>
    <w:rsid w:val="006608D8"/>
    <w:rsid w:val="0066172D"/>
    <w:rsid w:val="00661D08"/>
    <w:rsid w:val="006621D7"/>
    <w:rsid w:val="0066302A"/>
    <w:rsid w:val="0066360F"/>
    <w:rsid w:val="0066649E"/>
    <w:rsid w:val="00667770"/>
    <w:rsid w:val="00670597"/>
    <w:rsid w:val="006706D0"/>
    <w:rsid w:val="00671011"/>
    <w:rsid w:val="00671B5E"/>
    <w:rsid w:val="00671E12"/>
    <w:rsid w:val="00677457"/>
    <w:rsid w:val="00677574"/>
    <w:rsid w:val="006806C1"/>
    <w:rsid w:val="00680983"/>
    <w:rsid w:val="00680D6D"/>
    <w:rsid w:val="00680E93"/>
    <w:rsid w:val="00681935"/>
    <w:rsid w:val="00682734"/>
    <w:rsid w:val="00682BEE"/>
    <w:rsid w:val="00682DD6"/>
    <w:rsid w:val="00683878"/>
    <w:rsid w:val="00683C58"/>
    <w:rsid w:val="0068454C"/>
    <w:rsid w:val="00686374"/>
    <w:rsid w:val="006870D0"/>
    <w:rsid w:val="006879B0"/>
    <w:rsid w:val="00687E55"/>
    <w:rsid w:val="00690079"/>
    <w:rsid w:val="0069091A"/>
    <w:rsid w:val="00691B62"/>
    <w:rsid w:val="0069278B"/>
    <w:rsid w:val="006933B5"/>
    <w:rsid w:val="00693599"/>
    <w:rsid w:val="00693605"/>
    <w:rsid w:val="0069368D"/>
    <w:rsid w:val="006938C1"/>
    <w:rsid w:val="00693D14"/>
    <w:rsid w:val="00693F12"/>
    <w:rsid w:val="0069438A"/>
    <w:rsid w:val="00695A93"/>
    <w:rsid w:val="0069649B"/>
    <w:rsid w:val="00696B3F"/>
    <w:rsid w:val="00696F27"/>
    <w:rsid w:val="006A0423"/>
    <w:rsid w:val="006A0F42"/>
    <w:rsid w:val="006A18C2"/>
    <w:rsid w:val="006A1EC3"/>
    <w:rsid w:val="006A1F2D"/>
    <w:rsid w:val="006A2F78"/>
    <w:rsid w:val="006A3383"/>
    <w:rsid w:val="006A4F05"/>
    <w:rsid w:val="006A5727"/>
    <w:rsid w:val="006A5FE9"/>
    <w:rsid w:val="006A6B13"/>
    <w:rsid w:val="006A7AD0"/>
    <w:rsid w:val="006B06D0"/>
    <w:rsid w:val="006B06F0"/>
    <w:rsid w:val="006B0723"/>
    <w:rsid w:val="006B077C"/>
    <w:rsid w:val="006B16AF"/>
    <w:rsid w:val="006B2DB8"/>
    <w:rsid w:val="006B3119"/>
    <w:rsid w:val="006B33E6"/>
    <w:rsid w:val="006B41C6"/>
    <w:rsid w:val="006B4919"/>
    <w:rsid w:val="006B4B88"/>
    <w:rsid w:val="006B4DAA"/>
    <w:rsid w:val="006B502F"/>
    <w:rsid w:val="006B5875"/>
    <w:rsid w:val="006B6626"/>
    <w:rsid w:val="006B6803"/>
    <w:rsid w:val="006B6D95"/>
    <w:rsid w:val="006C0C87"/>
    <w:rsid w:val="006C13ED"/>
    <w:rsid w:val="006C15CE"/>
    <w:rsid w:val="006C16FE"/>
    <w:rsid w:val="006C1FF1"/>
    <w:rsid w:val="006C20FF"/>
    <w:rsid w:val="006C26BC"/>
    <w:rsid w:val="006C3CAE"/>
    <w:rsid w:val="006C4010"/>
    <w:rsid w:val="006C4736"/>
    <w:rsid w:val="006C748F"/>
    <w:rsid w:val="006D041E"/>
    <w:rsid w:val="006D0EB5"/>
    <w:rsid w:val="006D0F16"/>
    <w:rsid w:val="006D1707"/>
    <w:rsid w:val="006D2A3F"/>
    <w:rsid w:val="006D2FBC"/>
    <w:rsid w:val="006D3F80"/>
    <w:rsid w:val="006D435C"/>
    <w:rsid w:val="006D49EB"/>
    <w:rsid w:val="006D6275"/>
    <w:rsid w:val="006D6BFE"/>
    <w:rsid w:val="006D7C44"/>
    <w:rsid w:val="006E138B"/>
    <w:rsid w:val="006E1867"/>
    <w:rsid w:val="006E3AC4"/>
    <w:rsid w:val="006E3C11"/>
    <w:rsid w:val="006E4D2F"/>
    <w:rsid w:val="006E5547"/>
    <w:rsid w:val="006E55D0"/>
    <w:rsid w:val="006E6A3F"/>
    <w:rsid w:val="006E6BDB"/>
    <w:rsid w:val="006F0251"/>
    <w:rsid w:val="006F02F4"/>
    <w:rsid w:val="006F0330"/>
    <w:rsid w:val="006F091C"/>
    <w:rsid w:val="006F0EC4"/>
    <w:rsid w:val="006F1E3F"/>
    <w:rsid w:val="006F1FDC"/>
    <w:rsid w:val="006F24ED"/>
    <w:rsid w:val="006F2C31"/>
    <w:rsid w:val="006F39EA"/>
    <w:rsid w:val="006F58C9"/>
    <w:rsid w:val="006F5DAA"/>
    <w:rsid w:val="006F677E"/>
    <w:rsid w:val="006F6B8C"/>
    <w:rsid w:val="007011A9"/>
    <w:rsid w:val="007013EF"/>
    <w:rsid w:val="00701D04"/>
    <w:rsid w:val="00702B81"/>
    <w:rsid w:val="00703289"/>
    <w:rsid w:val="00703B85"/>
    <w:rsid w:val="00705521"/>
    <w:rsid w:val="007055BD"/>
    <w:rsid w:val="00706BCC"/>
    <w:rsid w:val="00706DBE"/>
    <w:rsid w:val="00707D74"/>
    <w:rsid w:val="00710B79"/>
    <w:rsid w:val="00710D25"/>
    <w:rsid w:val="0071163E"/>
    <w:rsid w:val="007120FF"/>
    <w:rsid w:val="007125FE"/>
    <w:rsid w:val="0071333E"/>
    <w:rsid w:val="007173CA"/>
    <w:rsid w:val="00717655"/>
    <w:rsid w:val="0072007D"/>
    <w:rsid w:val="007216AA"/>
    <w:rsid w:val="00721AB5"/>
    <w:rsid w:val="00721CFB"/>
    <w:rsid w:val="00721DEF"/>
    <w:rsid w:val="00722E45"/>
    <w:rsid w:val="0072338C"/>
    <w:rsid w:val="00724A43"/>
    <w:rsid w:val="00725775"/>
    <w:rsid w:val="0072672B"/>
    <w:rsid w:val="0072699D"/>
    <w:rsid w:val="007273AC"/>
    <w:rsid w:val="00727D43"/>
    <w:rsid w:val="00730806"/>
    <w:rsid w:val="00731AD4"/>
    <w:rsid w:val="007328C1"/>
    <w:rsid w:val="00732EDA"/>
    <w:rsid w:val="00733D2C"/>
    <w:rsid w:val="00734687"/>
    <w:rsid w:val="007346E4"/>
    <w:rsid w:val="007361FA"/>
    <w:rsid w:val="00737328"/>
    <w:rsid w:val="007404EB"/>
    <w:rsid w:val="00740B0B"/>
    <w:rsid w:val="00740F22"/>
    <w:rsid w:val="007413DF"/>
    <w:rsid w:val="00741977"/>
    <w:rsid w:val="00741CF0"/>
    <w:rsid w:val="00741F1A"/>
    <w:rsid w:val="00742FB4"/>
    <w:rsid w:val="00743A2C"/>
    <w:rsid w:val="007447DA"/>
    <w:rsid w:val="007450F8"/>
    <w:rsid w:val="0074696E"/>
    <w:rsid w:val="00746F4F"/>
    <w:rsid w:val="0074731C"/>
    <w:rsid w:val="00747ABE"/>
    <w:rsid w:val="00747DB1"/>
    <w:rsid w:val="00750135"/>
    <w:rsid w:val="00750824"/>
    <w:rsid w:val="00750ABC"/>
    <w:rsid w:val="00750DB2"/>
    <w:rsid w:val="00750EC2"/>
    <w:rsid w:val="00752B28"/>
    <w:rsid w:val="00753ACA"/>
    <w:rsid w:val="007541A9"/>
    <w:rsid w:val="007541C5"/>
    <w:rsid w:val="00754D55"/>
    <w:rsid w:val="00754E36"/>
    <w:rsid w:val="00756142"/>
    <w:rsid w:val="00756839"/>
    <w:rsid w:val="00761347"/>
    <w:rsid w:val="00761A40"/>
    <w:rsid w:val="00762393"/>
    <w:rsid w:val="00762417"/>
    <w:rsid w:val="00762DFF"/>
    <w:rsid w:val="00763139"/>
    <w:rsid w:val="0076349B"/>
    <w:rsid w:val="007650BF"/>
    <w:rsid w:val="00765307"/>
    <w:rsid w:val="00766F80"/>
    <w:rsid w:val="00767E36"/>
    <w:rsid w:val="007703D0"/>
    <w:rsid w:val="007704CD"/>
    <w:rsid w:val="00770F37"/>
    <w:rsid w:val="007710FD"/>
    <w:rsid w:val="007711A0"/>
    <w:rsid w:val="00771CF9"/>
    <w:rsid w:val="00772D5E"/>
    <w:rsid w:val="0077463E"/>
    <w:rsid w:val="00774D60"/>
    <w:rsid w:val="0077621B"/>
    <w:rsid w:val="007764DF"/>
    <w:rsid w:val="00776725"/>
    <w:rsid w:val="00776928"/>
    <w:rsid w:val="00776E0F"/>
    <w:rsid w:val="007774B1"/>
    <w:rsid w:val="00777BE1"/>
    <w:rsid w:val="00780023"/>
    <w:rsid w:val="00780920"/>
    <w:rsid w:val="00782202"/>
    <w:rsid w:val="00782E95"/>
    <w:rsid w:val="0078315B"/>
    <w:rsid w:val="007833D8"/>
    <w:rsid w:val="00783A3E"/>
    <w:rsid w:val="00783E9B"/>
    <w:rsid w:val="00785677"/>
    <w:rsid w:val="00786AB5"/>
    <w:rsid w:val="00786F16"/>
    <w:rsid w:val="00787604"/>
    <w:rsid w:val="00787AC6"/>
    <w:rsid w:val="00787E74"/>
    <w:rsid w:val="00790631"/>
    <w:rsid w:val="00791276"/>
    <w:rsid w:val="00791453"/>
    <w:rsid w:val="00791BD7"/>
    <w:rsid w:val="0079299A"/>
    <w:rsid w:val="007933F7"/>
    <w:rsid w:val="0079467D"/>
    <w:rsid w:val="00795D72"/>
    <w:rsid w:val="007962FC"/>
    <w:rsid w:val="00796468"/>
    <w:rsid w:val="007964B6"/>
    <w:rsid w:val="00796E20"/>
    <w:rsid w:val="00797C32"/>
    <w:rsid w:val="007A11E8"/>
    <w:rsid w:val="007A214A"/>
    <w:rsid w:val="007A24E1"/>
    <w:rsid w:val="007A2D03"/>
    <w:rsid w:val="007A3BE5"/>
    <w:rsid w:val="007A45FA"/>
    <w:rsid w:val="007A51A5"/>
    <w:rsid w:val="007A6948"/>
    <w:rsid w:val="007B038D"/>
    <w:rsid w:val="007B0914"/>
    <w:rsid w:val="007B1374"/>
    <w:rsid w:val="007B2234"/>
    <w:rsid w:val="007B32E5"/>
    <w:rsid w:val="007B3649"/>
    <w:rsid w:val="007B3DB9"/>
    <w:rsid w:val="007B4960"/>
    <w:rsid w:val="007B5583"/>
    <w:rsid w:val="007B589F"/>
    <w:rsid w:val="007B6186"/>
    <w:rsid w:val="007B73BC"/>
    <w:rsid w:val="007B7F57"/>
    <w:rsid w:val="007C0C07"/>
    <w:rsid w:val="007C12E5"/>
    <w:rsid w:val="007C1838"/>
    <w:rsid w:val="007C20B9"/>
    <w:rsid w:val="007C313A"/>
    <w:rsid w:val="007C529D"/>
    <w:rsid w:val="007C6959"/>
    <w:rsid w:val="007C6D80"/>
    <w:rsid w:val="007C6E76"/>
    <w:rsid w:val="007C7301"/>
    <w:rsid w:val="007C7859"/>
    <w:rsid w:val="007C7F28"/>
    <w:rsid w:val="007D02B4"/>
    <w:rsid w:val="007D1466"/>
    <w:rsid w:val="007D2260"/>
    <w:rsid w:val="007D2BDE"/>
    <w:rsid w:val="007D2FB6"/>
    <w:rsid w:val="007D320E"/>
    <w:rsid w:val="007D3A93"/>
    <w:rsid w:val="007D49EB"/>
    <w:rsid w:val="007D4B0D"/>
    <w:rsid w:val="007D5E1C"/>
    <w:rsid w:val="007D777F"/>
    <w:rsid w:val="007E058E"/>
    <w:rsid w:val="007E0DE2"/>
    <w:rsid w:val="007E1024"/>
    <w:rsid w:val="007E3A7E"/>
    <w:rsid w:val="007E3B98"/>
    <w:rsid w:val="007E3E5A"/>
    <w:rsid w:val="007E417A"/>
    <w:rsid w:val="007E6244"/>
    <w:rsid w:val="007E7487"/>
    <w:rsid w:val="007E7493"/>
    <w:rsid w:val="007E7911"/>
    <w:rsid w:val="007E7B1C"/>
    <w:rsid w:val="007F31B6"/>
    <w:rsid w:val="007F33FC"/>
    <w:rsid w:val="007F3E59"/>
    <w:rsid w:val="007F51B4"/>
    <w:rsid w:val="007F546C"/>
    <w:rsid w:val="007F625F"/>
    <w:rsid w:val="007F635D"/>
    <w:rsid w:val="007F665E"/>
    <w:rsid w:val="007F67E7"/>
    <w:rsid w:val="007F7541"/>
    <w:rsid w:val="00800412"/>
    <w:rsid w:val="00802BB0"/>
    <w:rsid w:val="00802C5C"/>
    <w:rsid w:val="00803254"/>
    <w:rsid w:val="008043F1"/>
    <w:rsid w:val="0080587B"/>
    <w:rsid w:val="008061A3"/>
    <w:rsid w:val="00806468"/>
    <w:rsid w:val="0080742E"/>
    <w:rsid w:val="008114DF"/>
    <w:rsid w:val="008119CA"/>
    <w:rsid w:val="00811BBF"/>
    <w:rsid w:val="008130C4"/>
    <w:rsid w:val="008138CC"/>
    <w:rsid w:val="0081444A"/>
    <w:rsid w:val="00814ED4"/>
    <w:rsid w:val="008155F0"/>
    <w:rsid w:val="00816735"/>
    <w:rsid w:val="00820141"/>
    <w:rsid w:val="00820E0C"/>
    <w:rsid w:val="00821ED6"/>
    <w:rsid w:val="00821F07"/>
    <w:rsid w:val="00823024"/>
    <w:rsid w:val="00823275"/>
    <w:rsid w:val="0082366F"/>
    <w:rsid w:val="008241BC"/>
    <w:rsid w:val="00827541"/>
    <w:rsid w:val="00830A31"/>
    <w:rsid w:val="0083154C"/>
    <w:rsid w:val="00831C0B"/>
    <w:rsid w:val="00833825"/>
    <w:rsid w:val="008338A2"/>
    <w:rsid w:val="00834994"/>
    <w:rsid w:val="00841AA9"/>
    <w:rsid w:val="0084246F"/>
    <w:rsid w:val="00843ACB"/>
    <w:rsid w:val="00843C2C"/>
    <w:rsid w:val="008441AD"/>
    <w:rsid w:val="0084434B"/>
    <w:rsid w:val="00846C40"/>
    <w:rsid w:val="008474FE"/>
    <w:rsid w:val="0085232E"/>
    <w:rsid w:val="00852512"/>
    <w:rsid w:val="00852887"/>
    <w:rsid w:val="00853A5D"/>
    <w:rsid w:val="00853CCF"/>
    <w:rsid w:val="00853EE4"/>
    <w:rsid w:val="008543B1"/>
    <w:rsid w:val="00855535"/>
    <w:rsid w:val="00857C5A"/>
    <w:rsid w:val="00860544"/>
    <w:rsid w:val="008624D9"/>
    <w:rsid w:val="0086255E"/>
    <w:rsid w:val="00862F06"/>
    <w:rsid w:val="008633F0"/>
    <w:rsid w:val="00864434"/>
    <w:rsid w:val="008656FB"/>
    <w:rsid w:val="008666F8"/>
    <w:rsid w:val="00866BB3"/>
    <w:rsid w:val="00866C30"/>
    <w:rsid w:val="00867D9D"/>
    <w:rsid w:val="00870A83"/>
    <w:rsid w:val="0087107A"/>
    <w:rsid w:val="00871A26"/>
    <w:rsid w:val="00872C54"/>
    <w:rsid w:val="00872E0A"/>
    <w:rsid w:val="00873594"/>
    <w:rsid w:val="00874835"/>
    <w:rsid w:val="00875285"/>
    <w:rsid w:val="00875C47"/>
    <w:rsid w:val="00876F56"/>
    <w:rsid w:val="00877C3E"/>
    <w:rsid w:val="008805F6"/>
    <w:rsid w:val="008829CD"/>
    <w:rsid w:val="008839AD"/>
    <w:rsid w:val="00883AC0"/>
    <w:rsid w:val="00884B62"/>
    <w:rsid w:val="0088529C"/>
    <w:rsid w:val="00887903"/>
    <w:rsid w:val="00891E7C"/>
    <w:rsid w:val="0089270A"/>
    <w:rsid w:val="00893AF6"/>
    <w:rsid w:val="00894BC4"/>
    <w:rsid w:val="0089505B"/>
    <w:rsid w:val="00895D77"/>
    <w:rsid w:val="00897E30"/>
    <w:rsid w:val="008A1178"/>
    <w:rsid w:val="008A28A8"/>
    <w:rsid w:val="008A2B9F"/>
    <w:rsid w:val="008A2BDE"/>
    <w:rsid w:val="008A31D8"/>
    <w:rsid w:val="008A4614"/>
    <w:rsid w:val="008A5233"/>
    <w:rsid w:val="008A53C1"/>
    <w:rsid w:val="008A5433"/>
    <w:rsid w:val="008A5B32"/>
    <w:rsid w:val="008A5D60"/>
    <w:rsid w:val="008A62C4"/>
    <w:rsid w:val="008A65C8"/>
    <w:rsid w:val="008A67C0"/>
    <w:rsid w:val="008A7726"/>
    <w:rsid w:val="008B05BF"/>
    <w:rsid w:val="008B1681"/>
    <w:rsid w:val="008B2029"/>
    <w:rsid w:val="008B20F3"/>
    <w:rsid w:val="008B28F5"/>
    <w:rsid w:val="008B2D09"/>
    <w:rsid w:val="008B2EE4"/>
    <w:rsid w:val="008B3821"/>
    <w:rsid w:val="008B4D3D"/>
    <w:rsid w:val="008B57C7"/>
    <w:rsid w:val="008B68B6"/>
    <w:rsid w:val="008C0B93"/>
    <w:rsid w:val="008C19E7"/>
    <w:rsid w:val="008C2639"/>
    <w:rsid w:val="008C2F92"/>
    <w:rsid w:val="008C3279"/>
    <w:rsid w:val="008C3BC0"/>
    <w:rsid w:val="008C3C2E"/>
    <w:rsid w:val="008C55ED"/>
    <w:rsid w:val="008C589D"/>
    <w:rsid w:val="008C6804"/>
    <w:rsid w:val="008C6D51"/>
    <w:rsid w:val="008D0B5C"/>
    <w:rsid w:val="008D10EF"/>
    <w:rsid w:val="008D1850"/>
    <w:rsid w:val="008D2846"/>
    <w:rsid w:val="008D3055"/>
    <w:rsid w:val="008D3CBD"/>
    <w:rsid w:val="008D4236"/>
    <w:rsid w:val="008D462F"/>
    <w:rsid w:val="008D4B67"/>
    <w:rsid w:val="008D5803"/>
    <w:rsid w:val="008D5C45"/>
    <w:rsid w:val="008D6DCF"/>
    <w:rsid w:val="008D6E3A"/>
    <w:rsid w:val="008D715B"/>
    <w:rsid w:val="008D79C9"/>
    <w:rsid w:val="008E09B9"/>
    <w:rsid w:val="008E186F"/>
    <w:rsid w:val="008E1DB6"/>
    <w:rsid w:val="008E4376"/>
    <w:rsid w:val="008E4401"/>
    <w:rsid w:val="008E5212"/>
    <w:rsid w:val="008E55E8"/>
    <w:rsid w:val="008E6202"/>
    <w:rsid w:val="008E69C3"/>
    <w:rsid w:val="008E6BBF"/>
    <w:rsid w:val="008E7A0A"/>
    <w:rsid w:val="008E7B49"/>
    <w:rsid w:val="008F047C"/>
    <w:rsid w:val="008F06D0"/>
    <w:rsid w:val="008F087B"/>
    <w:rsid w:val="008F0AF3"/>
    <w:rsid w:val="008F166B"/>
    <w:rsid w:val="008F16A5"/>
    <w:rsid w:val="008F4899"/>
    <w:rsid w:val="008F59F6"/>
    <w:rsid w:val="00900719"/>
    <w:rsid w:val="00901422"/>
    <w:rsid w:val="009017AC"/>
    <w:rsid w:val="00902A9A"/>
    <w:rsid w:val="00903474"/>
    <w:rsid w:val="00904A1C"/>
    <w:rsid w:val="00905030"/>
    <w:rsid w:val="00905583"/>
    <w:rsid w:val="00906490"/>
    <w:rsid w:val="00907EB2"/>
    <w:rsid w:val="009111B2"/>
    <w:rsid w:val="00911981"/>
    <w:rsid w:val="00912087"/>
    <w:rsid w:val="00913386"/>
    <w:rsid w:val="00914261"/>
    <w:rsid w:val="00914E1E"/>
    <w:rsid w:val="009151F5"/>
    <w:rsid w:val="009160B7"/>
    <w:rsid w:val="00916140"/>
    <w:rsid w:val="00917A07"/>
    <w:rsid w:val="00920C61"/>
    <w:rsid w:val="0092150D"/>
    <w:rsid w:val="00922365"/>
    <w:rsid w:val="00923099"/>
    <w:rsid w:val="009232F4"/>
    <w:rsid w:val="00924AE1"/>
    <w:rsid w:val="009257ED"/>
    <w:rsid w:val="00925B8E"/>
    <w:rsid w:val="009260E0"/>
    <w:rsid w:val="009269B1"/>
    <w:rsid w:val="0092724D"/>
    <w:rsid w:val="009272B3"/>
    <w:rsid w:val="00927484"/>
    <w:rsid w:val="00930CB7"/>
    <w:rsid w:val="009315BE"/>
    <w:rsid w:val="00932659"/>
    <w:rsid w:val="009329C7"/>
    <w:rsid w:val="0093338F"/>
    <w:rsid w:val="0093343A"/>
    <w:rsid w:val="009341AC"/>
    <w:rsid w:val="00934393"/>
    <w:rsid w:val="009356C1"/>
    <w:rsid w:val="00935AD7"/>
    <w:rsid w:val="00935B47"/>
    <w:rsid w:val="00936B82"/>
    <w:rsid w:val="00937560"/>
    <w:rsid w:val="0093783F"/>
    <w:rsid w:val="00937BD9"/>
    <w:rsid w:val="009407BA"/>
    <w:rsid w:val="009444DD"/>
    <w:rsid w:val="00945BBE"/>
    <w:rsid w:val="00946B8B"/>
    <w:rsid w:val="00946E01"/>
    <w:rsid w:val="00950CE3"/>
    <w:rsid w:val="00950E2C"/>
    <w:rsid w:val="00951497"/>
    <w:rsid w:val="00951D50"/>
    <w:rsid w:val="009525EB"/>
    <w:rsid w:val="00952624"/>
    <w:rsid w:val="00952900"/>
    <w:rsid w:val="00953EA4"/>
    <w:rsid w:val="0095407E"/>
    <w:rsid w:val="0095470B"/>
    <w:rsid w:val="00954874"/>
    <w:rsid w:val="00954D01"/>
    <w:rsid w:val="0095615A"/>
    <w:rsid w:val="00956B0B"/>
    <w:rsid w:val="009572C9"/>
    <w:rsid w:val="00961400"/>
    <w:rsid w:val="00961CC6"/>
    <w:rsid w:val="00963646"/>
    <w:rsid w:val="00963C6E"/>
    <w:rsid w:val="0096577F"/>
    <w:rsid w:val="0096586A"/>
    <w:rsid w:val="00965E0D"/>
    <w:rsid w:val="0096632D"/>
    <w:rsid w:val="00967124"/>
    <w:rsid w:val="00967335"/>
    <w:rsid w:val="0096757E"/>
    <w:rsid w:val="0097097B"/>
    <w:rsid w:val="00970AAE"/>
    <w:rsid w:val="009710A1"/>
    <w:rsid w:val="00971284"/>
    <w:rsid w:val="009718C7"/>
    <w:rsid w:val="0097221D"/>
    <w:rsid w:val="009731F7"/>
    <w:rsid w:val="009737DB"/>
    <w:rsid w:val="0097559F"/>
    <w:rsid w:val="009761EA"/>
    <w:rsid w:val="00976588"/>
    <w:rsid w:val="00976F7F"/>
    <w:rsid w:val="00976F93"/>
    <w:rsid w:val="0097761E"/>
    <w:rsid w:val="00980117"/>
    <w:rsid w:val="009819C0"/>
    <w:rsid w:val="00982454"/>
    <w:rsid w:val="00982B3C"/>
    <w:rsid w:val="00982CF0"/>
    <w:rsid w:val="00982FAE"/>
    <w:rsid w:val="00983307"/>
    <w:rsid w:val="009853E1"/>
    <w:rsid w:val="0098682D"/>
    <w:rsid w:val="0098698F"/>
    <w:rsid w:val="00986E6B"/>
    <w:rsid w:val="00990032"/>
    <w:rsid w:val="00990B19"/>
    <w:rsid w:val="00991003"/>
    <w:rsid w:val="00991288"/>
    <w:rsid w:val="0099153B"/>
    <w:rsid w:val="00991769"/>
    <w:rsid w:val="0099232C"/>
    <w:rsid w:val="00994386"/>
    <w:rsid w:val="00994791"/>
    <w:rsid w:val="00994B10"/>
    <w:rsid w:val="00994FAA"/>
    <w:rsid w:val="009A0C0B"/>
    <w:rsid w:val="009A0EED"/>
    <w:rsid w:val="009A13D8"/>
    <w:rsid w:val="009A279E"/>
    <w:rsid w:val="009A3015"/>
    <w:rsid w:val="009A3490"/>
    <w:rsid w:val="009A4FD6"/>
    <w:rsid w:val="009A5584"/>
    <w:rsid w:val="009A6B68"/>
    <w:rsid w:val="009A7943"/>
    <w:rsid w:val="009B0A6F"/>
    <w:rsid w:val="009B0A94"/>
    <w:rsid w:val="009B1195"/>
    <w:rsid w:val="009B2AE8"/>
    <w:rsid w:val="009B3131"/>
    <w:rsid w:val="009B3493"/>
    <w:rsid w:val="009B5622"/>
    <w:rsid w:val="009B59E9"/>
    <w:rsid w:val="009B5A72"/>
    <w:rsid w:val="009B7024"/>
    <w:rsid w:val="009B70AA"/>
    <w:rsid w:val="009C1A3D"/>
    <w:rsid w:val="009C1CB1"/>
    <w:rsid w:val="009C2289"/>
    <w:rsid w:val="009C25F2"/>
    <w:rsid w:val="009C2795"/>
    <w:rsid w:val="009C3823"/>
    <w:rsid w:val="009C425B"/>
    <w:rsid w:val="009C4671"/>
    <w:rsid w:val="009C5E77"/>
    <w:rsid w:val="009C64F3"/>
    <w:rsid w:val="009C7A7E"/>
    <w:rsid w:val="009C7BCB"/>
    <w:rsid w:val="009D0156"/>
    <w:rsid w:val="009D02E8"/>
    <w:rsid w:val="009D05B1"/>
    <w:rsid w:val="009D07CD"/>
    <w:rsid w:val="009D0956"/>
    <w:rsid w:val="009D124B"/>
    <w:rsid w:val="009D1E45"/>
    <w:rsid w:val="009D3AAB"/>
    <w:rsid w:val="009D4319"/>
    <w:rsid w:val="009D51D0"/>
    <w:rsid w:val="009D67C1"/>
    <w:rsid w:val="009D70A4"/>
    <w:rsid w:val="009D789A"/>
    <w:rsid w:val="009D7A52"/>
    <w:rsid w:val="009D7B14"/>
    <w:rsid w:val="009E0531"/>
    <w:rsid w:val="009E08D1"/>
    <w:rsid w:val="009E0A54"/>
    <w:rsid w:val="009E0F30"/>
    <w:rsid w:val="009E1B95"/>
    <w:rsid w:val="009E201D"/>
    <w:rsid w:val="009E23FD"/>
    <w:rsid w:val="009E442F"/>
    <w:rsid w:val="009E496F"/>
    <w:rsid w:val="009E4B0D"/>
    <w:rsid w:val="009E4C4A"/>
    <w:rsid w:val="009E5250"/>
    <w:rsid w:val="009E5D01"/>
    <w:rsid w:val="009E5DF6"/>
    <w:rsid w:val="009E60A4"/>
    <w:rsid w:val="009E7A69"/>
    <w:rsid w:val="009E7F92"/>
    <w:rsid w:val="009F02A3"/>
    <w:rsid w:val="009F0A56"/>
    <w:rsid w:val="009F2F27"/>
    <w:rsid w:val="009F34AA"/>
    <w:rsid w:val="009F3DBB"/>
    <w:rsid w:val="009F477E"/>
    <w:rsid w:val="009F6438"/>
    <w:rsid w:val="009F6794"/>
    <w:rsid w:val="009F6BCB"/>
    <w:rsid w:val="009F7A69"/>
    <w:rsid w:val="009F7B78"/>
    <w:rsid w:val="009F7F81"/>
    <w:rsid w:val="00A0057A"/>
    <w:rsid w:val="00A00D48"/>
    <w:rsid w:val="00A00F38"/>
    <w:rsid w:val="00A01071"/>
    <w:rsid w:val="00A016D5"/>
    <w:rsid w:val="00A02674"/>
    <w:rsid w:val="00A02FA1"/>
    <w:rsid w:val="00A02FD0"/>
    <w:rsid w:val="00A04CCE"/>
    <w:rsid w:val="00A05F8D"/>
    <w:rsid w:val="00A06C81"/>
    <w:rsid w:val="00A07421"/>
    <w:rsid w:val="00A075FA"/>
    <w:rsid w:val="00A0776B"/>
    <w:rsid w:val="00A10070"/>
    <w:rsid w:val="00A1097C"/>
    <w:rsid w:val="00A10EAC"/>
    <w:rsid w:val="00A10FB9"/>
    <w:rsid w:val="00A11421"/>
    <w:rsid w:val="00A11FD8"/>
    <w:rsid w:val="00A121C3"/>
    <w:rsid w:val="00A126F9"/>
    <w:rsid w:val="00A12B4D"/>
    <w:rsid w:val="00A13645"/>
    <w:rsid w:val="00A1389F"/>
    <w:rsid w:val="00A13ACE"/>
    <w:rsid w:val="00A141FD"/>
    <w:rsid w:val="00A1455B"/>
    <w:rsid w:val="00A14996"/>
    <w:rsid w:val="00A157B1"/>
    <w:rsid w:val="00A15A9D"/>
    <w:rsid w:val="00A15D55"/>
    <w:rsid w:val="00A1742E"/>
    <w:rsid w:val="00A174B0"/>
    <w:rsid w:val="00A17543"/>
    <w:rsid w:val="00A17DF3"/>
    <w:rsid w:val="00A21187"/>
    <w:rsid w:val="00A2123C"/>
    <w:rsid w:val="00A22229"/>
    <w:rsid w:val="00A2263E"/>
    <w:rsid w:val="00A23B5D"/>
    <w:rsid w:val="00A23BE7"/>
    <w:rsid w:val="00A23CFD"/>
    <w:rsid w:val="00A24442"/>
    <w:rsid w:val="00A24B4D"/>
    <w:rsid w:val="00A252B9"/>
    <w:rsid w:val="00A2572A"/>
    <w:rsid w:val="00A26CF2"/>
    <w:rsid w:val="00A27450"/>
    <w:rsid w:val="00A27A27"/>
    <w:rsid w:val="00A30243"/>
    <w:rsid w:val="00A316F1"/>
    <w:rsid w:val="00A318AE"/>
    <w:rsid w:val="00A32577"/>
    <w:rsid w:val="00A330BB"/>
    <w:rsid w:val="00A3314F"/>
    <w:rsid w:val="00A34ACD"/>
    <w:rsid w:val="00A36AD9"/>
    <w:rsid w:val="00A41209"/>
    <w:rsid w:val="00A41496"/>
    <w:rsid w:val="00A42473"/>
    <w:rsid w:val="00A42A50"/>
    <w:rsid w:val="00A446DE"/>
    <w:rsid w:val="00A44882"/>
    <w:rsid w:val="00A45125"/>
    <w:rsid w:val="00A479A0"/>
    <w:rsid w:val="00A47F6F"/>
    <w:rsid w:val="00A50716"/>
    <w:rsid w:val="00A51014"/>
    <w:rsid w:val="00A513A9"/>
    <w:rsid w:val="00A51B1B"/>
    <w:rsid w:val="00A52F85"/>
    <w:rsid w:val="00A53B73"/>
    <w:rsid w:val="00A53CCC"/>
    <w:rsid w:val="00A53E8D"/>
    <w:rsid w:val="00A54715"/>
    <w:rsid w:val="00A56EB6"/>
    <w:rsid w:val="00A56F8E"/>
    <w:rsid w:val="00A6061C"/>
    <w:rsid w:val="00A611F1"/>
    <w:rsid w:val="00A6233D"/>
    <w:rsid w:val="00A62D44"/>
    <w:rsid w:val="00A64653"/>
    <w:rsid w:val="00A65D5A"/>
    <w:rsid w:val="00A67263"/>
    <w:rsid w:val="00A67F72"/>
    <w:rsid w:val="00A70168"/>
    <w:rsid w:val="00A71123"/>
    <w:rsid w:val="00A7161C"/>
    <w:rsid w:val="00A74E8D"/>
    <w:rsid w:val="00A7592E"/>
    <w:rsid w:val="00A76101"/>
    <w:rsid w:val="00A7630A"/>
    <w:rsid w:val="00A77AA3"/>
    <w:rsid w:val="00A80417"/>
    <w:rsid w:val="00A81E21"/>
    <w:rsid w:val="00A82222"/>
    <w:rsid w:val="00A8236D"/>
    <w:rsid w:val="00A82F30"/>
    <w:rsid w:val="00A83FD5"/>
    <w:rsid w:val="00A8416F"/>
    <w:rsid w:val="00A84386"/>
    <w:rsid w:val="00A854EB"/>
    <w:rsid w:val="00A85B91"/>
    <w:rsid w:val="00A8693F"/>
    <w:rsid w:val="00A86C51"/>
    <w:rsid w:val="00A872E5"/>
    <w:rsid w:val="00A91406"/>
    <w:rsid w:val="00A92DB5"/>
    <w:rsid w:val="00A95118"/>
    <w:rsid w:val="00A9645F"/>
    <w:rsid w:val="00A96E65"/>
    <w:rsid w:val="00A96ECE"/>
    <w:rsid w:val="00A97C72"/>
    <w:rsid w:val="00AA033F"/>
    <w:rsid w:val="00AA17EE"/>
    <w:rsid w:val="00AA1962"/>
    <w:rsid w:val="00AA1964"/>
    <w:rsid w:val="00AA2138"/>
    <w:rsid w:val="00AA283A"/>
    <w:rsid w:val="00AA310B"/>
    <w:rsid w:val="00AA4688"/>
    <w:rsid w:val="00AA4EFF"/>
    <w:rsid w:val="00AA51EB"/>
    <w:rsid w:val="00AA615D"/>
    <w:rsid w:val="00AA63D4"/>
    <w:rsid w:val="00AB06E8"/>
    <w:rsid w:val="00AB0CF5"/>
    <w:rsid w:val="00AB1A4F"/>
    <w:rsid w:val="00AB1CD3"/>
    <w:rsid w:val="00AB352F"/>
    <w:rsid w:val="00AB3B75"/>
    <w:rsid w:val="00AB3FD8"/>
    <w:rsid w:val="00AB5F23"/>
    <w:rsid w:val="00AC026C"/>
    <w:rsid w:val="00AC08E5"/>
    <w:rsid w:val="00AC09E2"/>
    <w:rsid w:val="00AC274B"/>
    <w:rsid w:val="00AC338C"/>
    <w:rsid w:val="00AC38BA"/>
    <w:rsid w:val="00AC3990"/>
    <w:rsid w:val="00AC3DF6"/>
    <w:rsid w:val="00AC44F3"/>
    <w:rsid w:val="00AC4764"/>
    <w:rsid w:val="00AC4CC7"/>
    <w:rsid w:val="00AC6054"/>
    <w:rsid w:val="00AC6D36"/>
    <w:rsid w:val="00AC75B6"/>
    <w:rsid w:val="00AD0247"/>
    <w:rsid w:val="00AD0CBA"/>
    <w:rsid w:val="00AD11CC"/>
    <w:rsid w:val="00AD26E2"/>
    <w:rsid w:val="00AD29B5"/>
    <w:rsid w:val="00AD490A"/>
    <w:rsid w:val="00AD4C9F"/>
    <w:rsid w:val="00AD4FD9"/>
    <w:rsid w:val="00AD54E2"/>
    <w:rsid w:val="00AD67F5"/>
    <w:rsid w:val="00AD6FD8"/>
    <w:rsid w:val="00AD784C"/>
    <w:rsid w:val="00AE126A"/>
    <w:rsid w:val="00AE1567"/>
    <w:rsid w:val="00AE1BAE"/>
    <w:rsid w:val="00AE1C05"/>
    <w:rsid w:val="00AE3005"/>
    <w:rsid w:val="00AE3BD5"/>
    <w:rsid w:val="00AE3E66"/>
    <w:rsid w:val="00AE49ED"/>
    <w:rsid w:val="00AE4DC0"/>
    <w:rsid w:val="00AE59A0"/>
    <w:rsid w:val="00AE6B81"/>
    <w:rsid w:val="00AE7145"/>
    <w:rsid w:val="00AF0C57"/>
    <w:rsid w:val="00AF1FB0"/>
    <w:rsid w:val="00AF26F3"/>
    <w:rsid w:val="00AF5554"/>
    <w:rsid w:val="00AF5F04"/>
    <w:rsid w:val="00AF6E10"/>
    <w:rsid w:val="00AF7744"/>
    <w:rsid w:val="00B00672"/>
    <w:rsid w:val="00B01B4D"/>
    <w:rsid w:val="00B025AB"/>
    <w:rsid w:val="00B03DA3"/>
    <w:rsid w:val="00B04489"/>
    <w:rsid w:val="00B06571"/>
    <w:rsid w:val="00B068BA"/>
    <w:rsid w:val="00B07217"/>
    <w:rsid w:val="00B07869"/>
    <w:rsid w:val="00B10AC9"/>
    <w:rsid w:val="00B11976"/>
    <w:rsid w:val="00B122B8"/>
    <w:rsid w:val="00B13851"/>
    <w:rsid w:val="00B13B1C"/>
    <w:rsid w:val="00B14B5F"/>
    <w:rsid w:val="00B21612"/>
    <w:rsid w:val="00B21F90"/>
    <w:rsid w:val="00B22291"/>
    <w:rsid w:val="00B239BE"/>
    <w:rsid w:val="00B23A49"/>
    <w:rsid w:val="00B23F9A"/>
    <w:rsid w:val="00B2417B"/>
    <w:rsid w:val="00B24E6F"/>
    <w:rsid w:val="00B2591B"/>
    <w:rsid w:val="00B25DA3"/>
    <w:rsid w:val="00B26CB5"/>
    <w:rsid w:val="00B26D6A"/>
    <w:rsid w:val="00B274A8"/>
    <w:rsid w:val="00B2752E"/>
    <w:rsid w:val="00B307CC"/>
    <w:rsid w:val="00B3256F"/>
    <w:rsid w:val="00B326B7"/>
    <w:rsid w:val="00B34CD1"/>
    <w:rsid w:val="00B354F2"/>
    <w:rsid w:val="00B3588E"/>
    <w:rsid w:val="00B359C8"/>
    <w:rsid w:val="00B36E42"/>
    <w:rsid w:val="00B37712"/>
    <w:rsid w:val="00B37B8F"/>
    <w:rsid w:val="00B4198F"/>
    <w:rsid w:val="00B41F3D"/>
    <w:rsid w:val="00B431E8"/>
    <w:rsid w:val="00B44E54"/>
    <w:rsid w:val="00B44EEE"/>
    <w:rsid w:val="00B45141"/>
    <w:rsid w:val="00B46ACF"/>
    <w:rsid w:val="00B46E32"/>
    <w:rsid w:val="00B476D3"/>
    <w:rsid w:val="00B47B22"/>
    <w:rsid w:val="00B50325"/>
    <w:rsid w:val="00B51791"/>
    <w:rsid w:val="00B519C8"/>
    <w:rsid w:val="00B519CD"/>
    <w:rsid w:val="00B51CFD"/>
    <w:rsid w:val="00B523AF"/>
    <w:rsid w:val="00B5273A"/>
    <w:rsid w:val="00B5426A"/>
    <w:rsid w:val="00B5506F"/>
    <w:rsid w:val="00B55E6D"/>
    <w:rsid w:val="00B57329"/>
    <w:rsid w:val="00B600E4"/>
    <w:rsid w:val="00B60226"/>
    <w:rsid w:val="00B60E61"/>
    <w:rsid w:val="00B61B47"/>
    <w:rsid w:val="00B62B50"/>
    <w:rsid w:val="00B635B7"/>
    <w:rsid w:val="00B63AE8"/>
    <w:rsid w:val="00B63E0D"/>
    <w:rsid w:val="00B655A8"/>
    <w:rsid w:val="00B65679"/>
    <w:rsid w:val="00B65950"/>
    <w:rsid w:val="00B66D83"/>
    <w:rsid w:val="00B66F8A"/>
    <w:rsid w:val="00B672C0"/>
    <w:rsid w:val="00B676FD"/>
    <w:rsid w:val="00B677BD"/>
    <w:rsid w:val="00B678B6"/>
    <w:rsid w:val="00B70564"/>
    <w:rsid w:val="00B706E8"/>
    <w:rsid w:val="00B71671"/>
    <w:rsid w:val="00B7231A"/>
    <w:rsid w:val="00B72AC8"/>
    <w:rsid w:val="00B73A40"/>
    <w:rsid w:val="00B75646"/>
    <w:rsid w:val="00B76121"/>
    <w:rsid w:val="00B7629E"/>
    <w:rsid w:val="00B76562"/>
    <w:rsid w:val="00B77423"/>
    <w:rsid w:val="00B80480"/>
    <w:rsid w:val="00B80717"/>
    <w:rsid w:val="00B814DA"/>
    <w:rsid w:val="00B830FA"/>
    <w:rsid w:val="00B84897"/>
    <w:rsid w:val="00B8705A"/>
    <w:rsid w:val="00B90706"/>
    <w:rsid w:val="00B90729"/>
    <w:rsid w:val="00B907DA"/>
    <w:rsid w:val="00B91494"/>
    <w:rsid w:val="00B91829"/>
    <w:rsid w:val="00B91FFE"/>
    <w:rsid w:val="00B92229"/>
    <w:rsid w:val="00B92F03"/>
    <w:rsid w:val="00B93F74"/>
    <w:rsid w:val="00B9467C"/>
    <w:rsid w:val="00B94BD4"/>
    <w:rsid w:val="00B950BC"/>
    <w:rsid w:val="00B954AE"/>
    <w:rsid w:val="00B9577A"/>
    <w:rsid w:val="00B95AB9"/>
    <w:rsid w:val="00B9714C"/>
    <w:rsid w:val="00BA23D6"/>
    <w:rsid w:val="00BA29AD"/>
    <w:rsid w:val="00BA2E40"/>
    <w:rsid w:val="00BA33CF"/>
    <w:rsid w:val="00BA390B"/>
    <w:rsid w:val="00BA3F8D"/>
    <w:rsid w:val="00BA5357"/>
    <w:rsid w:val="00BA55E1"/>
    <w:rsid w:val="00BA671C"/>
    <w:rsid w:val="00BB14CB"/>
    <w:rsid w:val="00BB25E3"/>
    <w:rsid w:val="00BB3113"/>
    <w:rsid w:val="00BB33E3"/>
    <w:rsid w:val="00BB40BC"/>
    <w:rsid w:val="00BB4235"/>
    <w:rsid w:val="00BB4E9C"/>
    <w:rsid w:val="00BB597F"/>
    <w:rsid w:val="00BB5B4C"/>
    <w:rsid w:val="00BB61FF"/>
    <w:rsid w:val="00BB72BA"/>
    <w:rsid w:val="00BB7A10"/>
    <w:rsid w:val="00BB7B55"/>
    <w:rsid w:val="00BC171C"/>
    <w:rsid w:val="00BC1BC6"/>
    <w:rsid w:val="00BC203E"/>
    <w:rsid w:val="00BC60BE"/>
    <w:rsid w:val="00BC7468"/>
    <w:rsid w:val="00BC7D4F"/>
    <w:rsid w:val="00BC7ED7"/>
    <w:rsid w:val="00BD10EF"/>
    <w:rsid w:val="00BD20CC"/>
    <w:rsid w:val="00BD2850"/>
    <w:rsid w:val="00BD3257"/>
    <w:rsid w:val="00BD553B"/>
    <w:rsid w:val="00BD6049"/>
    <w:rsid w:val="00BD6662"/>
    <w:rsid w:val="00BD6BF1"/>
    <w:rsid w:val="00BD76F2"/>
    <w:rsid w:val="00BD7C00"/>
    <w:rsid w:val="00BD7E29"/>
    <w:rsid w:val="00BE0D0C"/>
    <w:rsid w:val="00BE11BB"/>
    <w:rsid w:val="00BE28D2"/>
    <w:rsid w:val="00BE4A64"/>
    <w:rsid w:val="00BE57B4"/>
    <w:rsid w:val="00BE5E0E"/>
    <w:rsid w:val="00BE5E43"/>
    <w:rsid w:val="00BE6170"/>
    <w:rsid w:val="00BE6B0A"/>
    <w:rsid w:val="00BF1132"/>
    <w:rsid w:val="00BF1F36"/>
    <w:rsid w:val="00BF37F6"/>
    <w:rsid w:val="00BF557D"/>
    <w:rsid w:val="00BF7730"/>
    <w:rsid w:val="00BF7F58"/>
    <w:rsid w:val="00C0032F"/>
    <w:rsid w:val="00C00C82"/>
    <w:rsid w:val="00C011EC"/>
    <w:rsid w:val="00C01381"/>
    <w:rsid w:val="00C01AB1"/>
    <w:rsid w:val="00C01F9B"/>
    <w:rsid w:val="00C02031"/>
    <w:rsid w:val="00C026A0"/>
    <w:rsid w:val="00C03EA4"/>
    <w:rsid w:val="00C048EE"/>
    <w:rsid w:val="00C04F42"/>
    <w:rsid w:val="00C0511F"/>
    <w:rsid w:val="00C06137"/>
    <w:rsid w:val="00C06929"/>
    <w:rsid w:val="00C079B8"/>
    <w:rsid w:val="00C10037"/>
    <w:rsid w:val="00C10194"/>
    <w:rsid w:val="00C11DD4"/>
    <w:rsid w:val="00C123EA"/>
    <w:rsid w:val="00C12A49"/>
    <w:rsid w:val="00C1303F"/>
    <w:rsid w:val="00C133EE"/>
    <w:rsid w:val="00C139B2"/>
    <w:rsid w:val="00C1471D"/>
    <w:rsid w:val="00C149D0"/>
    <w:rsid w:val="00C1560E"/>
    <w:rsid w:val="00C15CAA"/>
    <w:rsid w:val="00C1699E"/>
    <w:rsid w:val="00C16BFD"/>
    <w:rsid w:val="00C172EE"/>
    <w:rsid w:val="00C17737"/>
    <w:rsid w:val="00C17D51"/>
    <w:rsid w:val="00C21160"/>
    <w:rsid w:val="00C21BBF"/>
    <w:rsid w:val="00C21D2B"/>
    <w:rsid w:val="00C221F2"/>
    <w:rsid w:val="00C22544"/>
    <w:rsid w:val="00C231A0"/>
    <w:rsid w:val="00C2403D"/>
    <w:rsid w:val="00C25008"/>
    <w:rsid w:val="00C26588"/>
    <w:rsid w:val="00C278A2"/>
    <w:rsid w:val="00C27DE9"/>
    <w:rsid w:val="00C3079E"/>
    <w:rsid w:val="00C30AE9"/>
    <w:rsid w:val="00C3153B"/>
    <w:rsid w:val="00C32989"/>
    <w:rsid w:val="00C329DE"/>
    <w:rsid w:val="00C32B76"/>
    <w:rsid w:val="00C33388"/>
    <w:rsid w:val="00C337A2"/>
    <w:rsid w:val="00C34170"/>
    <w:rsid w:val="00C34B30"/>
    <w:rsid w:val="00C35484"/>
    <w:rsid w:val="00C36D70"/>
    <w:rsid w:val="00C37574"/>
    <w:rsid w:val="00C3785E"/>
    <w:rsid w:val="00C4173A"/>
    <w:rsid w:val="00C41DEF"/>
    <w:rsid w:val="00C42FAE"/>
    <w:rsid w:val="00C44141"/>
    <w:rsid w:val="00C47399"/>
    <w:rsid w:val="00C47FAB"/>
    <w:rsid w:val="00C50DED"/>
    <w:rsid w:val="00C5104B"/>
    <w:rsid w:val="00C52217"/>
    <w:rsid w:val="00C53D5B"/>
    <w:rsid w:val="00C56F6A"/>
    <w:rsid w:val="00C602FF"/>
    <w:rsid w:val="00C60549"/>
    <w:rsid w:val="00C606E3"/>
    <w:rsid w:val="00C60B15"/>
    <w:rsid w:val="00C61174"/>
    <w:rsid w:val="00C6148F"/>
    <w:rsid w:val="00C621B1"/>
    <w:rsid w:val="00C62ABA"/>
    <w:rsid w:val="00C62F7A"/>
    <w:rsid w:val="00C63B9C"/>
    <w:rsid w:val="00C6429C"/>
    <w:rsid w:val="00C6612E"/>
    <w:rsid w:val="00C666FD"/>
    <w:rsid w:val="00C6682F"/>
    <w:rsid w:val="00C66ED1"/>
    <w:rsid w:val="00C67B9B"/>
    <w:rsid w:val="00C67BF4"/>
    <w:rsid w:val="00C70FD5"/>
    <w:rsid w:val="00C716AF"/>
    <w:rsid w:val="00C71706"/>
    <w:rsid w:val="00C71A26"/>
    <w:rsid w:val="00C71EAE"/>
    <w:rsid w:val="00C7275D"/>
    <w:rsid w:val="00C7275E"/>
    <w:rsid w:val="00C73692"/>
    <w:rsid w:val="00C7489C"/>
    <w:rsid w:val="00C748FE"/>
    <w:rsid w:val="00C749AF"/>
    <w:rsid w:val="00C74C5D"/>
    <w:rsid w:val="00C756BA"/>
    <w:rsid w:val="00C766E7"/>
    <w:rsid w:val="00C773B2"/>
    <w:rsid w:val="00C77F33"/>
    <w:rsid w:val="00C80BC6"/>
    <w:rsid w:val="00C81970"/>
    <w:rsid w:val="00C81DB7"/>
    <w:rsid w:val="00C8297D"/>
    <w:rsid w:val="00C863C4"/>
    <w:rsid w:val="00C86818"/>
    <w:rsid w:val="00C876CB"/>
    <w:rsid w:val="00C9072F"/>
    <w:rsid w:val="00C920EA"/>
    <w:rsid w:val="00C9213A"/>
    <w:rsid w:val="00C9238F"/>
    <w:rsid w:val="00C923F8"/>
    <w:rsid w:val="00C928EE"/>
    <w:rsid w:val="00C93C3E"/>
    <w:rsid w:val="00C93EAE"/>
    <w:rsid w:val="00C93EB8"/>
    <w:rsid w:val="00C9587D"/>
    <w:rsid w:val="00C96917"/>
    <w:rsid w:val="00C97E51"/>
    <w:rsid w:val="00CA12E3"/>
    <w:rsid w:val="00CA1476"/>
    <w:rsid w:val="00CA3EB1"/>
    <w:rsid w:val="00CA4477"/>
    <w:rsid w:val="00CA4617"/>
    <w:rsid w:val="00CA620A"/>
    <w:rsid w:val="00CA63AD"/>
    <w:rsid w:val="00CA6611"/>
    <w:rsid w:val="00CA6A11"/>
    <w:rsid w:val="00CA6AE6"/>
    <w:rsid w:val="00CA782F"/>
    <w:rsid w:val="00CA7B45"/>
    <w:rsid w:val="00CA7B85"/>
    <w:rsid w:val="00CB0CF9"/>
    <w:rsid w:val="00CB187B"/>
    <w:rsid w:val="00CB2835"/>
    <w:rsid w:val="00CB3033"/>
    <w:rsid w:val="00CB3285"/>
    <w:rsid w:val="00CB4500"/>
    <w:rsid w:val="00CB646E"/>
    <w:rsid w:val="00CC0441"/>
    <w:rsid w:val="00CC05BE"/>
    <w:rsid w:val="00CC0C72"/>
    <w:rsid w:val="00CC10C6"/>
    <w:rsid w:val="00CC2BFD"/>
    <w:rsid w:val="00CC4626"/>
    <w:rsid w:val="00CC46F0"/>
    <w:rsid w:val="00CC64DD"/>
    <w:rsid w:val="00CC690F"/>
    <w:rsid w:val="00CC6BAE"/>
    <w:rsid w:val="00CD0247"/>
    <w:rsid w:val="00CD192C"/>
    <w:rsid w:val="00CD1A9A"/>
    <w:rsid w:val="00CD26AF"/>
    <w:rsid w:val="00CD273F"/>
    <w:rsid w:val="00CD2E44"/>
    <w:rsid w:val="00CD3476"/>
    <w:rsid w:val="00CD64DF"/>
    <w:rsid w:val="00CD772D"/>
    <w:rsid w:val="00CE225F"/>
    <w:rsid w:val="00CE4842"/>
    <w:rsid w:val="00CE7DFE"/>
    <w:rsid w:val="00CE7F66"/>
    <w:rsid w:val="00CF2F1D"/>
    <w:rsid w:val="00CF2F50"/>
    <w:rsid w:val="00CF30D6"/>
    <w:rsid w:val="00CF3666"/>
    <w:rsid w:val="00CF4148"/>
    <w:rsid w:val="00CF4CEB"/>
    <w:rsid w:val="00CF5B05"/>
    <w:rsid w:val="00CF6198"/>
    <w:rsid w:val="00CF6D1A"/>
    <w:rsid w:val="00CF7875"/>
    <w:rsid w:val="00D00C53"/>
    <w:rsid w:val="00D00DC4"/>
    <w:rsid w:val="00D00FC5"/>
    <w:rsid w:val="00D02919"/>
    <w:rsid w:val="00D03487"/>
    <w:rsid w:val="00D04C61"/>
    <w:rsid w:val="00D05B8D"/>
    <w:rsid w:val="00D05B9B"/>
    <w:rsid w:val="00D065A2"/>
    <w:rsid w:val="00D0667F"/>
    <w:rsid w:val="00D06BC8"/>
    <w:rsid w:val="00D079AA"/>
    <w:rsid w:val="00D07F00"/>
    <w:rsid w:val="00D1067A"/>
    <w:rsid w:val="00D1130F"/>
    <w:rsid w:val="00D11719"/>
    <w:rsid w:val="00D119CA"/>
    <w:rsid w:val="00D11E45"/>
    <w:rsid w:val="00D12869"/>
    <w:rsid w:val="00D134B0"/>
    <w:rsid w:val="00D13EE5"/>
    <w:rsid w:val="00D15049"/>
    <w:rsid w:val="00D17B72"/>
    <w:rsid w:val="00D210E7"/>
    <w:rsid w:val="00D224DE"/>
    <w:rsid w:val="00D2299F"/>
    <w:rsid w:val="00D23003"/>
    <w:rsid w:val="00D27424"/>
    <w:rsid w:val="00D2760F"/>
    <w:rsid w:val="00D3185C"/>
    <w:rsid w:val="00D3205F"/>
    <w:rsid w:val="00D3318E"/>
    <w:rsid w:val="00D33CBD"/>
    <w:rsid w:val="00D33E72"/>
    <w:rsid w:val="00D345B2"/>
    <w:rsid w:val="00D34CC0"/>
    <w:rsid w:val="00D34EFF"/>
    <w:rsid w:val="00D35BD6"/>
    <w:rsid w:val="00D3602A"/>
    <w:rsid w:val="00D361B5"/>
    <w:rsid w:val="00D37427"/>
    <w:rsid w:val="00D374E7"/>
    <w:rsid w:val="00D37687"/>
    <w:rsid w:val="00D402DB"/>
    <w:rsid w:val="00D405A3"/>
    <w:rsid w:val="00D40C22"/>
    <w:rsid w:val="00D411A2"/>
    <w:rsid w:val="00D414D5"/>
    <w:rsid w:val="00D42E8B"/>
    <w:rsid w:val="00D4311F"/>
    <w:rsid w:val="00D440EB"/>
    <w:rsid w:val="00D44896"/>
    <w:rsid w:val="00D4606D"/>
    <w:rsid w:val="00D50B9C"/>
    <w:rsid w:val="00D52D73"/>
    <w:rsid w:val="00D52E58"/>
    <w:rsid w:val="00D54C0C"/>
    <w:rsid w:val="00D564E9"/>
    <w:rsid w:val="00D565B6"/>
    <w:rsid w:val="00D56B20"/>
    <w:rsid w:val="00D578B3"/>
    <w:rsid w:val="00D60CC7"/>
    <w:rsid w:val="00D61161"/>
    <w:rsid w:val="00D61307"/>
    <w:rsid w:val="00D618F4"/>
    <w:rsid w:val="00D61B75"/>
    <w:rsid w:val="00D622D9"/>
    <w:rsid w:val="00D6359A"/>
    <w:rsid w:val="00D63DEE"/>
    <w:rsid w:val="00D642A7"/>
    <w:rsid w:val="00D67182"/>
    <w:rsid w:val="00D6766E"/>
    <w:rsid w:val="00D67B0A"/>
    <w:rsid w:val="00D714CC"/>
    <w:rsid w:val="00D72036"/>
    <w:rsid w:val="00D72207"/>
    <w:rsid w:val="00D72BEB"/>
    <w:rsid w:val="00D731B5"/>
    <w:rsid w:val="00D73727"/>
    <w:rsid w:val="00D75B3E"/>
    <w:rsid w:val="00D75EA7"/>
    <w:rsid w:val="00D76401"/>
    <w:rsid w:val="00D76E84"/>
    <w:rsid w:val="00D80DB9"/>
    <w:rsid w:val="00D80E27"/>
    <w:rsid w:val="00D81ADF"/>
    <w:rsid w:val="00D81F21"/>
    <w:rsid w:val="00D827F3"/>
    <w:rsid w:val="00D8305B"/>
    <w:rsid w:val="00D83798"/>
    <w:rsid w:val="00D8423D"/>
    <w:rsid w:val="00D84658"/>
    <w:rsid w:val="00D848E0"/>
    <w:rsid w:val="00D864F2"/>
    <w:rsid w:val="00D92D60"/>
    <w:rsid w:val="00D938CC"/>
    <w:rsid w:val="00D943F8"/>
    <w:rsid w:val="00D949EC"/>
    <w:rsid w:val="00D95470"/>
    <w:rsid w:val="00D95E3B"/>
    <w:rsid w:val="00D96B55"/>
    <w:rsid w:val="00DA0957"/>
    <w:rsid w:val="00DA233F"/>
    <w:rsid w:val="00DA2619"/>
    <w:rsid w:val="00DA2980"/>
    <w:rsid w:val="00DA2AD8"/>
    <w:rsid w:val="00DA2E57"/>
    <w:rsid w:val="00DA39DB"/>
    <w:rsid w:val="00DA3FBB"/>
    <w:rsid w:val="00DA4239"/>
    <w:rsid w:val="00DA65DE"/>
    <w:rsid w:val="00DA6AC7"/>
    <w:rsid w:val="00DA7422"/>
    <w:rsid w:val="00DA7839"/>
    <w:rsid w:val="00DA7A51"/>
    <w:rsid w:val="00DA7CEC"/>
    <w:rsid w:val="00DB0A08"/>
    <w:rsid w:val="00DB0B61"/>
    <w:rsid w:val="00DB11CB"/>
    <w:rsid w:val="00DB13A1"/>
    <w:rsid w:val="00DB1474"/>
    <w:rsid w:val="00DB2962"/>
    <w:rsid w:val="00DB3115"/>
    <w:rsid w:val="00DB52FB"/>
    <w:rsid w:val="00DB616B"/>
    <w:rsid w:val="00DB64DD"/>
    <w:rsid w:val="00DB654D"/>
    <w:rsid w:val="00DB7E7C"/>
    <w:rsid w:val="00DC013B"/>
    <w:rsid w:val="00DC090B"/>
    <w:rsid w:val="00DC1679"/>
    <w:rsid w:val="00DC219B"/>
    <w:rsid w:val="00DC2CF1"/>
    <w:rsid w:val="00DC341D"/>
    <w:rsid w:val="00DC3A7C"/>
    <w:rsid w:val="00DC4310"/>
    <w:rsid w:val="00DC4AEC"/>
    <w:rsid w:val="00DC4FCF"/>
    <w:rsid w:val="00DC50E0"/>
    <w:rsid w:val="00DC6386"/>
    <w:rsid w:val="00DC78E9"/>
    <w:rsid w:val="00DD087A"/>
    <w:rsid w:val="00DD0A8F"/>
    <w:rsid w:val="00DD1130"/>
    <w:rsid w:val="00DD1951"/>
    <w:rsid w:val="00DD213E"/>
    <w:rsid w:val="00DD22DC"/>
    <w:rsid w:val="00DD3147"/>
    <w:rsid w:val="00DD3195"/>
    <w:rsid w:val="00DD335D"/>
    <w:rsid w:val="00DD39BC"/>
    <w:rsid w:val="00DD441E"/>
    <w:rsid w:val="00DD487D"/>
    <w:rsid w:val="00DD4C8F"/>
    <w:rsid w:val="00DD4E83"/>
    <w:rsid w:val="00DD5E08"/>
    <w:rsid w:val="00DD5E12"/>
    <w:rsid w:val="00DD63E5"/>
    <w:rsid w:val="00DD6628"/>
    <w:rsid w:val="00DD6945"/>
    <w:rsid w:val="00DE0405"/>
    <w:rsid w:val="00DE16A8"/>
    <w:rsid w:val="00DE2D04"/>
    <w:rsid w:val="00DE3250"/>
    <w:rsid w:val="00DE3F83"/>
    <w:rsid w:val="00DE40AB"/>
    <w:rsid w:val="00DE5459"/>
    <w:rsid w:val="00DE6028"/>
    <w:rsid w:val="00DE6575"/>
    <w:rsid w:val="00DE6581"/>
    <w:rsid w:val="00DE6C85"/>
    <w:rsid w:val="00DE7096"/>
    <w:rsid w:val="00DE78A3"/>
    <w:rsid w:val="00DE7DAA"/>
    <w:rsid w:val="00DF0786"/>
    <w:rsid w:val="00DF0E2C"/>
    <w:rsid w:val="00DF1A71"/>
    <w:rsid w:val="00DF20D3"/>
    <w:rsid w:val="00DF50FC"/>
    <w:rsid w:val="00DF6010"/>
    <w:rsid w:val="00DF68C7"/>
    <w:rsid w:val="00DF6A6B"/>
    <w:rsid w:val="00DF6E29"/>
    <w:rsid w:val="00DF731A"/>
    <w:rsid w:val="00E01E9B"/>
    <w:rsid w:val="00E05026"/>
    <w:rsid w:val="00E0696F"/>
    <w:rsid w:val="00E06B75"/>
    <w:rsid w:val="00E06BA2"/>
    <w:rsid w:val="00E11332"/>
    <w:rsid w:val="00E11352"/>
    <w:rsid w:val="00E12140"/>
    <w:rsid w:val="00E13D7F"/>
    <w:rsid w:val="00E14A9D"/>
    <w:rsid w:val="00E14BAA"/>
    <w:rsid w:val="00E15CA8"/>
    <w:rsid w:val="00E170DC"/>
    <w:rsid w:val="00E17399"/>
    <w:rsid w:val="00E17546"/>
    <w:rsid w:val="00E210B5"/>
    <w:rsid w:val="00E21EC4"/>
    <w:rsid w:val="00E223E6"/>
    <w:rsid w:val="00E23D8F"/>
    <w:rsid w:val="00E24E50"/>
    <w:rsid w:val="00E255D5"/>
    <w:rsid w:val="00E261B3"/>
    <w:rsid w:val="00E26816"/>
    <w:rsid w:val="00E26818"/>
    <w:rsid w:val="00E26D47"/>
    <w:rsid w:val="00E27291"/>
    <w:rsid w:val="00E27FFC"/>
    <w:rsid w:val="00E3075B"/>
    <w:rsid w:val="00E30B15"/>
    <w:rsid w:val="00E322D5"/>
    <w:rsid w:val="00E33237"/>
    <w:rsid w:val="00E40181"/>
    <w:rsid w:val="00E40763"/>
    <w:rsid w:val="00E422E1"/>
    <w:rsid w:val="00E43328"/>
    <w:rsid w:val="00E4346F"/>
    <w:rsid w:val="00E4529B"/>
    <w:rsid w:val="00E472F4"/>
    <w:rsid w:val="00E51C9C"/>
    <w:rsid w:val="00E52C45"/>
    <w:rsid w:val="00E5493F"/>
    <w:rsid w:val="00E54950"/>
    <w:rsid w:val="00E55FB3"/>
    <w:rsid w:val="00E5679F"/>
    <w:rsid w:val="00E56A01"/>
    <w:rsid w:val="00E56C0B"/>
    <w:rsid w:val="00E57A42"/>
    <w:rsid w:val="00E629A1"/>
    <w:rsid w:val="00E63795"/>
    <w:rsid w:val="00E6794C"/>
    <w:rsid w:val="00E67E55"/>
    <w:rsid w:val="00E71591"/>
    <w:rsid w:val="00E71771"/>
    <w:rsid w:val="00E71CEB"/>
    <w:rsid w:val="00E72733"/>
    <w:rsid w:val="00E72A38"/>
    <w:rsid w:val="00E7474F"/>
    <w:rsid w:val="00E77901"/>
    <w:rsid w:val="00E80DE3"/>
    <w:rsid w:val="00E82C55"/>
    <w:rsid w:val="00E833A7"/>
    <w:rsid w:val="00E83796"/>
    <w:rsid w:val="00E850A1"/>
    <w:rsid w:val="00E865C1"/>
    <w:rsid w:val="00E8787E"/>
    <w:rsid w:val="00E87F9A"/>
    <w:rsid w:val="00E90FB1"/>
    <w:rsid w:val="00E91371"/>
    <w:rsid w:val="00E91B9F"/>
    <w:rsid w:val="00E91D23"/>
    <w:rsid w:val="00E91E49"/>
    <w:rsid w:val="00E920C1"/>
    <w:rsid w:val="00E92AC3"/>
    <w:rsid w:val="00E92C3F"/>
    <w:rsid w:val="00E92DD1"/>
    <w:rsid w:val="00E935FB"/>
    <w:rsid w:val="00E942D9"/>
    <w:rsid w:val="00E946DB"/>
    <w:rsid w:val="00E9597A"/>
    <w:rsid w:val="00E96367"/>
    <w:rsid w:val="00E96615"/>
    <w:rsid w:val="00E975FB"/>
    <w:rsid w:val="00EA1B46"/>
    <w:rsid w:val="00EA2F6A"/>
    <w:rsid w:val="00EA2FFB"/>
    <w:rsid w:val="00EA3A79"/>
    <w:rsid w:val="00EA70D4"/>
    <w:rsid w:val="00EA7D12"/>
    <w:rsid w:val="00EB00E0"/>
    <w:rsid w:val="00EB05D5"/>
    <w:rsid w:val="00EB13D8"/>
    <w:rsid w:val="00EB1931"/>
    <w:rsid w:val="00EB21D5"/>
    <w:rsid w:val="00EB294D"/>
    <w:rsid w:val="00EB38EF"/>
    <w:rsid w:val="00EB3EF3"/>
    <w:rsid w:val="00EB579B"/>
    <w:rsid w:val="00EB67FA"/>
    <w:rsid w:val="00EB688F"/>
    <w:rsid w:val="00EB76E5"/>
    <w:rsid w:val="00EB7E1B"/>
    <w:rsid w:val="00EC00B8"/>
    <w:rsid w:val="00EC059F"/>
    <w:rsid w:val="00EC118E"/>
    <w:rsid w:val="00EC1F24"/>
    <w:rsid w:val="00EC20FF"/>
    <w:rsid w:val="00EC22F6"/>
    <w:rsid w:val="00EC2605"/>
    <w:rsid w:val="00EC2E22"/>
    <w:rsid w:val="00EC47FB"/>
    <w:rsid w:val="00EC7511"/>
    <w:rsid w:val="00EC799D"/>
    <w:rsid w:val="00EC7F61"/>
    <w:rsid w:val="00ED03B7"/>
    <w:rsid w:val="00ED085E"/>
    <w:rsid w:val="00ED115D"/>
    <w:rsid w:val="00ED195F"/>
    <w:rsid w:val="00ED3691"/>
    <w:rsid w:val="00ED3996"/>
    <w:rsid w:val="00ED5B9B"/>
    <w:rsid w:val="00ED6BAD"/>
    <w:rsid w:val="00ED7447"/>
    <w:rsid w:val="00ED789F"/>
    <w:rsid w:val="00EE00D6"/>
    <w:rsid w:val="00EE11E7"/>
    <w:rsid w:val="00EE1459"/>
    <w:rsid w:val="00EE1488"/>
    <w:rsid w:val="00EE168A"/>
    <w:rsid w:val="00EE1730"/>
    <w:rsid w:val="00EE19E0"/>
    <w:rsid w:val="00EE1EB0"/>
    <w:rsid w:val="00EE29AD"/>
    <w:rsid w:val="00EE39CA"/>
    <w:rsid w:val="00EE3E24"/>
    <w:rsid w:val="00EE4374"/>
    <w:rsid w:val="00EE4CD4"/>
    <w:rsid w:val="00EE4D5D"/>
    <w:rsid w:val="00EE5131"/>
    <w:rsid w:val="00EE5426"/>
    <w:rsid w:val="00EE6E18"/>
    <w:rsid w:val="00EE76ED"/>
    <w:rsid w:val="00EF0303"/>
    <w:rsid w:val="00EF070D"/>
    <w:rsid w:val="00EF109B"/>
    <w:rsid w:val="00EF17E7"/>
    <w:rsid w:val="00EF201C"/>
    <w:rsid w:val="00EF2822"/>
    <w:rsid w:val="00EF2C72"/>
    <w:rsid w:val="00EF36AF"/>
    <w:rsid w:val="00EF4348"/>
    <w:rsid w:val="00EF59A3"/>
    <w:rsid w:val="00EF6273"/>
    <w:rsid w:val="00EF6675"/>
    <w:rsid w:val="00F0063D"/>
    <w:rsid w:val="00F006DB"/>
    <w:rsid w:val="00F006E1"/>
    <w:rsid w:val="00F00F9C"/>
    <w:rsid w:val="00F0171C"/>
    <w:rsid w:val="00F01E5F"/>
    <w:rsid w:val="00F01F6E"/>
    <w:rsid w:val="00F024F3"/>
    <w:rsid w:val="00F029DC"/>
    <w:rsid w:val="00F02ABA"/>
    <w:rsid w:val="00F02B45"/>
    <w:rsid w:val="00F02E9F"/>
    <w:rsid w:val="00F03701"/>
    <w:rsid w:val="00F0437A"/>
    <w:rsid w:val="00F043E8"/>
    <w:rsid w:val="00F04751"/>
    <w:rsid w:val="00F053E2"/>
    <w:rsid w:val="00F065EE"/>
    <w:rsid w:val="00F06892"/>
    <w:rsid w:val="00F07A10"/>
    <w:rsid w:val="00F07AE7"/>
    <w:rsid w:val="00F101B8"/>
    <w:rsid w:val="00F10C7D"/>
    <w:rsid w:val="00F10E9E"/>
    <w:rsid w:val="00F11037"/>
    <w:rsid w:val="00F1116D"/>
    <w:rsid w:val="00F11EBB"/>
    <w:rsid w:val="00F133C6"/>
    <w:rsid w:val="00F15752"/>
    <w:rsid w:val="00F15879"/>
    <w:rsid w:val="00F16F1B"/>
    <w:rsid w:val="00F17525"/>
    <w:rsid w:val="00F20428"/>
    <w:rsid w:val="00F2046F"/>
    <w:rsid w:val="00F20B63"/>
    <w:rsid w:val="00F23FE6"/>
    <w:rsid w:val="00F2489C"/>
    <w:rsid w:val="00F250A9"/>
    <w:rsid w:val="00F256A2"/>
    <w:rsid w:val="00F267AF"/>
    <w:rsid w:val="00F306D1"/>
    <w:rsid w:val="00F30E46"/>
    <w:rsid w:val="00F30FF4"/>
    <w:rsid w:val="00F3122E"/>
    <w:rsid w:val="00F31B56"/>
    <w:rsid w:val="00F32368"/>
    <w:rsid w:val="00F331AD"/>
    <w:rsid w:val="00F34B64"/>
    <w:rsid w:val="00F34D11"/>
    <w:rsid w:val="00F35287"/>
    <w:rsid w:val="00F369AC"/>
    <w:rsid w:val="00F372B0"/>
    <w:rsid w:val="00F4045E"/>
    <w:rsid w:val="00F40A70"/>
    <w:rsid w:val="00F43771"/>
    <w:rsid w:val="00F43A37"/>
    <w:rsid w:val="00F4508D"/>
    <w:rsid w:val="00F4614C"/>
    <w:rsid w:val="00F4641B"/>
    <w:rsid w:val="00F46EB8"/>
    <w:rsid w:val="00F471E8"/>
    <w:rsid w:val="00F476B8"/>
    <w:rsid w:val="00F50CD1"/>
    <w:rsid w:val="00F511E4"/>
    <w:rsid w:val="00F522CB"/>
    <w:rsid w:val="00F523D7"/>
    <w:rsid w:val="00F528C4"/>
    <w:rsid w:val="00F52D09"/>
    <w:rsid w:val="00F52E08"/>
    <w:rsid w:val="00F53132"/>
    <w:rsid w:val="00F53A66"/>
    <w:rsid w:val="00F5462D"/>
    <w:rsid w:val="00F556DD"/>
    <w:rsid w:val="00F5587E"/>
    <w:rsid w:val="00F55B21"/>
    <w:rsid w:val="00F56EF6"/>
    <w:rsid w:val="00F60082"/>
    <w:rsid w:val="00F604E5"/>
    <w:rsid w:val="00F60F59"/>
    <w:rsid w:val="00F61824"/>
    <w:rsid w:val="00F619E9"/>
    <w:rsid w:val="00F61A9F"/>
    <w:rsid w:val="00F61B5F"/>
    <w:rsid w:val="00F63143"/>
    <w:rsid w:val="00F64696"/>
    <w:rsid w:val="00F65185"/>
    <w:rsid w:val="00F65447"/>
    <w:rsid w:val="00F65AA9"/>
    <w:rsid w:val="00F66995"/>
    <w:rsid w:val="00F6768F"/>
    <w:rsid w:val="00F67C40"/>
    <w:rsid w:val="00F70659"/>
    <w:rsid w:val="00F70723"/>
    <w:rsid w:val="00F70E83"/>
    <w:rsid w:val="00F712FB"/>
    <w:rsid w:val="00F71BB7"/>
    <w:rsid w:val="00F72115"/>
    <w:rsid w:val="00F72C2C"/>
    <w:rsid w:val="00F7388B"/>
    <w:rsid w:val="00F73A89"/>
    <w:rsid w:val="00F741F2"/>
    <w:rsid w:val="00F76CAB"/>
    <w:rsid w:val="00F772C6"/>
    <w:rsid w:val="00F773DC"/>
    <w:rsid w:val="00F77F59"/>
    <w:rsid w:val="00F815B5"/>
    <w:rsid w:val="00F82580"/>
    <w:rsid w:val="00F8310F"/>
    <w:rsid w:val="00F85195"/>
    <w:rsid w:val="00F868E3"/>
    <w:rsid w:val="00F87FC3"/>
    <w:rsid w:val="00F90A6A"/>
    <w:rsid w:val="00F92B40"/>
    <w:rsid w:val="00F938BA"/>
    <w:rsid w:val="00F96D67"/>
    <w:rsid w:val="00F972B1"/>
    <w:rsid w:val="00F97919"/>
    <w:rsid w:val="00FA123B"/>
    <w:rsid w:val="00FA14F6"/>
    <w:rsid w:val="00FA2792"/>
    <w:rsid w:val="00FA2C46"/>
    <w:rsid w:val="00FA3525"/>
    <w:rsid w:val="00FA3FDA"/>
    <w:rsid w:val="00FA434C"/>
    <w:rsid w:val="00FA5A53"/>
    <w:rsid w:val="00FA7335"/>
    <w:rsid w:val="00FA74B0"/>
    <w:rsid w:val="00FB1F42"/>
    <w:rsid w:val="00FB3501"/>
    <w:rsid w:val="00FB36A4"/>
    <w:rsid w:val="00FB4769"/>
    <w:rsid w:val="00FB4CDA"/>
    <w:rsid w:val="00FB5B4E"/>
    <w:rsid w:val="00FB632C"/>
    <w:rsid w:val="00FB6481"/>
    <w:rsid w:val="00FB6D36"/>
    <w:rsid w:val="00FB778F"/>
    <w:rsid w:val="00FB7AFC"/>
    <w:rsid w:val="00FC0965"/>
    <w:rsid w:val="00FC0F81"/>
    <w:rsid w:val="00FC1FE0"/>
    <w:rsid w:val="00FC252F"/>
    <w:rsid w:val="00FC2A90"/>
    <w:rsid w:val="00FC2C50"/>
    <w:rsid w:val="00FC3925"/>
    <w:rsid w:val="00FC395C"/>
    <w:rsid w:val="00FC43B8"/>
    <w:rsid w:val="00FC5E8E"/>
    <w:rsid w:val="00FC64CB"/>
    <w:rsid w:val="00FC7271"/>
    <w:rsid w:val="00FC72A8"/>
    <w:rsid w:val="00FD13E2"/>
    <w:rsid w:val="00FD2BFA"/>
    <w:rsid w:val="00FD32AC"/>
    <w:rsid w:val="00FD3766"/>
    <w:rsid w:val="00FD4432"/>
    <w:rsid w:val="00FD47C4"/>
    <w:rsid w:val="00FD530F"/>
    <w:rsid w:val="00FD7319"/>
    <w:rsid w:val="00FE0051"/>
    <w:rsid w:val="00FE0EC4"/>
    <w:rsid w:val="00FE0FFC"/>
    <w:rsid w:val="00FE2185"/>
    <w:rsid w:val="00FE2ADF"/>
    <w:rsid w:val="00FE2DCF"/>
    <w:rsid w:val="00FE3557"/>
    <w:rsid w:val="00FE3FA7"/>
    <w:rsid w:val="00FE4354"/>
    <w:rsid w:val="00FE4487"/>
    <w:rsid w:val="00FE6935"/>
    <w:rsid w:val="00FE6E02"/>
    <w:rsid w:val="00FE743D"/>
    <w:rsid w:val="00FE75ED"/>
    <w:rsid w:val="00FF0AE9"/>
    <w:rsid w:val="00FF0CB9"/>
    <w:rsid w:val="00FF1270"/>
    <w:rsid w:val="00FF2A4E"/>
    <w:rsid w:val="00FF2FCE"/>
    <w:rsid w:val="00FF38DB"/>
    <w:rsid w:val="00FF4F7D"/>
    <w:rsid w:val="00FF6127"/>
    <w:rsid w:val="00FF6A64"/>
    <w:rsid w:val="00FF6D37"/>
    <w:rsid w:val="00FF6D9D"/>
    <w:rsid w:val="00FF79A8"/>
    <w:rsid w:val="00FF7DD5"/>
    <w:rsid w:val="05F2B1B2"/>
    <w:rsid w:val="16DA4B53"/>
    <w:rsid w:val="19AA3B99"/>
    <w:rsid w:val="2D6A2800"/>
    <w:rsid w:val="34C592A6"/>
    <w:rsid w:val="350D7ADF"/>
    <w:rsid w:val="3BD8A976"/>
    <w:rsid w:val="497D6C79"/>
    <w:rsid w:val="4A766083"/>
    <w:rsid w:val="56C435B1"/>
    <w:rsid w:val="723F6171"/>
    <w:rsid w:val="72EA5B8F"/>
    <w:rsid w:val="7BD007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C15CFFC-9C86-4DE6-AEDA-C6300035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A7B45"/>
    <w:pPr>
      <w:spacing w:after="120" w:line="280" w:lineRule="atLeast"/>
    </w:pPr>
    <w:rPr>
      <w:rFonts w:ascii="Arial" w:hAnsi="Arial"/>
      <w:sz w:val="21"/>
      <w:lang w:eastAsia="en-US"/>
    </w:rPr>
  </w:style>
  <w:style w:type="paragraph" w:styleId="Heading1">
    <w:name w:val="heading 1"/>
    <w:next w:val="Body"/>
    <w:link w:val="Heading1Char"/>
    <w:uiPriority w:val="1"/>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1"/>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1"/>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1"/>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8"/>
    <w:qFormat/>
    <w:rsid w:val="0038129A"/>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1"/>
    <w:rsid w:val="0038129A"/>
    <w:rPr>
      <w:rFonts w:ascii="Arial" w:hAnsi="Arial"/>
      <w:b/>
      <w:color w:val="7030A0"/>
      <w:sz w:val="32"/>
      <w:szCs w:val="28"/>
      <w:lang w:eastAsia="en-US"/>
    </w:rPr>
  </w:style>
  <w:style w:type="character" w:customStyle="1" w:styleId="Heading3Char">
    <w:name w:val="Heading 3 Char"/>
    <w:link w:val="Heading3"/>
    <w:uiPriority w:val="1"/>
    <w:rsid w:val="0038129A"/>
    <w:rPr>
      <w:rFonts w:ascii="Arial" w:eastAsia="MS Gothic" w:hAnsi="Arial"/>
      <w:bCs/>
      <w:color w:val="7030A0"/>
      <w:sz w:val="28"/>
      <w:szCs w:val="26"/>
      <w:lang w:eastAsia="en-US"/>
    </w:rPr>
  </w:style>
  <w:style w:type="character" w:customStyle="1" w:styleId="Heading4Char">
    <w:name w:val="Heading 4 Char"/>
    <w:link w:val="Heading4"/>
    <w:uiPriority w:val="1"/>
    <w:rsid w:val="0038129A"/>
    <w:rPr>
      <w:rFonts w:ascii="Arial" w:eastAsia="MS Mincho" w:hAnsi="Arial"/>
      <w:b/>
      <w:bCs/>
      <w:color w:val="7030A0"/>
      <w:sz w:val="24"/>
      <w:szCs w:val="22"/>
      <w:lang w:eastAsia="en-US"/>
    </w:rPr>
  </w:style>
  <w:style w:type="paragraph" w:styleId="Header">
    <w:name w:val="header"/>
    <w:link w:val="HeaderChar"/>
    <w:uiPriority w:val="10"/>
    <w:rsid w:val="00E05026"/>
    <w:pPr>
      <w:spacing w:after="300"/>
    </w:pPr>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DD39BC"/>
    <w:rPr>
      <w:color w:val="5C308D"/>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iPriority w:val="99"/>
    <w:qFormat/>
    <w:rsid w:val="004A4195"/>
    <w:pPr>
      <w:spacing w:before="60" w:after="60" w:line="220" w:lineRule="atLeast"/>
    </w:pPr>
    <w:rPr>
      <w:rFonts w:eastAsia="MS Gothic" w:cs="Arial"/>
      <w:sz w:val="18"/>
      <w:szCs w:val="16"/>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10"/>
    <w:rsid w:val="00E05026"/>
    <w:rPr>
      <w:rFonts w:ascii="Arial" w:hAnsi="Arial" w:cs="Arial"/>
      <w:b/>
      <w:color w:val="201547"/>
      <w:sz w:val="18"/>
      <w:szCs w:val="18"/>
      <w:lang w:eastAsia="en-US"/>
    </w:rPr>
  </w:style>
  <w:style w:type="paragraph" w:customStyle="1" w:styleId="LetterText">
    <w:name w:val="Letter Text"/>
    <w:rsid w:val="00DD087A"/>
    <w:rPr>
      <w:rFonts w:ascii="Calibri" w:eastAsiaTheme="minorEastAsia" w:hAnsi="Calibri" w:cstheme="minorBidi"/>
      <w:sz w:val="22"/>
      <w:szCs w:val="22"/>
      <w:lang w:eastAsia="en-US"/>
    </w:rPr>
  </w:style>
  <w:style w:type="character" w:customStyle="1" w:styleId="ng-star-inserted1">
    <w:name w:val="ng-star-inserted1"/>
    <w:basedOn w:val="DefaultParagraphFont"/>
    <w:rsid w:val="00831C0B"/>
  </w:style>
  <w:style w:type="paragraph" w:styleId="ListParagraph">
    <w:name w:val="List Paragraph"/>
    <w:basedOn w:val="Normal"/>
    <w:uiPriority w:val="34"/>
    <w:qFormat/>
    <w:rsid w:val="00AE3E66"/>
    <w:pPr>
      <w:spacing w:after="0" w:line="240" w:lineRule="auto"/>
      <w:ind w:left="720"/>
    </w:pPr>
    <w:rPr>
      <w:rFonts w:ascii="Aptos" w:eastAsiaTheme="minorHAnsi" w:hAnsi="Aptos" w:cs="Aptos"/>
      <w:sz w:val="24"/>
      <w:szCs w:val="24"/>
      <w14:ligatures w14:val="standardContextual"/>
    </w:rPr>
  </w:style>
  <w:style w:type="paragraph" w:customStyle="1" w:styleId="ng-star-inserted">
    <w:name w:val="ng-star-inserted"/>
    <w:basedOn w:val="Normal"/>
    <w:rsid w:val="00CD2E44"/>
    <w:pPr>
      <w:spacing w:before="100" w:beforeAutospacing="1" w:after="100" w:afterAutospacing="1" w:line="240" w:lineRule="auto"/>
    </w:pPr>
    <w:rPr>
      <w:rFonts w:ascii="Times New Roman" w:hAnsi="Times New Roman"/>
      <w:sz w:val="24"/>
      <w:szCs w:val="24"/>
      <w:lang w:eastAsia="en-AU"/>
    </w:rPr>
  </w:style>
  <w:style w:type="numbering" w:customStyle="1" w:styleId="ZZBullets1">
    <w:name w:val="ZZ Bullets1"/>
    <w:rsid w:val="0079467D"/>
  </w:style>
  <w:style w:type="paragraph" w:customStyle="1" w:styleId="whitespace-normal">
    <w:name w:val="whitespace-normal"/>
    <w:basedOn w:val="Normal"/>
    <w:rsid w:val="00EB38EF"/>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4E48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85276039">
      <w:bodyDiv w:val="1"/>
      <w:marLeft w:val="0"/>
      <w:marRight w:val="0"/>
      <w:marTop w:val="0"/>
      <w:marBottom w:val="0"/>
      <w:divBdr>
        <w:top w:val="none" w:sz="0" w:space="0" w:color="auto"/>
        <w:left w:val="none" w:sz="0" w:space="0" w:color="auto"/>
        <w:bottom w:val="none" w:sz="0" w:space="0" w:color="auto"/>
        <w:right w:val="none" w:sz="0" w:space="0" w:color="auto"/>
      </w:divBdr>
    </w:div>
    <w:div w:id="11163133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8251628">
      <w:bodyDiv w:val="1"/>
      <w:marLeft w:val="0"/>
      <w:marRight w:val="0"/>
      <w:marTop w:val="0"/>
      <w:marBottom w:val="0"/>
      <w:divBdr>
        <w:top w:val="none" w:sz="0" w:space="0" w:color="auto"/>
        <w:left w:val="none" w:sz="0" w:space="0" w:color="auto"/>
        <w:bottom w:val="none" w:sz="0" w:space="0" w:color="auto"/>
        <w:right w:val="none" w:sz="0" w:space="0" w:color="auto"/>
      </w:divBdr>
    </w:div>
    <w:div w:id="210506102">
      <w:bodyDiv w:val="1"/>
      <w:marLeft w:val="0"/>
      <w:marRight w:val="0"/>
      <w:marTop w:val="0"/>
      <w:marBottom w:val="0"/>
      <w:divBdr>
        <w:top w:val="none" w:sz="0" w:space="0" w:color="auto"/>
        <w:left w:val="none" w:sz="0" w:space="0" w:color="auto"/>
        <w:bottom w:val="none" w:sz="0" w:space="0" w:color="auto"/>
        <w:right w:val="none" w:sz="0" w:space="0" w:color="auto"/>
      </w:divBdr>
      <w:divsChild>
        <w:div w:id="1721242469">
          <w:marLeft w:val="0"/>
          <w:marRight w:val="0"/>
          <w:marTop w:val="0"/>
          <w:marBottom w:val="0"/>
          <w:divBdr>
            <w:top w:val="none" w:sz="0" w:space="0" w:color="auto"/>
            <w:left w:val="none" w:sz="0" w:space="0" w:color="auto"/>
            <w:bottom w:val="single" w:sz="12" w:space="0" w:color="F3F3F3"/>
            <w:right w:val="none" w:sz="0" w:space="0" w:color="auto"/>
          </w:divBdr>
          <w:divsChild>
            <w:div w:id="1506285689">
              <w:marLeft w:val="-225"/>
              <w:marRight w:val="-225"/>
              <w:marTop w:val="0"/>
              <w:marBottom w:val="0"/>
              <w:divBdr>
                <w:top w:val="none" w:sz="0" w:space="0" w:color="auto"/>
                <w:left w:val="none" w:sz="0" w:space="0" w:color="auto"/>
                <w:bottom w:val="none" w:sz="0" w:space="0" w:color="auto"/>
                <w:right w:val="none" w:sz="0" w:space="0" w:color="auto"/>
              </w:divBdr>
              <w:divsChild>
                <w:div w:id="1501770397">
                  <w:marLeft w:val="0"/>
                  <w:marRight w:val="0"/>
                  <w:marTop w:val="1350"/>
                  <w:marBottom w:val="0"/>
                  <w:divBdr>
                    <w:top w:val="none" w:sz="0" w:space="0" w:color="auto"/>
                    <w:left w:val="none" w:sz="0" w:space="0" w:color="auto"/>
                    <w:bottom w:val="none" w:sz="0" w:space="0" w:color="auto"/>
                    <w:right w:val="none" w:sz="0" w:space="0" w:color="auto"/>
                  </w:divBdr>
                  <w:divsChild>
                    <w:div w:id="961688699">
                      <w:marLeft w:val="0"/>
                      <w:marRight w:val="0"/>
                      <w:marTop w:val="0"/>
                      <w:marBottom w:val="0"/>
                      <w:divBdr>
                        <w:top w:val="none" w:sz="0" w:space="0" w:color="auto"/>
                        <w:left w:val="none" w:sz="0" w:space="0" w:color="auto"/>
                        <w:bottom w:val="none" w:sz="0" w:space="0" w:color="auto"/>
                        <w:right w:val="none" w:sz="0" w:space="0" w:color="auto"/>
                      </w:divBdr>
                      <w:divsChild>
                        <w:div w:id="635993748">
                          <w:marLeft w:val="-225"/>
                          <w:marRight w:val="-225"/>
                          <w:marTop w:val="0"/>
                          <w:marBottom w:val="0"/>
                          <w:divBdr>
                            <w:top w:val="none" w:sz="0" w:space="0" w:color="auto"/>
                            <w:left w:val="none" w:sz="0" w:space="0" w:color="auto"/>
                            <w:bottom w:val="none" w:sz="0" w:space="0" w:color="auto"/>
                            <w:right w:val="none" w:sz="0" w:space="0" w:color="auto"/>
                          </w:divBdr>
                          <w:divsChild>
                            <w:div w:id="1759868647">
                              <w:marLeft w:val="0"/>
                              <w:marRight w:val="0"/>
                              <w:marTop w:val="0"/>
                              <w:marBottom w:val="0"/>
                              <w:divBdr>
                                <w:top w:val="none" w:sz="0" w:space="0" w:color="auto"/>
                                <w:left w:val="none" w:sz="0" w:space="0" w:color="auto"/>
                                <w:bottom w:val="none" w:sz="0" w:space="0" w:color="auto"/>
                                <w:right w:val="none" w:sz="0" w:space="0" w:color="auto"/>
                              </w:divBdr>
                              <w:divsChild>
                                <w:div w:id="1109273078">
                                  <w:marLeft w:val="0"/>
                                  <w:marRight w:val="0"/>
                                  <w:marTop w:val="0"/>
                                  <w:marBottom w:val="0"/>
                                  <w:divBdr>
                                    <w:top w:val="none" w:sz="0" w:space="0" w:color="auto"/>
                                    <w:left w:val="none" w:sz="0" w:space="0" w:color="auto"/>
                                    <w:bottom w:val="none" w:sz="0" w:space="0" w:color="auto"/>
                                    <w:right w:val="none" w:sz="0" w:space="0" w:color="auto"/>
                                  </w:divBdr>
                                  <w:divsChild>
                                    <w:div w:id="852499837">
                                      <w:marLeft w:val="0"/>
                                      <w:marRight w:val="0"/>
                                      <w:marTop w:val="0"/>
                                      <w:marBottom w:val="0"/>
                                      <w:divBdr>
                                        <w:top w:val="none" w:sz="0" w:space="0" w:color="auto"/>
                                        <w:left w:val="none" w:sz="0" w:space="0" w:color="auto"/>
                                        <w:bottom w:val="none" w:sz="0" w:space="0" w:color="auto"/>
                                        <w:right w:val="none" w:sz="0" w:space="0" w:color="auto"/>
                                      </w:divBdr>
                                      <w:divsChild>
                                        <w:div w:id="1625113606">
                                          <w:marLeft w:val="0"/>
                                          <w:marRight w:val="0"/>
                                          <w:marTop w:val="0"/>
                                          <w:marBottom w:val="0"/>
                                          <w:divBdr>
                                            <w:top w:val="none" w:sz="0" w:space="0" w:color="auto"/>
                                            <w:left w:val="none" w:sz="0" w:space="0" w:color="auto"/>
                                            <w:bottom w:val="none" w:sz="0" w:space="0" w:color="auto"/>
                                            <w:right w:val="none" w:sz="0" w:space="0" w:color="auto"/>
                                          </w:divBdr>
                                          <w:divsChild>
                                            <w:div w:id="8083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86256">
                          <w:marLeft w:val="0"/>
                          <w:marRight w:val="0"/>
                          <w:marTop w:val="0"/>
                          <w:marBottom w:val="0"/>
                          <w:divBdr>
                            <w:top w:val="single" w:sz="18" w:space="5" w:color="F3F3F3"/>
                            <w:left w:val="single" w:sz="18" w:space="11" w:color="F3F3F3"/>
                            <w:bottom w:val="single" w:sz="18" w:space="5" w:color="F3F3F3"/>
                            <w:right w:val="single" w:sz="2" w:space="11" w:color="F3F3F3"/>
                          </w:divBdr>
                          <w:divsChild>
                            <w:div w:id="408188082">
                              <w:marLeft w:val="0"/>
                              <w:marRight w:val="0"/>
                              <w:marTop w:val="0"/>
                              <w:marBottom w:val="0"/>
                              <w:divBdr>
                                <w:top w:val="none" w:sz="0" w:space="0" w:color="auto"/>
                                <w:left w:val="none" w:sz="0" w:space="0" w:color="auto"/>
                                <w:bottom w:val="none" w:sz="0" w:space="0" w:color="auto"/>
                                <w:right w:val="none" w:sz="0" w:space="0" w:color="auto"/>
                              </w:divBdr>
                              <w:divsChild>
                                <w:div w:id="1326393307">
                                  <w:marLeft w:val="0"/>
                                  <w:marRight w:val="0"/>
                                  <w:marTop w:val="100"/>
                                  <w:marBottom w:val="100"/>
                                  <w:divBdr>
                                    <w:top w:val="none" w:sz="0" w:space="0" w:color="auto"/>
                                    <w:left w:val="none" w:sz="0" w:space="0" w:color="auto"/>
                                    <w:bottom w:val="none" w:sz="0" w:space="0" w:color="auto"/>
                                    <w:right w:val="none" w:sz="0" w:space="0" w:color="auto"/>
                                  </w:divBdr>
                                  <w:divsChild>
                                    <w:div w:id="95834540">
                                      <w:marLeft w:val="0"/>
                                      <w:marRight w:val="0"/>
                                      <w:marTop w:val="100"/>
                                      <w:marBottom w:val="100"/>
                                      <w:divBdr>
                                        <w:top w:val="none" w:sz="0" w:space="0" w:color="auto"/>
                                        <w:left w:val="none" w:sz="0" w:space="0" w:color="auto"/>
                                        <w:bottom w:val="none" w:sz="0" w:space="0" w:color="auto"/>
                                        <w:right w:val="none" w:sz="0" w:space="0" w:color="auto"/>
                                      </w:divBdr>
                                    </w:div>
                                    <w:div w:id="774249108">
                                      <w:marLeft w:val="0"/>
                                      <w:marRight w:val="0"/>
                                      <w:marTop w:val="100"/>
                                      <w:marBottom w:val="100"/>
                                      <w:divBdr>
                                        <w:top w:val="none" w:sz="0" w:space="0" w:color="auto"/>
                                        <w:left w:val="none" w:sz="0" w:space="0" w:color="auto"/>
                                        <w:bottom w:val="none" w:sz="0" w:space="0" w:color="auto"/>
                                        <w:right w:val="none" w:sz="0" w:space="0" w:color="auto"/>
                                      </w:divBdr>
                                    </w:div>
                                    <w:div w:id="1407458975">
                                      <w:marLeft w:val="0"/>
                                      <w:marRight w:val="0"/>
                                      <w:marTop w:val="100"/>
                                      <w:marBottom w:val="100"/>
                                      <w:divBdr>
                                        <w:top w:val="none" w:sz="0" w:space="0" w:color="auto"/>
                                        <w:left w:val="none" w:sz="0" w:space="0" w:color="auto"/>
                                        <w:bottom w:val="none" w:sz="0" w:space="0" w:color="auto"/>
                                        <w:right w:val="none" w:sz="0" w:space="0" w:color="auto"/>
                                      </w:divBdr>
                                    </w:div>
                                    <w:div w:id="16384866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75475">
      <w:bodyDiv w:val="1"/>
      <w:marLeft w:val="0"/>
      <w:marRight w:val="0"/>
      <w:marTop w:val="0"/>
      <w:marBottom w:val="0"/>
      <w:divBdr>
        <w:top w:val="none" w:sz="0" w:space="0" w:color="auto"/>
        <w:left w:val="none" w:sz="0" w:space="0" w:color="auto"/>
        <w:bottom w:val="none" w:sz="0" w:space="0" w:color="auto"/>
        <w:right w:val="none" w:sz="0" w:space="0" w:color="auto"/>
      </w:divBdr>
    </w:div>
    <w:div w:id="261107542">
      <w:bodyDiv w:val="1"/>
      <w:marLeft w:val="0"/>
      <w:marRight w:val="0"/>
      <w:marTop w:val="0"/>
      <w:marBottom w:val="0"/>
      <w:divBdr>
        <w:top w:val="none" w:sz="0" w:space="0" w:color="auto"/>
        <w:left w:val="none" w:sz="0" w:space="0" w:color="auto"/>
        <w:bottom w:val="none" w:sz="0" w:space="0" w:color="auto"/>
        <w:right w:val="none" w:sz="0" w:space="0" w:color="auto"/>
      </w:divBdr>
    </w:div>
    <w:div w:id="282199713">
      <w:bodyDiv w:val="1"/>
      <w:marLeft w:val="0"/>
      <w:marRight w:val="0"/>
      <w:marTop w:val="0"/>
      <w:marBottom w:val="0"/>
      <w:divBdr>
        <w:top w:val="none" w:sz="0" w:space="0" w:color="auto"/>
        <w:left w:val="none" w:sz="0" w:space="0" w:color="auto"/>
        <w:bottom w:val="none" w:sz="0" w:space="0" w:color="auto"/>
        <w:right w:val="none" w:sz="0" w:space="0" w:color="auto"/>
      </w:divBdr>
    </w:div>
    <w:div w:id="285700226">
      <w:bodyDiv w:val="1"/>
      <w:marLeft w:val="0"/>
      <w:marRight w:val="0"/>
      <w:marTop w:val="0"/>
      <w:marBottom w:val="0"/>
      <w:divBdr>
        <w:top w:val="none" w:sz="0" w:space="0" w:color="auto"/>
        <w:left w:val="none" w:sz="0" w:space="0" w:color="auto"/>
        <w:bottom w:val="none" w:sz="0" w:space="0" w:color="auto"/>
        <w:right w:val="none" w:sz="0" w:space="0" w:color="auto"/>
      </w:divBdr>
    </w:div>
    <w:div w:id="291130969">
      <w:bodyDiv w:val="1"/>
      <w:marLeft w:val="0"/>
      <w:marRight w:val="0"/>
      <w:marTop w:val="0"/>
      <w:marBottom w:val="0"/>
      <w:divBdr>
        <w:top w:val="none" w:sz="0" w:space="0" w:color="auto"/>
        <w:left w:val="none" w:sz="0" w:space="0" w:color="auto"/>
        <w:bottom w:val="none" w:sz="0" w:space="0" w:color="auto"/>
        <w:right w:val="none" w:sz="0" w:space="0" w:color="auto"/>
      </w:divBdr>
    </w:div>
    <w:div w:id="29151726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799765">
      <w:bodyDiv w:val="1"/>
      <w:marLeft w:val="0"/>
      <w:marRight w:val="0"/>
      <w:marTop w:val="0"/>
      <w:marBottom w:val="0"/>
      <w:divBdr>
        <w:top w:val="none" w:sz="0" w:space="0" w:color="auto"/>
        <w:left w:val="none" w:sz="0" w:space="0" w:color="auto"/>
        <w:bottom w:val="none" w:sz="0" w:space="0" w:color="auto"/>
        <w:right w:val="none" w:sz="0" w:space="0" w:color="auto"/>
      </w:divBdr>
      <w:divsChild>
        <w:div w:id="766778369">
          <w:marLeft w:val="0"/>
          <w:marRight w:val="0"/>
          <w:marTop w:val="0"/>
          <w:marBottom w:val="0"/>
          <w:divBdr>
            <w:top w:val="none" w:sz="0" w:space="0" w:color="auto"/>
            <w:left w:val="none" w:sz="0" w:space="0" w:color="auto"/>
            <w:bottom w:val="single" w:sz="12" w:space="0" w:color="F3F3F3"/>
            <w:right w:val="none" w:sz="0" w:space="0" w:color="auto"/>
          </w:divBdr>
          <w:divsChild>
            <w:div w:id="305404848">
              <w:marLeft w:val="-225"/>
              <w:marRight w:val="-225"/>
              <w:marTop w:val="0"/>
              <w:marBottom w:val="0"/>
              <w:divBdr>
                <w:top w:val="none" w:sz="0" w:space="0" w:color="auto"/>
                <w:left w:val="none" w:sz="0" w:space="0" w:color="auto"/>
                <w:bottom w:val="none" w:sz="0" w:space="0" w:color="auto"/>
                <w:right w:val="none" w:sz="0" w:space="0" w:color="auto"/>
              </w:divBdr>
              <w:divsChild>
                <w:div w:id="996881742">
                  <w:marLeft w:val="0"/>
                  <w:marRight w:val="0"/>
                  <w:marTop w:val="1350"/>
                  <w:marBottom w:val="0"/>
                  <w:divBdr>
                    <w:top w:val="none" w:sz="0" w:space="0" w:color="auto"/>
                    <w:left w:val="none" w:sz="0" w:space="0" w:color="auto"/>
                    <w:bottom w:val="none" w:sz="0" w:space="0" w:color="auto"/>
                    <w:right w:val="none" w:sz="0" w:space="0" w:color="auto"/>
                  </w:divBdr>
                  <w:divsChild>
                    <w:div w:id="763497341">
                      <w:marLeft w:val="0"/>
                      <w:marRight w:val="0"/>
                      <w:marTop w:val="0"/>
                      <w:marBottom w:val="0"/>
                      <w:divBdr>
                        <w:top w:val="none" w:sz="0" w:space="0" w:color="auto"/>
                        <w:left w:val="none" w:sz="0" w:space="0" w:color="auto"/>
                        <w:bottom w:val="none" w:sz="0" w:space="0" w:color="auto"/>
                        <w:right w:val="none" w:sz="0" w:space="0" w:color="auto"/>
                      </w:divBdr>
                      <w:divsChild>
                        <w:div w:id="1585189323">
                          <w:marLeft w:val="0"/>
                          <w:marRight w:val="0"/>
                          <w:marTop w:val="0"/>
                          <w:marBottom w:val="0"/>
                          <w:divBdr>
                            <w:top w:val="single" w:sz="18" w:space="5" w:color="F3F3F3"/>
                            <w:left w:val="single" w:sz="18" w:space="11" w:color="F3F3F3"/>
                            <w:bottom w:val="single" w:sz="18" w:space="5" w:color="F3F3F3"/>
                            <w:right w:val="single" w:sz="2" w:space="11" w:color="F3F3F3"/>
                          </w:divBdr>
                          <w:divsChild>
                            <w:div w:id="289290890">
                              <w:marLeft w:val="0"/>
                              <w:marRight w:val="0"/>
                              <w:marTop w:val="0"/>
                              <w:marBottom w:val="0"/>
                              <w:divBdr>
                                <w:top w:val="none" w:sz="0" w:space="0" w:color="auto"/>
                                <w:left w:val="none" w:sz="0" w:space="0" w:color="auto"/>
                                <w:bottom w:val="none" w:sz="0" w:space="0" w:color="auto"/>
                                <w:right w:val="none" w:sz="0" w:space="0" w:color="auto"/>
                              </w:divBdr>
                              <w:divsChild>
                                <w:div w:id="457380415">
                                  <w:marLeft w:val="0"/>
                                  <w:marRight w:val="0"/>
                                  <w:marTop w:val="100"/>
                                  <w:marBottom w:val="100"/>
                                  <w:divBdr>
                                    <w:top w:val="none" w:sz="0" w:space="0" w:color="auto"/>
                                    <w:left w:val="none" w:sz="0" w:space="0" w:color="auto"/>
                                    <w:bottom w:val="none" w:sz="0" w:space="0" w:color="auto"/>
                                    <w:right w:val="none" w:sz="0" w:space="0" w:color="auto"/>
                                  </w:divBdr>
                                  <w:divsChild>
                                    <w:div w:id="576944587">
                                      <w:marLeft w:val="0"/>
                                      <w:marRight w:val="0"/>
                                      <w:marTop w:val="100"/>
                                      <w:marBottom w:val="100"/>
                                      <w:divBdr>
                                        <w:top w:val="none" w:sz="0" w:space="0" w:color="auto"/>
                                        <w:left w:val="none" w:sz="0" w:space="0" w:color="auto"/>
                                        <w:bottom w:val="none" w:sz="0" w:space="0" w:color="auto"/>
                                        <w:right w:val="none" w:sz="0" w:space="0" w:color="auto"/>
                                      </w:divBdr>
                                    </w:div>
                                    <w:div w:id="626543616">
                                      <w:marLeft w:val="0"/>
                                      <w:marRight w:val="0"/>
                                      <w:marTop w:val="100"/>
                                      <w:marBottom w:val="100"/>
                                      <w:divBdr>
                                        <w:top w:val="none" w:sz="0" w:space="0" w:color="auto"/>
                                        <w:left w:val="none" w:sz="0" w:space="0" w:color="auto"/>
                                        <w:bottom w:val="none" w:sz="0" w:space="0" w:color="auto"/>
                                        <w:right w:val="none" w:sz="0" w:space="0" w:color="auto"/>
                                      </w:divBdr>
                                    </w:div>
                                    <w:div w:id="1523203949">
                                      <w:marLeft w:val="0"/>
                                      <w:marRight w:val="0"/>
                                      <w:marTop w:val="100"/>
                                      <w:marBottom w:val="100"/>
                                      <w:divBdr>
                                        <w:top w:val="none" w:sz="0" w:space="0" w:color="auto"/>
                                        <w:left w:val="none" w:sz="0" w:space="0" w:color="auto"/>
                                        <w:bottom w:val="none" w:sz="0" w:space="0" w:color="auto"/>
                                        <w:right w:val="none" w:sz="0" w:space="0" w:color="auto"/>
                                      </w:divBdr>
                                    </w:div>
                                    <w:div w:id="18866718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02262518">
                          <w:marLeft w:val="-225"/>
                          <w:marRight w:val="-225"/>
                          <w:marTop w:val="0"/>
                          <w:marBottom w:val="0"/>
                          <w:divBdr>
                            <w:top w:val="none" w:sz="0" w:space="0" w:color="auto"/>
                            <w:left w:val="none" w:sz="0" w:space="0" w:color="auto"/>
                            <w:bottom w:val="none" w:sz="0" w:space="0" w:color="auto"/>
                            <w:right w:val="none" w:sz="0" w:space="0" w:color="auto"/>
                          </w:divBdr>
                          <w:divsChild>
                            <w:div w:id="452137761">
                              <w:marLeft w:val="0"/>
                              <w:marRight w:val="0"/>
                              <w:marTop w:val="0"/>
                              <w:marBottom w:val="0"/>
                              <w:divBdr>
                                <w:top w:val="none" w:sz="0" w:space="0" w:color="auto"/>
                                <w:left w:val="none" w:sz="0" w:space="0" w:color="auto"/>
                                <w:bottom w:val="none" w:sz="0" w:space="0" w:color="auto"/>
                                <w:right w:val="none" w:sz="0" w:space="0" w:color="auto"/>
                              </w:divBdr>
                              <w:divsChild>
                                <w:div w:id="91098984">
                                  <w:marLeft w:val="0"/>
                                  <w:marRight w:val="0"/>
                                  <w:marTop w:val="0"/>
                                  <w:marBottom w:val="0"/>
                                  <w:divBdr>
                                    <w:top w:val="none" w:sz="0" w:space="0" w:color="auto"/>
                                    <w:left w:val="none" w:sz="0" w:space="0" w:color="auto"/>
                                    <w:bottom w:val="none" w:sz="0" w:space="0" w:color="auto"/>
                                    <w:right w:val="none" w:sz="0" w:space="0" w:color="auto"/>
                                  </w:divBdr>
                                  <w:divsChild>
                                    <w:div w:id="1790007242">
                                      <w:marLeft w:val="0"/>
                                      <w:marRight w:val="0"/>
                                      <w:marTop w:val="0"/>
                                      <w:marBottom w:val="0"/>
                                      <w:divBdr>
                                        <w:top w:val="none" w:sz="0" w:space="0" w:color="auto"/>
                                        <w:left w:val="none" w:sz="0" w:space="0" w:color="auto"/>
                                        <w:bottom w:val="none" w:sz="0" w:space="0" w:color="auto"/>
                                        <w:right w:val="none" w:sz="0" w:space="0" w:color="auto"/>
                                      </w:divBdr>
                                      <w:divsChild>
                                        <w:div w:id="1282229352">
                                          <w:marLeft w:val="0"/>
                                          <w:marRight w:val="0"/>
                                          <w:marTop w:val="0"/>
                                          <w:marBottom w:val="0"/>
                                          <w:divBdr>
                                            <w:top w:val="none" w:sz="0" w:space="0" w:color="auto"/>
                                            <w:left w:val="none" w:sz="0" w:space="0" w:color="auto"/>
                                            <w:bottom w:val="none" w:sz="0" w:space="0" w:color="auto"/>
                                            <w:right w:val="none" w:sz="0" w:space="0" w:color="auto"/>
                                          </w:divBdr>
                                          <w:divsChild>
                                            <w:div w:id="2281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7595">
      <w:bodyDiv w:val="1"/>
      <w:marLeft w:val="0"/>
      <w:marRight w:val="0"/>
      <w:marTop w:val="0"/>
      <w:marBottom w:val="0"/>
      <w:divBdr>
        <w:top w:val="none" w:sz="0" w:space="0" w:color="auto"/>
        <w:left w:val="none" w:sz="0" w:space="0" w:color="auto"/>
        <w:bottom w:val="none" w:sz="0" w:space="0" w:color="auto"/>
        <w:right w:val="none" w:sz="0" w:space="0" w:color="auto"/>
      </w:divBdr>
    </w:div>
    <w:div w:id="349111868">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687951501">
      <w:bodyDiv w:val="1"/>
      <w:marLeft w:val="0"/>
      <w:marRight w:val="0"/>
      <w:marTop w:val="0"/>
      <w:marBottom w:val="0"/>
      <w:divBdr>
        <w:top w:val="none" w:sz="0" w:space="0" w:color="auto"/>
        <w:left w:val="none" w:sz="0" w:space="0" w:color="auto"/>
        <w:bottom w:val="none" w:sz="0" w:space="0" w:color="auto"/>
        <w:right w:val="none" w:sz="0" w:space="0" w:color="auto"/>
      </w:divBdr>
    </w:div>
    <w:div w:id="8013089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330184">
      <w:bodyDiv w:val="1"/>
      <w:marLeft w:val="0"/>
      <w:marRight w:val="0"/>
      <w:marTop w:val="0"/>
      <w:marBottom w:val="0"/>
      <w:divBdr>
        <w:top w:val="none" w:sz="0" w:space="0" w:color="auto"/>
        <w:left w:val="none" w:sz="0" w:space="0" w:color="auto"/>
        <w:bottom w:val="none" w:sz="0" w:space="0" w:color="auto"/>
        <w:right w:val="none" w:sz="0" w:space="0" w:color="auto"/>
      </w:divBdr>
    </w:div>
    <w:div w:id="894897984">
      <w:bodyDiv w:val="1"/>
      <w:marLeft w:val="0"/>
      <w:marRight w:val="0"/>
      <w:marTop w:val="0"/>
      <w:marBottom w:val="0"/>
      <w:divBdr>
        <w:top w:val="none" w:sz="0" w:space="0" w:color="auto"/>
        <w:left w:val="none" w:sz="0" w:space="0" w:color="auto"/>
        <w:bottom w:val="none" w:sz="0" w:space="0" w:color="auto"/>
        <w:right w:val="none" w:sz="0" w:space="0" w:color="auto"/>
      </w:divBdr>
    </w:div>
    <w:div w:id="90468383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999695698">
      <w:bodyDiv w:val="1"/>
      <w:marLeft w:val="0"/>
      <w:marRight w:val="0"/>
      <w:marTop w:val="0"/>
      <w:marBottom w:val="0"/>
      <w:divBdr>
        <w:top w:val="none" w:sz="0" w:space="0" w:color="auto"/>
        <w:left w:val="none" w:sz="0" w:space="0" w:color="auto"/>
        <w:bottom w:val="none" w:sz="0" w:space="0" w:color="auto"/>
        <w:right w:val="none" w:sz="0" w:space="0" w:color="auto"/>
      </w:divBdr>
    </w:div>
    <w:div w:id="1164933791">
      <w:bodyDiv w:val="1"/>
      <w:marLeft w:val="0"/>
      <w:marRight w:val="0"/>
      <w:marTop w:val="0"/>
      <w:marBottom w:val="0"/>
      <w:divBdr>
        <w:top w:val="none" w:sz="0" w:space="0" w:color="auto"/>
        <w:left w:val="none" w:sz="0" w:space="0" w:color="auto"/>
        <w:bottom w:val="none" w:sz="0" w:space="0" w:color="auto"/>
        <w:right w:val="none" w:sz="0" w:space="0" w:color="auto"/>
      </w:divBdr>
    </w:div>
    <w:div w:id="1166282861">
      <w:bodyDiv w:val="1"/>
      <w:marLeft w:val="0"/>
      <w:marRight w:val="0"/>
      <w:marTop w:val="0"/>
      <w:marBottom w:val="0"/>
      <w:divBdr>
        <w:top w:val="none" w:sz="0" w:space="0" w:color="auto"/>
        <w:left w:val="none" w:sz="0" w:space="0" w:color="auto"/>
        <w:bottom w:val="none" w:sz="0" w:space="0" w:color="auto"/>
        <w:right w:val="none" w:sz="0" w:space="0" w:color="auto"/>
      </w:divBdr>
    </w:div>
    <w:div w:id="1305310084">
      <w:bodyDiv w:val="1"/>
      <w:marLeft w:val="0"/>
      <w:marRight w:val="0"/>
      <w:marTop w:val="0"/>
      <w:marBottom w:val="0"/>
      <w:divBdr>
        <w:top w:val="none" w:sz="0" w:space="0" w:color="auto"/>
        <w:left w:val="none" w:sz="0" w:space="0" w:color="auto"/>
        <w:bottom w:val="none" w:sz="0" w:space="0" w:color="auto"/>
        <w:right w:val="none" w:sz="0" w:space="0" w:color="auto"/>
      </w:divBdr>
    </w:div>
    <w:div w:id="1307202606">
      <w:bodyDiv w:val="1"/>
      <w:marLeft w:val="0"/>
      <w:marRight w:val="0"/>
      <w:marTop w:val="0"/>
      <w:marBottom w:val="0"/>
      <w:divBdr>
        <w:top w:val="none" w:sz="0" w:space="0" w:color="auto"/>
        <w:left w:val="none" w:sz="0" w:space="0" w:color="auto"/>
        <w:bottom w:val="none" w:sz="0" w:space="0" w:color="auto"/>
        <w:right w:val="none" w:sz="0" w:space="0" w:color="auto"/>
      </w:divBdr>
    </w:div>
    <w:div w:id="1320309396">
      <w:bodyDiv w:val="1"/>
      <w:marLeft w:val="0"/>
      <w:marRight w:val="0"/>
      <w:marTop w:val="0"/>
      <w:marBottom w:val="0"/>
      <w:divBdr>
        <w:top w:val="none" w:sz="0" w:space="0" w:color="auto"/>
        <w:left w:val="none" w:sz="0" w:space="0" w:color="auto"/>
        <w:bottom w:val="none" w:sz="0" w:space="0" w:color="auto"/>
        <w:right w:val="none" w:sz="0" w:space="0" w:color="auto"/>
      </w:divBdr>
    </w:div>
    <w:div w:id="138733796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9395790">
      <w:bodyDiv w:val="1"/>
      <w:marLeft w:val="0"/>
      <w:marRight w:val="0"/>
      <w:marTop w:val="0"/>
      <w:marBottom w:val="0"/>
      <w:divBdr>
        <w:top w:val="none" w:sz="0" w:space="0" w:color="auto"/>
        <w:left w:val="none" w:sz="0" w:space="0" w:color="auto"/>
        <w:bottom w:val="none" w:sz="0" w:space="0" w:color="auto"/>
        <w:right w:val="none" w:sz="0" w:space="0" w:color="auto"/>
      </w:divBdr>
    </w:div>
    <w:div w:id="1583951402">
      <w:bodyDiv w:val="1"/>
      <w:marLeft w:val="0"/>
      <w:marRight w:val="0"/>
      <w:marTop w:val="0"/>
      <w:marBottom w:val="0"/>
      <w:divBdr>
        <w:top w:val="none" w:sz="0" w:space="0" w:color="auto"/>
        <w:left w:val="none" w:sz="0" w:space="0" w:color="auto"/>
        <w:bottom w:val="none" w:sz="0" w:space="0" w:color="auto"/>
        <w:right w:val="none" w:sz="0" w:space="0" w:color="auto"/>
      </w:divBdr>
    </w:div>
    <w:div w:id="15979781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412857">
      <w:bodyDiv w:val="1"/>
      <w:marLeft w:val="0"/>
      <w:marRight w:val="0"/>
      <w:marTop w:val="0"/>
      <w:marBottom w:val="0"/>
      <w:divBdr>
        <w:top w:val="none" w:sz="0" w:space="0" w:color="auto"/>
        <w:left w:val="none" w:sz="0" w:space="0" w:color="auto"/>
        <w:bottom w:val="none" w:sz="0" w:space="0" w:color="auto"/>
        <w:right w:val="none" w:sz="0" w:space="0" w:color="auto"/>
      </w:divBdr>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285479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08876477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hyperlink" Target="https://www.researchgate.net/publication/394405486_Work_from_home_and_employee_well-being_a_double-edged_sword" TargetMode="External"/><Relationship Id="rId39" Type="http://schemas.openxmlformats.org/officeDocument/2006/relationships/hyperlink" Target="https://www.deloitte.com/global/en/issues/work/content/women-at-work-global-outlook.html" TargetMode="External"/><Relationship Id="rId3" Type="http://schemas.openxmlformats.org/officeDocument/2006/relationships/customXml" Target="../customXml/item3.xml"/><Relationship Id="rId21" Type="http://schemas.openxmlformats.org/officeDocument/2006/relationships/hyperlink" Target="https://news.bloomberglaw.com/daily-labor-report/remote-work-is-a-lasting-boon-for-people-with-disabilities" TargetMode="External"/><Relationship Id="rId34" Type="http://schemas.openxmlformats.org/officeDocument/2006/relationships/hyperlink" Target="https://crr.bc.edu/does-remote-work-help-older-people-with-disabilities/" TargetMode="External"/><Relationship Id="rId42" Type="http://schemas.openxmlformats.org/officeDocument/2006/relationships/hyperlink" Target="https://www.latrobe.edu.au/arcshs/documents/arcshs-research-publications/private_lives.pdf" TargetMode="External"/><Relationship Id="rId47" Type="http://schemas.openxmlformats.org/officeDocument/2006/relationships/hyperlink" Target="https://doi.org/10.1111/1467-8500.12634" TargetMode="External"/><Relationship Id="rId50"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bs.gov.au/statistics/health/disability/disability-ageing-and-carers-australia-summary-findings/latest-release" TargetMode="External"/><Relationship Id="rId25" Type="http://schemas.openxmlformats.org/officeDocument/2006/relationships/hyperlink" Target="https://www.tandfonline.com/doi/full/10.1080/10301763.2024.2420297" TargetMode="External"/><Relationship Id="rId33" Type="http://schemas.openxmlformats.org/officeDocument/2006/relationships/hyperlink" Target="https://doi.org/10.1177/00197939241301704" TargetMode="External"/><Relationship Id="rId38" Type="http://schemas.openxmlformats.org/officeDocument/2006/relationships/hyperlink" Target="https://doi.org/10.1080/09638288.2016.1224276" TargetMode="External"/><Relationship Id="rId46" Type="http://schemas.openxmlformats.org/officeDocument/2006/relationships/hyperlink" Target="https://www.vpsc.vic.gov.au/workforce-data-state-of-the-public-sector/employee-and-executive-pay-leave-and-work-arrangements/employment-arrangements/" TargetMode="External"/><Relationship Id="rId2" Type="http://schemas.openxmlformats.org/officeDocument/2006/relationships/customXml" Target="../customXml/item2.xml"/><Relationship Id="rId16" Type="http://schemas.openxmlformats.org/officeDocument/2006/relationships/hyperlink" Target="https://www.genderequalitycommission.vic.gov.au/gender-impact-assessment-toolkit/step-1-define-issues-and-challenge-assumptions" TargetMode="External"/><Relationship Id="rId20" Type="http://schemas.openxmlformats.org/officeDocument/2006/relationships/hyperlink" Target="treasury.gov.au/sites/default/files/2023-03/c2023-379612-%20australian_institute_of_superannuation_trustees.pdf" TargetMode="External"/><Relationship Id="rId29" Type="http://schemas.openxmlformats.org/officeDocument/2006/relationships/hyperlink" Target="https://researchportalplus.anu.edu.au/en/publications/increasing-indigenous-employment-rates" TargetMode="External"/><Relationship Id="rId41" Type="http://schemas.openxmlformats.org/officeDocument/2006/relationships/hyperlink" Target="https://doi.org/10.3233/JVR-1708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enderequalitycommission.vic.gov.au/baseline-audit-report-2021" TargetMode="External"/><Relationship Id="rId32" Type="http://schemas.openxmlformats.org/officeDocument/2006/relationships/hyperlink" Target="https://www.researchgate.net/publication/377420713_Talent_attraction_through_flexible_work_anytime_from_anywhere" TargetMode="External"/><Relationship Id="rId37" Type="http://schemas.openxmlformats.org/officeDocument/2006/relationships/hyperlink" Target="https://doi.org/10.1108/JOEPP-12-2023-0549" TargetMode="External"/><Relationship Id="rId40" Type="http://schemas.openxmlformats.org/officeDocument/2006/relationships/hyperlink" Target="https://doi.org/10.3233/JVR-170878" TargetMode="External"/><Relationship Id="rId45" Type="http://schemas.openxmlformats.org/officeDocument/2006/relationships/hyperlink" Target="https://library.vla.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ph.gov.au/Parliamentary_Business/Committees/Senate/Community_Affairs/Menopause/Report" TargetMode="External"/><Relationship Id="rId28" Type="http://schemas.openxmlformats.org/officeDocument/2006/relationships/hyperlink" Target="https://www.gov.uk/government/publications/encouraging-employers-to-advertise-jobs-as-flexible-with-jobs-site-indeed" TargetMode="External"/><Relationship Id="rId36" Type="http://schemas.openxmlformats.org/officeDocument/2006/relationships/hyperlink" Target="https://melbourneinstitute.unimelb.edu.au/data/taking-the-pulse-of-the-nation-2022/ttpn-11-july-2022"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ihw.gov.au/reports/australias-welfare/changing-patterns-of-work" TargetMode="External"/><Relationship Id="rId31" Type="http://schemas.openxmlformats.org/officeDocument/2006/relationships/hyperlink" Target="https://resources.workable.com/stories-and-insights/remote-work-and-accessibility" TargetMode="External"/><Relationship Id="rId44" Type="http://schemas.openxmlformats.org/officeDocument/2006/relationships/hyperlink" Target="https://link.springer.com/article/10.1007/s10926-020-0993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ic.gov.au/publications/sb/sb28" TargetMode="External"/><Relationship Id="rId27" Type="http://schemas.openxmlformats.org/officeDocument/2006/relationships/hyperlink" Target="https://onlinelibrary.wiley.com/doi/10.1002/ajs4.292" TargetMode="External"/><Relationship Id="rId30" Type="http://schemas.openxmlformats.org/officeDocument/2006/relationships/hyperlink" Target="https://opal.latrobe.edu.au/articles/report/Writing_Themselves_In_4_The_health_and_wellbeing_of_LGBTQA_young_people_in_Australia_National_report_/13647860" TargetMode="External"/><Relationship Id="rId35" Type="http://schemas.openxmlformats.org/officeDocument/2006/relationships/hyperlink" Target="https://www.techtarget.com/whatis/feature/Proximity-bias-explained-Everything-you-need-to-" TargetMode="External"/><Relationship Id="rId43" Type="http://schemas.openxmlformats.org/officeDocument/2006/relationships/hyperlink" Target="https://www.psychologytoday.com/us/blog/positively-different/202411/the-strain-of-masking-reclaiming-our-neurodivergent-selves?msockid=06b5f0105b31671c0019e6725ac266f5"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7C7AD06A-0CD3-454C-8E0B-BDBFBB41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0f00e27-c35f-46eb-9301-c9e2bd24673f"/>
    <ds:schemaRef ds:uri="http://schemas.microsoft.com/office/infopath/2007/PartnerControls"/>
    <ds:schemaRef ds:uri="5ce0f2b5-5be5-4508-bce9-d7011ece0659"/>
    <ds:schemaRef ds:uri="http://purl.org/dc/terms/"/>
    <ds:schemaRef ds:uri="27cb37dd-16a1-4d7b-8276-5c0e4168f63b"/>
    <ds:schemaRef ds:uri="http://www.w3.org/XML/1998/namespace"/>
    <ds:schemaRef ds:uri="http://purl.org/dc/dcmitype/"/>
  </ds:schemaRefs>
</ds:datastoreItem>
</file>

<file path=docMetadata/LabelInfo.xml><?xml version="1.0" encoding="utf-8"?>
<clbl:labelList xmlns:clbl="http://schemas.microsoft.com/office/2020/mipLabelMetadata">
  <clbl:label id="{c0e0601f-0fac-449c-9c88-a104c4eb9f28}" enabled="0" method="" siteId="{c0e0601f-0fac-449c-9c88-a104c4eb9f2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5635</Words>
  <Characters>37993</Characters>
  <Application>Microsoft Office Word</Application>
  <DocSecurity>2</DocSecurity>
  <Lines>316</Lines>
  <Paragraphs>87</Paragraphs>
  <ScaleCrop>false</ScaleCrop>
  <HeadingPairs>
    <vt:vector size="2" baseType="variant">
      <vt:variant>
        <vt:lpstr>Title</vt:lpstr>
      </vt:variant>
      <vt:variant>
        <vt:i4>1</vt:i4>
      </vt:variant>
    </vt:vector>
  </HeadingPairs>
  <TitlesOfParts>
    <vt:vector size="1" baseType="lpstr">
      <vt:lpstr/>
    </vt:vector>
  </TitlesOfParts>
  <Company>Victoria State Government, Commission for Gender Equality in the Public Sector</Company>
  <LinksUpToDate>false</LinksUpToDate>
  <CharactersWithSpaces>43541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 for Gender Equality in the Public Sector</dc:creator>
  <cp:keywords/>
  <cp:lastModifiedBy>Hanann Al Daqqa (CGEPS)</cp:lastModifiedBy>
  <cp:revision>2</cp:revision>
  <cp:lastPrinted>2021-01-30T00:27:00Z</cp:lastPrinted>
  <dcterms:created xsi:type="dcterms:W3CDTF">2025-10-07T23:30:00Z</dcterms:created>
  <dcterms:modified xsi:type="dcterms:W3CDTF">2025-10-07T23:30:00Z</dcterms:modified>
  <cp:category>CGEPS factsheet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y fmtid="{D5CDD505-2E9C-101B-9397-08002B2CF9AE}" pid="25" name="_MarkAsFinal">
    <vt:bool>true</vt:bool>
  </property>
</Properties>
</file>