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1106C46" w:rsidR="0074696E" w:rsidRPr="00280C4B" w:rsidRDefault="00571E78" w:rsidP="00280C4B">
      <w:pPr>
        <w:pStyle w:val="Sectionbreakfirstpage"/>
      </w:pPr>
      <w:r>
        <w:drawing>
          <wp:anchor distT="0" distB="0" distL="114300" distR="114300" simplePos="0" relativeHeight="251658240" behindDoc="1" locked="1" layoutInCell="1" allowOverlap="1" wp14:anchorId="2E168E2D" wp14:editId="3327D411">
            <wp:simplePos x="0" y="0"/>
            <wp:positionH relativeFrom="page">
              <wp:posOffset>-2540</wp:posOffset>
            </wp:positionH>
            <wp:positionV relativeFrom="page">
              <wp:posOffset>-68580</wp:posOffset>
            </wp:positionV>
            <wp:extent cx="1620000" cy="1620000"/>
            <wp:effectExtent l="0" t="0" r="0" b="0"/>
            <wp:wrapNone/>
            <wp:docPr id="6069687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68729"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p w14:paraId="0E779FFC" w14:textId="23346AE9" w:rsidR="006A2F78" w:rsidRPr="0009050A" w:rsidRDefault="00FF614A" w:rsidP="00546E6E">
      <w:pPr>
        <w:pStyle w:val="Documenttitle"/>
        <w:ind w:left="1843"/>
      </w:pPr>
      <w:bookmarkStart w:id="0" w:name="_Hlk202962683"/>
      <w:r>
        <w:t xml:space="preserve">Submission to the </w:t>
      </w:r>
      <w:r w:rsidR="00546E6E">
        <w:t xml:space="preserve">2025 Determination </w:t>
      </w:r>
      <w:r w:rsidR="00AB4C0D">
        <w:t>adjusting</w:t>
      </w:r>
      <w:r w:rsidR="00546E6E">
        <w:t xml:space="preserve"> VPS </w:t>
      </w:r>
      <w:r w:rsidR="00321A89">
        <w:t>executive remuneration bands</w:t>
      </w:r>
    </w:p>
    <w:bookmarkEnd w:id="0"/>
    <w:p w14:paraId="1E413F1F" w14:textId="59F893CE" w:rsidR="006A2F78" w:rsidRPr="0016037B" w:rsidRDefault="006A2F78" w:rsidP="00EB4276">
      <w:pPr>
        <w:pStyle w:val="Documentsubtitle"/>
        <w:ind w:left="2268"/>
      </w:pPr>
      <w:r w:rsidRPr="0016037B">
        <w:t>D</w:t>
      </w:r>
      <w:r w:rsidR="00321A89">
        <w:t xml:space="preserve">r Niki Vincent, Public Sector Gender Equality Commissioner </w:t>
      </w:r>
      <w:r>
        <w:t xml:space="preserve"> </w:t>
      </w:r>
    </w:p>
    <w:p w14:paraId="481F410F" w14:textId="77777777" w:rsidR="006A2F78" w:rsidRPr="00250DC4" w:rsidRDefault="006A2F78" w:rsidP="0002285C">
      <w:pPr>
        <w:pStyle w:val="Bannermarking"/>
        <w:ind w:left="33"/>
      </w:pPr>
    </w:p>
    <w:p w14:paraId="2AF78354" w14:textId="77777777" w:rsidR="0002285C" w:rsidRDefault="0002285C" w:rsidP="0038129A">
      <w:pPr>
        <w:pStyle w:val="TOCheadingfactsheet"/>
        <w:sectPr w:rsidR="0002285C" w:rsidSect="006A5FE9">
          <w:headerReference w:type="default" r:id="rId14"/>
          <w:footerReference w:type="default" r:id="rId15"/>
          <w:type w:val="continuous"/>
          <w:pgSz w:w="11906" w:h="16838" w:code="9"/>
          <w:pgMar w:top="851" w:right="851" w:bottom="851" w:left="851" w:header="851" w:footer="567" w:gutter="0"/>
          <w:cols w:space="340"/>
          <w:titlePg/>
          <w:docGrid w:linePitch="360"/>
        </w:sectPr>
      </w:pPr>
    </w:p>
    <w:p w14:paraId="2B29CD62" w14:textId="77777777" w:rsidR="00FC64CB" w:rsidRDefault="00FC64CB" w:rsidP="0038129A">
      <w:pPr>
        <w:pStyle w:val="TOCheadingfactsheet"/>
      </w:pPr>
    </w:p>
    <w:p w14:paraId="0CBF5D9A" w14:textId="06955D52" w:rsidR="00AD784C" w:rsidRPr="00917A07" w:rsidRDefault="00AD784C" w:rsidP="0038129A">
      <w:pPr>
        <w:pStyle w:val="TOCheadingfactsheet"/>
      </w:pPr>
      <w:r w:rsidRPr="00917A07">
        <w:t>Contents</w:t>
      </w:r>
    </w:p>
    <w:p w14:paraId="3C462B89" w14:textId="46C5360B" w:rsidR="006C7ACB"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2971732" w:history="1">
        <w:r w:rsidR="006C7ACB" w:rsidRPr="009B5458">
          <w:rPr>
            <w:rStyle w:val="Hyperlink"/>
          </w:rPr>
          <w:t>1.</w:t>
        </w:r>
        <w:r w:rsidR="006C7ACB">
          <w:rPr>
            <w:rFonts w:asciiTheme="minorHAnsi" w:eastAsiaTheme="minorEastAsia" w:hAnsiTheme="minorHAnsi" w:cstheme="minorBidi"/>
            <w:b w:val="0"/>
            <w:kern w:val="2"/>
            <w:sz w:val="24"/>
            <w:szCs w:val="24"/>
            <w:lang w:eastAsia="en-AU"/>
            <w14:ligatures w14:val="standardContextual"/>
          </w:rPr>
          <w:tab/>
        </w:r>
        <w:r w:rsidR="006C7ACB" w:rsidRPr="009B5458">
          <w:rPr>
            <w:rStyle w:val="Hyperlink"/>
          </w:rPr>
          <w:t>Introduction</w:t>
        </w:r>
        <w:r w:rsidR="006C7ACB">
          <w:rPr>
            <w:webHidden/>
          </w:rPr>
          <w:tab/>
        </w:r>
        <w:r w:rsidR="006C7ACB">
          <w:rPr>
            <w:webHidden/>
          </w:rPr>
          <w:fldChar w:fldCharType="begin"/>
        </w:r>
        <w:r w:rsidR="006C7ACB">
          <w:rPr>
            <w:webHidden/>
          </w:rPr>
          <w:instrText xml:space="preserve"> PAGEREF _Toc202971732 \h </w:instrText>
        </w:r>
        <w:r w:rsidR="006C7ACB">
          <w:rPr>
            <w:webHidden/>
          </w:rPr>
        </w:r>
        <w:r w:rsidR="006C7ACB">
          <w:rPr>
            <w:webHidden/>
          </w:rPr>
          <w:fldChar w:fldCharType="separate"/>
        </w:r>
        <w:r w:rsidR="00DE0ED7">
          <w:rPr>
            <w:webHidden/>
          </w:rPr>
          <w:t>1</w:t>
        </w:r>
        <w:r w:rsidR="006C7ACB">
          <w:rPr>
            <w:webHidden/>
          </w:rPr>
          <w:fldChar w:fldCharType="end"/>
        </w:r>
      </w:hyperlink>
    </w:p>
    <w:p w14:paraId="6B00F18C" w14:textId="64C55AC7" w:rsidR="006C7ACB" w:rsidRDefault="006C7ACB">
      <w:pPr>
        <w:pStyle w:val="TOC2"/>
        <w:rPr>
          <w:rFonts w:asciiTheme="minorHAnsi" w:eastAsiaTheme="minorEastAsia" w:hAnsiTheme="minorHAnsi" w:cstheme="minorBidi"/>
          <w:kern w:val="2"/>
          <w:sz w:val="24"/>
          <w:szCs w:val="24"/>
          <w:lang w:eastAsia="en-AU"/>
          <w14:ligatures w14:val="standardContextual"/>
        </w:rPr>
      </w:pPr>
      <w:hyperlink w:anchor="_Toc202971733" w:history="1">
        <w:r w:rsidRPr="009B5458">
          <w:rPr>
            <w:rStyle w:val="Hyperlink"/>
          </w:rPr>
          <w:t>Key recommendations</w:t>
        </w:r>
        <w:r>
          <w:rPr>
            <w:webHidden/>
          </w:rPr>
          <w:tab/>
        </w:r>
        <w:r>
          <w:rPr>
            <w:webHidden/>
          </w:rPr>
          <w:fldChar w:fldCharType="begin"/>
        </w:r>
        <w:r>
          <w:rPr>
            <w:webHidden/>
          </w:rPr>
          <w:instrText xml:space="preserve"> PAGEREF _Toc202971733 \h </w:instrText>
        </w:r>
        <w:r>
          <w:rPr>
            <w:webHidden/>
          </w:rPr>
        </w:r>
        <w:r>
          <w:rPr>
            <w:webHidden/>
          </w:rPr>
          <w:fldChar w:fldCharType="separate"/>
        </w:r>
        <w:r w:rsidR="00DE0ED7">
          <w:rPr>
            <w:webHidden/>
          </w:rPr>
          <w:t>1</w:t>
        </w:r>
        <w:r>
          <w:rPr>
            <w:webHidden/>
          </w:rPr>
          <w:fldChar w:fldCharType="end"/>
        </w:r>
      </w:hyperlink>
    </w:p>
    <w:p w14:paraId="1E3F6C57" w14:textId="49A23774" w:rsidR="006C7ACB" w:rsidRDefault="006C7ACB">
      <w:pPr>
        <w:pStyle w:val="TOC2"/>
        <w:rPr>
          <w:rFonts w:asciiTheme="minorHAnsi" w:eastAsiaTheme="minorEastAsia" w:hAnsiTheme="minorHAnsi" w:cstheme="minorBidi"/>
          <w:kern w:val="2"/>
          <w:sz w:val="24"/>
          <w:szCs w:val="24"/>
          <w:lang w:eastAsia="en-AU"/>
          <w14:ligatures w14:val="standardContextual"/>
        </w:rPr>
      </w:pPr>
      <w:hyperlink w:anchor="_Toc202971734" w:history="1">
        <w:r w:rsidRPr="009B5458">
          <w:rPr>
            <w:rStyle w:val="Hyperlink"/>
          </w:rPr>
          <w:t>Background</w:t>
        </w:r>
        <w:r>
          <w:rPr>
            <w:webHidden/>
          </w:rPr>
          <w:tab/>
        </w:r>
        <w:r>
          <w:rPr>
            <w:webHidden/>
          </w:rPr>
          <w:fldChar w:fldCharType="begin"/>
        </w:r>
        <w:r>
          <w:rPr>
            <w:webHidden/>
          </w:rPr>
          <w:instrText xml:space="preserve"> PAGEREF _Toc202971734 \h </w:instrText>
        </w:r>
        <w:r>
          <w:rPr>
            <w:webHidden/>
          </w:rPr>
        </w:r>
        <w:r>
          <w:rPr>
            <w:webHidden/>
          </w:rPr>
          <w:fldChar w:fldCharType="separate"/>
        </w:r>
        <w:r w:rsidR="00DE0ED7">
          <w:rPr>
            <w:webHidden/>
          </w:rPr>
          <w:t>2</w:t>
        </w:r>
        <w:r>
          <w:rPr>
            <w:webHidden/>
          </w:rPr>
          <w:fldChar w:fldCharType="end"/>
        </w:r>
      </w:hyperlink>
    </w:p>
    <w:p w14:paraId="022C0F6A" w14:textId="0B7B3FCC" w:rsidR="006C7ACB" w:rsidRDefault="006C7AC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971735" w:history="1">
        <w:r w:rsidRPr="009B5458">
          <w:rPr>
            <w:rStyle w:val="Hyperlink"/>
          </w:rPr>
          <w:t>2.</w:t>
        </w:r>
        <w:r>
          <w:rPr>
            <w:rFonts w:asciiTheme="minorHAnsi" w:eastAsiaTheme="minorEastAsia" w:hAnsiTheme="minorHAnsi" w:cstheme="minorBidi"/>
            <w:b w:val="0"/>
            <w:kern w:val="2"/>
            <w:sz w:val="24"/>
            <w:szCs w:val="24"/>
            <w:lang w:eastAsia="en-AU"/>
            <w14:ligatures w14:val="standardContextual"/>
          </w:rPr>
          <w:tab/>
        </w:r>
        <w:r w:rsidRPr="009B5458">
          <w:rPr>
            <w:rStyle w:val="Hyperlink"/>
          </w:rPr>
          <w:t>Submission</w:t>
        </w:r>
        <w:r>
          <w:rPr>
            <w:webHidden/>
          </w:rPr>
          <w:tab/>
        </w:r>
        <w:r>
          <w:rPr>
            <w:webHidden/>
          </w:rPr>
          <w:fldChar w:fldCharType="begin"/>
        </w:r>
        <w:r>
          <w:rPr>
            <w:webHidden/>
          </w:rPr>
          <w:instrText xml:space="preserve"> PAGEREF _Toc202971735 \h </w:instrText>
        </w:r>
        <w:r>
          <w:rPr>
            <w:webHidden/>
          </w:rPr>
        </w:r>
        <w:r>
          <w:rPr>
            <w:webHidden/>
          </w:rPr>
          <w:fldChar w:fldCharType="separate"/>
        </w:r>
        <w:r w:rsidR="00DE0ED7">
          <w:rPr>
            <w:webHidden/>
          </w:rPr>
          <w:t>2</w:t>
        </w:r>
        <w:r>
          <w:rPr>
            <w:webHidden/>
          </w:rPr>
          <w:fldChar w:fldCharType="end"/>
        </w:r>
      </w:hyperlink>
    </w:p>
    <w:p w14:paraId="6F5805C2" w14:textId="68219702" w:rsidR="006C7ACB" w:rsidRDefault="006C7ACB">
      <w:pPr>
        <w:pStyle w:val="TOC2"/>
        <w:rPr>
          <w:rFonts w:asciiTheme="minorHAnsi" w:eastAsiaTheme="minorEastAsia" w:hAnsiTheme="minorHAnsi" w:cstheme="minorBidi"/>
          <w:kern w:val="2"/>
          <w:sz w:val="24"/>
          <w:szCs w:val="24"/>
          <w:lang w:eastAsia="en-AU"/>
          <w14:ligatures w14:val="standardContextual"/>
        </w:rPr>
      </w:pPr>
      <w:hyperlink w:anchor="_Toc202971736" w:history="1">
        <w:r w:rsidRPr="009B5458">
          <w:rPr>
            <w:rStyle w:val="Hyperlink"/>
          </w:rPr>
          <w:t>What adjustment to the values of the remuneration bands should the Tribunal consider, if any?</w:t>
        </w:r>
        <w:r>
          <w:rPr>
            <w:webHidden/>
          </w:rPr>
          <w:tab/>
        </w:r>
        <w:r>
          <w:rPr>
            <w:webHidden/>
          </w:rPr>
          <w:fldChar w:fldCharType="begin"/>
        </w:r>
        <w:r>
          <w:rPr>
            <w:webHidden/>
          </w:rPr>
          <w:instrText xml:space="preserve"> PAGEREF _Toc202971736 \h </w:instrText>
        </w:r>
        <w:r>
          <w:rPr>
            <w:webHidden/>
          </w:rPr>
        </w:r>
        <w:r>
          <w:rPr>
            <w:webHidden/>
          </w:rPr>
          <w:fldChar w:fldCharType="separate"/>
        </w:r>
        <w:r w:rsidR="00DE0ED7">
          <w:rPr>
            <w:webHidden/>
          </w:rPr>
          <w:t>2</w:t>
        </w:r>
        <w:r>
          <w:rPr>
            <w:webHidden/>
          </w:rPr>
          <w:fldChar w:fldCharType="end"/>
        </w:r>
      </w:hyperlink>
    </w:p>
    <w:p w14:paraId="1EE1E2C9" w14:textId="1C6D5212" w:rsidR="006C7ACB" w:rsidRDefault="006C7ACB">
      <w:pPr>
        <w:pStyle w:val="TOC2"/>
        <w:rPr>
          <w:rFonts w:asciiTheme="minorHAnsi" w:eastAsiaTheme="minorEastAsia" w:hAnsiTheme="minorHAnsi" w:cstheme="minorBidi"/>
          <w:kern w:val="2"/>
          <w:sz w:val="24"/>
          <w:szCs w:val="24"/>
          <w:lang w:eastAsia="en-AU"/>
          <w14:ligatures w14:val="standardContextual"/>
        </w:rPr>
      </w:pPr>
      <w:hyperlink w:anchor="_Toc202971737" w:history="1">
        <w:r w:rsidRPr="009B5458">
          <w:rPr>
            <w:rStyle w:val="Hyperlink"/>
            <w:rFonts w:eastAsia="MS Gothic"/>
          </w:rPr>
          <w:t>Which economic and financial indicators should the Tribunal consider in adjusting the values of the remuneration bands?</w:t>
        </w:r>
        <w:r>
          <w:rPr>
            <w:webHidden/>
          </w:rPr>
          <w:tab/>
        </w:r>
        <w:r>
          <w:rPr>
            <w:webHidden/>
          </w:rPr>
          <w:fldChar w:fldCharType="begin"/>
        </w:r>
        <w:r>
          <w:rPr>
            <w:webHidden/>
          </w:rPr>
          <w:instrText xml:space="preserve"> PAGEREF _Toc202971737 \h </w:instrText>
        </w:r>
        <w:r>
          <w:rPr>
            <w:webHidden/>
          </w:rPr>
        </w:r>
        <w:r>
          <w:rPr>
            <w:webHidden/>
          </w:rPr>
          <w:fldChar w:fldCharType="separate"/>
        </w:r>
        <w:r w:rsidR="00DE0ED7">
          <w:rPr>
            <w:webHidden/>
          </w:rPr>
          <w:t>2</w:t>
        </w:r>
        <w:r>
          <w:rPr>
            <w:webHidden/>
          </w:rPr>
          <w:fldChar w:fldCharType="end"/>
        </w:r>
      </w:hyperlink>
    </w:p>
    <w:p w14:paraId="5AC5F470" w14:textId="71EEAFAB" w:rsidR="006C7ACB" w:rsidRDefault="006C7ACB">
      <w:pPr>
        <w:pStyle w:val="TOC2"/>
        <w:rPr>
          <w:rFonts w:asciiTheme="minorHAnsi" w:eastAsiaTheme="minorEastAsia" w:hAnsiTheme="minorHAnsi" w:cstheme="minorBidi"/>
          <w:kern w:val="2"/>
          <w:sz w:val="24"/>
          <w:szCs w:val="24"/>
          <w:lang w:eastAsia="en-AU"/>
          <w14:ligatures w14:val="standardContextual"/>
        </w:rPr>
      </w:pPr>
      <w:hyperlink w:anchor="_Toc202971738" w:history="1">
        <w:r w:rsidRPr="009B5458">
          <w:rPr>
            <w:rStyle w:val="Hyperlink"/>
            <w:rFonts w:eastAsia="Times"/>
          </w:rPr>
          <w:t>What other matters should the Tribunal consider when making the Determination, if any, in addition to those listed in the VIRTIPS Act?</w:t>
        </w:r>
        <w:r>
          <w:rPr>
            <w:webHidden/>
          </w:rPr>
          <w:tab/>
        </w:r>
        <w:r>
          <w:rPr>
            <w:webHidden/>
          </w:rPr>
          <w:fldChar w:fldCharType="begin"/>
        </w:r>
        <w:r>
          <w:rPr>
            <w:webHidden/>
          </w:rPr>
          <w:instrText xml:space="preserve"> PAGEREF _Toc202971738 \h </w:instrText>
        </w:r>
        <w:r>
          <w:rPr>
            <w:webHidden/>
          </w:rPr>
        </w:r>
        <w:r>
          <w:rPr>
            <w:webHidden/>
          </w:rPr>
          <w:fldChar w:fldCharType="separate"/>
        </w:r>
        <w:r w:rsidR="00DE0ED7">
          <w:rPr>
            <w:webHidden/>
          </w:rPr>
          <w:t>5</w:t>
        </w:r>
        <w:r>
          <w:rPr>
            <w:webHidden/>
          </w:rPr>
          <w:fldChar w:fldCharType="end"/>
        </w:r>
      </w:hyperlink>
    </w:p>
    <w:p w14:paraId="773F4819" w14:textId="6FE08FE1" w:rsidR="006C7ACB" w:rsidRDefault="006C7AC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971739" w:history="1">
        <w:r w:rsidRPr="009B5458">
          <w:rPr>
            <w:rStyle w:val="Hyperlink"/>
          </w:rPr>
          <w:t>3.</w:t>
        </w:r>
        <w:r>
          <w:rPr>
            <w:rFonts w:asciiTheme="minorHAnsi" w:eastAsiaTheme="minorEastAsia" w:hAnsiTheme="minorHAnsi" w:cstheme="minorBidi"/>
            <w:b w:val="0"/>
            <w:kern w:val="2"/>
            <w:sz w:val="24"/>
            <w:szCs w:val="24"/>
            <w:lang w:eastAsia="en-AU"/>
            <w14:ligatures w14:val="standardContextual"/>
          </w:rPr>
          <w:tab/>
        </w:r>
        <w:r w:rsidRPr="009B5458">
          <w:rPr>
            <w:rStyle w:val="Hyperlink"/>
          </w:rPr>
          <w:t>Conclusion</w:t>
        </w:r>
        <w:r>
          <w:rPr>
            <w:webHidden/>
          </w:rPr>
          <w:tab/>
        </w:r>
        <w:r>
          <w:rPr>
            <w:webHidden/>
          </w:rPr>
          <w:fldChar w:fldCharType="begin"/>
        </w:r>
        <w:r>
          <w:rPr>
            <w:webHidden/>
          </w:rPr>
          <w:instrText xml:space="preserve"> PAGEREF _Toc202971739 \h </w:instrText>
        </w:r>
        <w:r>
          <w:rPr>
            <w:webHidden/>
          </w:rPr>
        </w:r>
        <w:r>
          <w:rPr>
            <w:webHidden/>
          </w:rPr>
          <w:fldChar w:fldCharType="separate"/>
        </w:r>
        <w:r w:rsidR="00DE0ED7">
          <w:rPr>
            <w:webHidden/>
          </w:rPr>
          <w:t>6</w:t>
        </w:r>
        <w:r>
          <w:rPr>
            <w:webHidden/>
          </w:rPr>
          <w:fldChar w:fldCharType="end"/>
        </w:r>
      </w:hyperlink>
    </w:p>
    <w:p w14:paraId="13445742" w14:textId="51BDD800" w:rsidR="00580394" w:rsidRPr="00B519CD" w:rsidRDefault="00AD784C" w:rsidP="007173CA">
      <w:pPr>
        <w:pStyle w:val="Body"/>
        <w:sectPr w:rsidR="00580394" w:rsidRPr="00B519CD" w:rsidSect="006A5FE9">
          <w:type w:val="continuous"/>
          <w:pgSz w:w="11906" w:h="16838" w:code="9"/>
          <w:pgMar w:top="851" w:right="851" w:bottom="851" w:left="851" w:header="851" w:footer="567" w:gutter="0"/>
          <w:cols w:space="340"/>
          <w:titlePg/>
          <w:docGrid w:linePitch="360"/>
        </w:sectPr>
      </w:pPr>
      <w:r>
        <w:fldChar w:fldCharType="end"/>
      </w:r>
    </w:p>
    <w:p w14:paraId="3FD43261" w14:textId="77777777" w:rsidR="00F32368" w:rsidRPr="00F32368" w:rsidRDefault="00F32368" w:rsidP="00F32368">
      <w:pPr>
        <w:pStyle w:val="Body"/>
      </w:pPr>
      <w:bookmarkStart w:id="1" w:name="_Hlk41913885"/>
    </w:p>
    <w:p w14:paraId="6500107F" w14:textId="2A6B9414" w:rsidR="008A5D60" w:rsidRPr="00C44141" w:rsidRDefault="00EB4276" w:rsidP="00A21C80">
      <w:pPr>
        <w:pStyle w:val="Heading1"/>
        <w:numPr>
          <w:ilvl w:val="0"/>
          <w:numId w:val="12"/>
        </w:numPr>
        <w:spacing w:line="280" w:lineRule="atLeast"/>
      </w:pPr>
      <w:bookmarkStart w:id="2" w:name="_Toc202971732"/>
      <w:bookmarkEnd w:id="1"/>
      <w:r>
        <w:t>Introduction</w:t>
      </w:r>
      <w:bookmarkEnd w:id="2"/>
    </w:p>
    <w:p w14:paraId="20AA58F0" w14:textId="0CE89B65" w:rsidR="008B03C9" w:rsidRDefault="00477ABA" w:rsidP="00A21C80">
      <w:pPr>
        <w:textAlignment w:val="baseline"/>
        <w:rPr>
          <w:rFonts w:cs="Segoe UI"/>
          <w:lang w:eastAsia="en-AU"/>
        </w:rPr>
      </w:pPr>
      <w:r w:rsidRPr="00477ABA">
        <w:rPr>
          <w:rFonts w:cs="Segoe UI"/>
          <w:lang w:eastAsia="en-AU"/>
        </w:rPr>
        <w:t>As Victoria’s Public Sector Gender Equality Commissioner (Commissioner), I</w:t>
      </w:r>
      <w:r w:rsidRPr="00477ABA">
        <w:rPr>
          <w:rFonts w:ascii="Cambria" w:hAnsi="Cambria" w:cs="Cambria"/>
          <w:lang w:eastAsia="en-AU"/>
        </w:rPr>
        <w:t> </w:t>
      </w:r>
      <w:r w:rsidRPr="00477ABA">
        <w:rPr>
          <w:rFonts w:cs="Segoe UI"/>
          <w:lang w:eastAsia="en-AU"/>
        </w:rPr>
        <w:t>welcome the</w:t>
      </w:r>
      <w:r w:rsidRPr="00477ABA">
        <w:rPr>
          <w:rFonts w:ascii="Cambria" w:hAnsi="Cambria" w:cs="Cambria"/>
          <w:lang w:eastAsia="en-AU"/>
        </w:rPr>
        <w:t> </w:t>
      </w:r>
      <w:r w:rsidRPr="00477ABA">
        <w:rPr>
          <w:rFonts w:cs="Segoe UI"/>
          <w:lang w:eastAsia="en-AU"/>
        </w:rPr>
        <w:t>opportunity to</w:t>
      </w:r>
      <w:r w:rsidRPr="00477ABA">
        <w:rPr>
          <w:rFonts w:ascii="Cambria" w:hAnsi="Cambria" w:cs="Cambria"/>
          <w:lang w:eastAsia="en-AU"/>
        </w:rPr>
        <w:t> </w:t>
      </w:r>
      <w:r w:rsidRPr="00477ABA">
        <w:rPr>
          <w:rFonts w:cs="Segoe UI"/>
          <w:lang w:eastAsia="en-AU"/>
        </w:rPr>
        <w:t>provide</w:t>
      </w:r>
      <w:r w:rsidRPr="00477ABA">
        <w:rPr>
          <w:rFonts w:ascii="Cambria" w:hAnsi="Cambria" w:cs="Cambria"/>
          <w:lang w:eastAsia="en-AU"/>
        </w:rPr>
        <w:t> </w:t>
      </w:r>
      <w:r w:rsidRPr="00477ABA">
        <w:rPr>
          <w:rFonts w:cs="Segoe UI"/>
          <w:lang w:eastAsia="en-AU"/>
        </w:rPr>
        <w:t>a</w:t>
      </w:r>
      <w:r w:rsidRPr="00477ABA">
        <w:rPr>
          <w:rFonts w:ascii="Cambria" w:hAnsi="Cambria" w:cs="Cambria"/>
          <w:lang w:eastAsia="en-AU"/>
        </w:rPr>
        <w:t> </w:t>
      </w:r>
      <w:r w:rsidRPr="00477ABA">
        <w:rPr>
          <w:rFonts w:cs="Segoe UI"/>
          <w:lang w:eastAsia="en-AU"/>
        </w:rPr>
        <w:t>submission</w:t>
      </w:r>
      <w:r w:rsidRPr="00477ABA">
        <w:rPr>
          <w:rFonts w:ascii="Cambria" w:hAnsi="Cambria" w:cs="Cambria"/>
          <w:lang w:eastAsia="en-AU"/>
        </w:rPr>
        <w:t> </w:t>
      </w:r>
      <w:r w:rsidRPr="00477ABA">
        <w:rPr>
          <w:rFonts w:cs="Segoe UI"/>
          <w:lang w:eastAsia="en-AU"/>
        </w:rPr>
        <w:t>to the Victorian Independent Remuneration Tribunal’s (Tribunal) 202</w:t>
      </w:r>
      <w:r>
        <w:rPr>
          <w:rFonts w:cs="Segoe UI"/>
          <w:lang w:eastAsia="en-AU"/>
        </w:rPr>
        <w:t>5</w:t>
      </w:r>
      <w:r w:rsidRPr="00477ABA">
        <w:rPr>
          <w:rFonts w:cs="Segoe UI"/>
          <w:lang w:eastAsia="en-AU"/>
        </w:rPr>
        <w:t xml:space="preserve"> </w:t>
      </w:r>
      <w:r w:rsidR="00F8027B">
        <w:rPr>
          <w:rFonts w:cs="Segoe UI"/>
          <w:lang w:eastAsia="en-AU"/>
        </w:rPr>
        <w:t>d</w:t>
      </w:r>
      <w:r w:rsidRPr="00477ABA">
        <w:rPr>
          <w:rFonts w:cs="Segoe UI"/>
          <w:lang w:eastAsia="en-AU"/>
        </w:rPr>
        <w:t xml:space="preserve">etermination </w:t>
      </w:r>
      <w:r w:rsidR="0049038A">
        <w:rPr>
          <w:rFonts w:cs="Segoe UI"/>
          <w:lang w:eastAsia="en-AU"/>
        </w:rPr>
        <w:t xml:space="preserve">adjusting the values </w:t>
      </w:r>
      <w:r w:rsidRPr="00477ABA">
        <w:rPr>
          <w:rFonts w:cs="Segoe UI"/>
          <w:lang w:eastAsia="en-AU"/>
        </w:rPr>
        <w:t xml:space="preserve">of </w:t>
      </w:r>
      <w:r w:rsidR="0049038A">
        <w:rPr>
          <w:rFonts w:cs="Segoe UI"/>
          <w:lang w:eastAsia="en-AU"/>
        </w:rPr>
        <w:t xml:space="preserve">the </w:t>
      </w:r>
      <w:r w:rsidRPr="00477ABA">
        <w:rPr>
          <w:rFonts w:cs="Segoe UI"/>
          <w:lang w:eastAsia="en-AU"/>
        </w:rPr>
        <w:t>remuneration bands for executives employed in</w:t>
      </w:r>
      <w:r w:rsidR="0049038A">
        <w:rPr>
          <w:rFonts w:cs="Segoe UI"/>
          <w:lang w:eastAsia="en-AU"/>
        </w:rPr>
        <w:t xml:space="preserve"> Victorian</w:t>
      </w:r>
      <w:r w:rsidRPr="00477ABA">
        <w:rPr>
          <w:rFonts w:cs="Segoe UI"/>
          <w:lang w:eastAsia="en-AU"/>
        </w:rPr>
        <w:t xml:space="preserve"> </w:t>
      </w:r>
      <w:r w:rsidR="0049038A">
        <w:rPr>
          <w:rFonts w:cs="Segoe UI"/>
          <w:lang w:eastAsia="en-AU"/>
        </w:rPr>
        <w:t>P</w:t>
      </w:r>
      <w:r w:rsidRPr="00477ABA">
        <w:rPr>
          <w:rFonts w:cs="Segoe UI"/>
          <w:lang w:eastAsia="en-AU"/>
        </w:rPr>
        <w:t xml:space="preserve">ublic </w:t>
      </w:r>
      <w:r w:rsidR="0049038A">
        <w:rPr>
          <w:rFonts w:cs="Segoe UI"/>
          <w:lang w:eastAsia="en-AU"/>
        </w:rPr>
        <w:t>S</w:t>
      </w:r>
      <w:r w:rsidRPr="00477ABA">
        <w:rPr>
          <w:rFonts w:cs="Segoe UI"/>
          <w:lang w:eastAsia="en-AU"/>
        </w:rPr>
        <w:t>ervice</w:t>
      </w:r>
      <w:r w:rsidR="0049038A">
        <w:rPr>
          <w:rFonts w:cs="Segoe UI"/>
          <w:lang w:eastAsia="en-AU"/>
        </w:rPr>
        <w:t xml:space="preserve"> (VPS)</w:t>
      </w:r>
      <w:r w:rsidRPr="00477ABA">
        <w:rPr>
          <w:rFonts w:cs="Segoe UI"/>
          <w:lang w:eastAsia="en-AU"/>
        </w:rPr>
        <w:t xml:space="preserve"> bodies (the </w:t>
      </w:r>
      <w:r w:rsidR="00F8027B">
        <w:rPr>
          <w:rFonts w:cs="Segoe UI"/>
          <w:lang w:eastAsia="en-AU"/>
        </w:rPr>
        <w:t>D</w:t>
      </w:r>
      <w:r w:rsidRPr="00477ABA">
        <w:rPr>
          <w:rFonts w:cs="Segoe UI"/>
          <w:lang w:eastAsia="en-AU"/>
        </w:rPr>
        <w:t>etermination).</w:t>
      </w:r>
    </w:p>
    <w:p w14:paraId="54C03755" w14:textId="29EAF5B0" w:rsidR="00477ABA" w:rsidRDefault="00477ABA" w:rsidP="00A21C80">
      <w:pPr>
        <w:textAlignment w:val="baseline"/>
        <w:rPr>
          <w:rFonts w:cs="Segoe UI"/>
          <w:lang w:eastAsia="en-AU"/>
        </w:rPr>
      </w:pPr>
      <w:r w:rsidRPr="008B03C9">
        <w:rPr>
          <w:rFonts w:cs="Segoe UI"/>
          <w:lang w:eastAsia="en-AU"/>
        </w:rPr>
        <w:t xml:space="preserve">The below views and recommendations are based on my experience in implementing </w:t>
      </w:r>
      <w:r w:rsidR="00A96FCE">
        <w:rPr>
          <w:rFonts w:cs="Segoe UI"/>
          <w:lang w:eastAsia="en-AU"/>
        </w:rPr>
        <w:t xml:space="preserve">Victoria’s </w:t>
      </w:r>
      <w:r w:rsidR="00A96FCE" w:rsidRPr="00A96FCE">
        <w:rPr>
          <w:rFonts w:cs="Segoe UI"/>
          <w:i/>
          <w:iCs/>
          <w:lang w:eastAsia="en-AU"/>
        </w:rPr>
        <w:t>Gender Equality Act 2020</w:t>
      </w:r>
      <w:r w:rsidR="00A96FCE">
        <w:rPr>
          <w:rFonts w:cs="Segoe UI"/>
          <w:lang w:eastAsia="en-AU"/>
        </w:rPr>
        <w:t xml:space="preserve"> (</w:t>
      </w:r>
      <w:r w:rsidR="00261B51">
        <w:rPr>
          <w:rFonts w:cs="Segoe UI"/>
          <w:lang w:eastAsia="en-AU"/>
        </w:rPr>
        <w:t xml:space="preserve">the </w:t>
      </w:r>
      <w:r w:rsidR="00A96FCE">
        <w:rPr>
          <w:rFonts w:cs="Segoe UI"/>
          <w:lang w:eastAsia="en-AU"/>
        </w:rPr>
        <w:t>Act)</w:t>
      </w:r>
      <w:r w:rsidRPr="008B03C9">
        <w:rPr>
          <w:rFonts w:cs="Segoe UI"/>
          <w:lang w:eastAsia="en-AU"/>
        </w:rPr>
        <w:t>, as well as my</w:t>
      </w:r>
      <w:r w:rsidRPr="008B03C9">
        <w:rPr>
          <w:rFonts w:ascii="Cambria" w:hAnsi="Cambria" w:cs="Cambria"/>
          <w:lang w:eastAsia="en-AU"/>
        </w:rPr>
        <w:t> </w:t>
      </w:r>
      <w:r w:rsidRPr="008B03C9">
        <w:rPr>
          <w:rFonts w:cs="Segoe UI"/>
          <w:lang w:eastAsia="en-AU"/>
        </w:rPr>
        <w:t>previous</w:t>
      </w:r>
      <w:r w:rsidRPr="008B03C9">
        <w:rPr>
          <w:rFonts w:ascii="Cambria" w:hAnsi="Cambria" w:cs="Cambria"/>
          <w:lang w:eastAsia="en-AU"/>
        </w:rPr>
        <w:t> </w:t>
      </w:r>
      <w:r w:rsidRPr="008B03C9">
        <w:rPr>
          <w:rFonts w:cs="Segoe UI"/>
          <w:lang w:eastAsia="en-AU"/>
        </w:rPr>
        <w:t>experience serving as the South Australian Commissioner for Equal Opportunity and administering the South Australian</w:t>
      </w:r>
      <w:r w:rsidRPr="008B03C9">
        <w:rPr>
          <w:rFonts w:cs="Segoe UI"/>
          <w:i/>
          <w:iCs/>
          <w:lang w:eastAsia="en-AU"/>
        </w:rPr>
        <w:t xml:space="preserve"> Equal Opportunity Act 1984</w:t>
      </w:r>
      <w:r w:rsidRPr="008B03C9">
        <w:rPr>
          <w:rFonts w:cs="Segoe UI"/>
          <w:lang w:eastAsia="en-AU"/>
        </w:rPr>
        <w:t xml:space="preserve"> and serving as Tribunal Member on the South Australian Remuneration Tribunal</w:t>
      </w:r>
      <w:r w:rsidRPr="008B03C9" w:rsidDel="00E007E6">
        <w:rPr>
          <w:rFonts w:cs="Segoe UI"/>
          <w:lang w:eastAsia="en-AU"/>
        </w:rPr>
        <w:t>.</w:t>
      </w:r>
    </w:p>
    <w:p w14:paraId="2399CDA3" w14:textId="02E73228" w:rsidR="00F6109C" w:rsidRPr="00F653FA" w:rsidRDefault="00F6109C" w:rsidP="00A21C80">
      <w:pPr>
        <w:textAlignment w:val="baseline"/>
        <w:rPr>
          <w:rFonts w:cs="Segoe UI"/>
          <w:lang w:eastAsia="en-AU"/>
        </w:rPr>
      </w:pPr>
      <w:r w:rsidRPr="00E83AA3">
        <w:t>Ensuring a gendered lens is applied to executive remuneration bands is critical to target the reduction of the gender pay gap and improve gender equality outcomes.</w:t>
      </w:r>
      <w:r>
        <w:rPr>
          <w:rFonts w:cs="Segoe UI"/>
          <w:lang w:eastAsia="en-AU"/>
        </w:rPr>
        <w:t xml:space="preserve"> </w:t>
      </w:r>
      <w:r w:rsidR="0040082F">
        <w:rPr>
          <w:rFonts w:cs="Segoe UI"/>
          <w:lang w:eastAsia="en-AU"/>
        </w:rPr>
        <w:t xml:space="preserve">I </w:t>
      </w:r>
      <w:r w:rsidR="00477ABA" w:rsidRPr="008B03C9">
        <w:rPr>
          <w:rFonts w:cs="Segoe UI"/>
          <w:lang w:eastAsia="en-AU"/>
        </w:rPr>
        <w:t xml:space="preserve">would welcome the opportunity to </w:t>
      </w:r>
      <w:r w:rsidR="0040082F">
        <w:rPr>
          <w:rFonts w:cs="Segoe UI"/>
          <w:lang w:eastAsia="en-AU"/>
        </w:rPr>
        <w:t>meet with the</w:t>
      </w:r>
      <w:r w:rsidR="00477ABA" w:rsidRPr="008B03C9">
        <w:rPr>
          <w:rFonts w:cs="Segoe UI"/>
          <w:lang w:eastAsia="en-AU"/>
        </w:rPr>
        <w:t xml:space="preserve"> Tribunal to further</w:t>
      </w:r>
      <w:r w:rsidR="00366917">
        <w:rPr>
          <w:rFonts w:cs="Segoe UI"/>
          <w:lang w:eastAsia="en-AU"/>
        </w:rPr>
        <w:t xml:space="preserve"> discuss</w:t>
      </w:r>
      <w:r w:rsidR="00477ABA" w:rsidRPr="008B03C9">
        <w:rPr>
          <w:rFonts w:cs="Segoe UI"/>
          <w:lang w:eastAsia="en-AU"/>
        </w:rPr>
        <w:t xml:space="preserve"> the gender pay gap at the executive level, and</w:t>
      </w:r>
      <w:r w:rsidR="00366917">
        <w:rPr>
          <w:rFonts w:cs="Segoe UI"/>
          <w:lang w:eastAsia="en-AU"/>
        </w:rPr>
        <w:t xml:space="preserve"> the recommendations I have made throughout this submission</w:t>
      </w:r>
      <w:r w:rsidR="00477ABA" w:rsidRPr="008B03C9">
        <w:rPr>
          <w:rFonts w:cs="Segoe UI"/>
          <w:lang w:eastAsia="en-AU"/>
        </w:rPr>
        <w:t>.</w:t>
      </w:r>
    </w:p>
    <w:p w14:paraId="5406CEF7" w14:textId="6B3D7749" w:rsidR="003D7E30" w:rsidRDefault="00F653FA" w:rsidP="00A21C80">
      <w:pPr>
        <w:pStyle w:val="Heading2"/>
        <w:spacing w:line="280" w:lineRule="atLeast"/>
      </w:pPr>
      <w:bookmarkStart w:id="3" w:name="_Toc202971733"/>
      <w:r>
        <w:t>Key recommendations</w:t>
      </w:r>
      <w:bookmarkEnd w:id="3"/>
    </w:p>
    <w:p w14:paraId="1D8D5B64" w14:textId="3DD13CD5" w:rsidR="00F8027B" w:rsidRPr="00CF4D73" w:rsidRDefault="00D45CFE" w:rsidP="00A21C80">
      <w:pPr>
        <w:pStyle w:val="Numberdigit"/>
        <w:numPr>
          <w:ilvl w:val="0"/>
          <w:numId w:val="3"/>
        </w:numPr>
      </w:pPr>
      <w:r>
        <w:t>The Tribunal should explicitly consider the prevailing executive gender pay gap in the VPS as a key economic indicator.</w:t>
      </w:r>
    </w:p>
    <w:p w14:paraId="6F7749FF" w14:textId="1F17877B" w:rsidR="00F8027B" w:rsidRDefault="00911467" w:rsidP="00A21C80">
      <w:pPr>
        <w:pStyle w:val="Numberdigit"/>
        <w:numPr>
          <w:ilvl w:val="0"/>
          <w:numId w:val="3"/>
        </w:numPr>
      </w:pPr>
      <w:r>
        <w:t>The Tribunal should explicitly consider gendered segregation in the VPS as a key economic indicator.</w:t>
      </w:r>
    </w:p>
    <w:p w14:paraId="47EEF50C" w14:textId="66541510" w:rsidR="008A5D60" w:rsidRDefault="002F4AA2" w:rsidP="00A21C80">
      <w:pPr>
        <w:pStyle w:val="Numberdigit"/>
        <w:numPr>
          <w:ilvl w:val="0"/>
          <w:numId w:val="3"/>
        </w:numPr>
      </w:pPr>
      <w:r>
        <w:lastRenderedPageBreak/>
        <w:t xml:space="preserve">The Tribunal should ban the practice of </w:t>
      </w:r>
      <w:r w:rsidRPr="00E153AC">
        <w:rPr>
          <w:szCs w:val="21"/>
        </w:rPr>
        <w:t>asking for or relying on a</w:t>
      </w:r>
      <w:r>
        <w:rPr>
          <w:szCs w:val="21"/>
        </w:rPr>
        <w:t xml:space="preserve"> </w:t>
      </w:r>
      <w:r w:rsidRPr="00E153AC">
        <w:rPr>
          <w:szCs w:val="21"/>
        </w:rPr>
        <w:t>candidate's salary history in the recruitment</w:t>
      </w:r>
      <w:r>
        <w:rPr>
          <w:szCs w:val="21"/>
        </w:rPr>
        <w:t>, promotion</w:t>
      </w:r>
      <w:r w:rsidRPr="00E153AC">
        <w:rPr>
          <w:szCs w:val="21"/>
        </w:rPr>
        <w:t xml:space="preserve"> and remuneration of public sector executives</w:t>
      </w:r>
      <w:r>
        <w:rPr>
          <w:szCs w:val="21"/>
        </w:rPr>
        <w:t>.</w:t>
      </w:r>
    </w:p>
    <w:p w14:paraId="2AB2189C" w14:textId="4D15923A" w:rsidR="00F653FA" w:rsidRDefault="00F653FA" w:rsidP="00A21C80">
      <w:pPr>
        <w:pStyle w:val="Heading2"/>
        <w:spacing w:line="280" w:lineRule="atLeast"/>
      </w:pPr>
      <w:bookmarkStart w:id="4" w:name="_Toc202971734"/>
      <w:r>
        <w:t>Background</w:t>
      </w:r>
      <w:bookmarkEnd w:id="4"/>
    </w:p>
    <w:p w14:paraId="353BA6C0" w14:textId="5C61E2FB" w:rsidR="008A5D60" w:rsidRPr="0038129A" w:rsidRDefault="008763A7" w:rsidP="00A21C80">
      <w:pPr>
        <w:pStyle w:val="Heading3"/>
        <w:spacing w:line="280" w:lineRule="atLeast"/>
      </w:pPr>
      <w:bookmarkStart w:id="5" w:name="_Hlk202873576"/>
      <w:r>
        <w:t>Victoria’s Gender Equality Act</w:t>
      </w:r>
      <w:r w:rsidR="00F37EF7">
        <w:t xml:space="preserve"> 2020</w:t>
      </w:r>
    </w:p>
    <w:p w14:paraId="269B7FA1" w14:textId="77777777" w:rsidR="00D67792" w:rsidRDefault="00F37EF7" w:rsidP="00A21C80">
      <w:pPr>
        <w:pStyle w:val="Body"/>
        <w:rPr>
          <w:rFonts w:cs="Arial"/>
        </w:rPr>
      </w:pPr>
      <w:r>
        <w:t xml:space="preserve">The Act </w:t>
      </w:r>
      <w:r w:rsidR="00261B51">
        <w:t xml:space="preserve">which came into effect on 31 March 2021, is the first of its kind in Australia and is recognised globally as leading workplace gender equality legislation. The Act </w:t>
      </w:r>
      <w:bookmarkEnd w:id="5"/>
      <w:r w:rsidR="00261B51">
        <w:t xml:space="preserve">requires over 300 Victorian public sector organisations, universities and local councils with 50 or more employees (‘duty holders’) to take positive action to improve gender equality outcomes. </w:t>
      </w:r>
      <w:r w:rsidR="00D67792">
        <w:rPr>
          <w:rFonts w:cs="Arial"/>
        </w:rPr>
        <w:t>In particular, duty holders are required to:</w:t>
      </w:r>
    </w:p>
    <w:p w14:paraId="367C0F64" w14:textId="77777777" w:rsidR="00D67792" w:rsidRDefault="00D67792" w:rsidP="00A21C80">
      <w:pPr>
        <w:pStyle w:val="Bullet1"/>
      </w:pPr>
      <w:r>
        <w:t xml:space="preserve">conduct a workplace gender audit and develop a Gender Equality Action Plan (GEAP) every four years; </w:t>
      </w:r>
    </w:p>
    <w:p w14:paraId="5067493E" w14:textId="77777777" w:rsidR="00D67792" w:rsidRDefault="00D67792" w:rsidP="00A21C80">
      <w:pPr>
        <w:pStyle w:val="Bullet1"/>
      </w:pPr>
      <w:r>
        <w:t>make reasonable and material progress in relation to the seven workplace gender equality indicators and their GEAP strategies and measures, and report on this progress every two years;</w:t>
      </w:r>
    </w:p>
    <w:p w14:paraId="2571A82A" w14:textId="77777777" w:rsidR="00D67792" w:rsidRDefault="00D67792" w:rsidP="00A21C80">
      <w:pPr>
        <w:pStyle w:val="Bullet1"/>
      </w:pPr>
      <w:r>
        <w:t>undertake a gender impact assessment (GIA) when developing or reviewing policies, programs and services that have a direct and significant impact on the public, and report on these GIAs in their progress reports; and</w:t>
      </w:r>
    </w:p>
    <w:p w14:paraId="144D2887" w14:textId="77777777" w:rsidR="00D67792" w:rsidRDefault="00D67792" w:rsidP="00A21C80">
      <w:pPr>
        <w:pStyle w:val="Bullet1"/>
      </w:pPr>
      <w:r>
        <w:t>consider and promote gender equality and take necessary and proportionate action towards achieving workplace gender equality.</w:t>
      </w:r>
    </w:p>
    <w:p w14:paraId="108DAE65" w14:textId="6F1891A4" w:rsidR="00261B51" w:rsidRPr="00C217EA" w:rsidRDefault="00DE0A89" w:rsidP="00A21C80">
      <w:pPr>
        <w:pStyle w:val="Body"/>
        <w:rPr>
          <w:lang w:val="fr-FR"/>
        </w:rPr>
      </w:pPr>
      <w:r>
        <w:t>In addition</w:t>
      </w:r>
      <w:r w:rsidR="00C217EA">
        <w:t xml:space="preserve"> </w:t>
      </w:r>
      <w:r w:rsidR="00261B51">
        <w:t xml:space="preserve">to these core obligations, the Act includes a dispute resolution function, which allows the Commissioner to consider systemic gender equality issues referred to them, where there is a referral power in an enterprise agreement or workplace determination. </w:t>
      </w:r>
    </w:p>
    <w:p w14:paraId="2D775D8E" w14:textId="77777777" w:rsidR="00A21C80" w:rsidRDefault="00E66E6A" w:rsidP="00A21C80">
      <w:pPr>
        <w:pStyle w:val="Body"/>
        <w:rPr>
          <w:rFonts w:cs="Arial"/>
        </w:rPr>
      </w:pPr>
      <w:r w:rsidRPr="3997CF01">
        <w:rPr>
          <w:rFonts w:cs="Arial"/>
        </w:rPr>
        <w:t>As you</w:t>
      </w:r>
      <w:r>
        <w:rPr>
          <w:rFonts w:cs="Arial"/>
        </w:rPr>
        <w:t xml:space="preserve"> may be</w:t>
      </w:r>
      <w:r w:rsidRPr="3997CF01">
        <w:rPr>
          <w:rFonts w:cs="Arial"/>
        </w:rPr>
        <w:t xml:space="preserve"> aware, </w:t>
      </w:r>
      <w:r>
        <w:rPr>
          <w:rFonts w:cs="Arial"/>
        </w:rPr>
        <w:t xml:space="preserve">the GE Act is ground-breaking in its recognition that gender inequality may be compounded by other forms of disadvantage or discrimination that a person may experience on the basis of their Aboriginality, age, disability, ethnicity, gender identity, race, religion, sexual orientation, and other attributes. </w:t>
      </w:r>
    </w:p>
    <w:p w14:paraId="6589F0B6" w14:textId="1E7945CC" w:rsidR="00E66E6A" w:rsidRDefault="00E66E6A" w:rsidP="00A21C80">
      <w:pPr>
        <w:pStyle w:val="Body"/>
        <w:rPr>
          <w:rFonts w:cs="Arial"/>
        </w:rPr>
      </w:pPr>
      <w:r w:rsidRPr="1AB081F0">
        <w:rPr>
          <w:rFonts w:cs="Arial"/>
        </w:rPr>
        <w:t>As part of fulfilling their requirements under the</w:t>
      </w:r>
      <w:r>
        <w:rPr>
          <w:rFonts w:cs="Arial"/>
        </w:rPr>
        <w:t xml:space="preserve"> GE</w:t>
      </w:r>
      <w:r w:rsidRPr="1AB081F0">
        <w:rPr>
          <w:rFonts w:cs="Arial"/>
        </w:rPr>
        <w:t xml:space="preserve"> Act</w:t>
      </w:r>
      <w:r>
        <w:rPr>
          <w:rFonts w:cs="Arial"/>
        </w:rPr>
        <w:t xml:space="preserve">, duty holders are required to consider intersectionality when conducting their workplace gender audits, in the development of their GEAPs, and where practicable, when undertaking GIAs. </w:t>
      </w:r>
    </w:p>
    <w:p w14:paraId="25021E72" w14:textId="77777777" w:rsidR="00F653FA" w:rsidRPr="00C44141" w:rsidRDefault="00F653FA" w:rsidP="00E46B7F">
      <w:pPr>
        <w:pStyle w:val="Heading1"/>
        <w:numPr>
          <w:ilvl w:val="0"/>
          <w:numId w:val="12"/>
        </w:numPr>
        <w:spacing w:line="280" w:lineRule="atLeast"/>
        <w:ind w:left="284" w:hanging="284"/>
      </w:pPr>
      <w:bookmarkStart w:id="6" w:name="_Toc202971735"/>
      <w:r>
        <w:t>Submission</w:t>
      </w:r>
      <w:bookmarkEnd w:id="6"/>
    </w:p>
    <w:p w14:paraId="3B054BC6" w14:textId="0EA710E9" w:rsidR="00FA518A" w:rsidRDefault="00FA518A" w:rsidP="00E46B7F">
      <w:pPr>
        <w:pStyle w:val="Heading2"/>
        <w:spacing w:before="120" w:line="280" w:lineRule="atLeast"/>
      </w:pPr>
      <w:bookmarkStart w:id="7" w:name="_Toc202971736"/>
      <w:r>
        <w:t>What adjustment to the values of the remuneration bands should the Tribunal consider, if any?</w:t>
      </w:r>
      <w:bookmarkEnd w:id="7"/>
    </w:p>
    <w:p w14:paraId="58D072F8" w14:textId="77777777" w:rsidR="00A21C80" w:rsidRDefault="007B0700" w:rsidP="00E46B7F">
      <w:pPr>
        <w:spacing w:before="120"/>
      </w:pPr>
      <w:r>
        <w:t xml:space="preserve">I do not wish to make a substantive submission in relation to this consultation question. </w:t>
      </w:r>
    </w:p>
    <w:p w14:paraId="574CEC15" w14:textId="06432433" w:rsidR="000F5232" w:rsidRDefault="007B0700" w:rsidP="00E46B7F">
      <w:pPr>
        <w:spacing w:before="120"/>
      </w:pPr>
      <w:r>
        <w:t>However, I note that a</w:t>
      </w:r>
      <w:r w:rsidR="00091E22">
        <w:t>ny adjustment to the remuneration bands must be carefully considered for its potential impact on the</w:t>
      </w:r>
      <w:r w:rsidR="00B34D81">
        <w:t xml:space="preserve"> executive level</w:t>
      </w:r>
      <w:r w:rsidR="00091E22">
        <w:t xml:space="preserve"> gender pay gap</w:t>
      </w:r>
      <w:r w:rsidR="00614B08">
        <w:t>, discussed below</w:t>
      </w:r>
      <w:r w:rsidR="00091E22">
        <w:t>. A blanket increase without accompanying measures to address underlying inequities could inadvertently widen th</w:t>
      </w:r>
      <w:r w:rsidR="00614B08">
        <w:t>is</w:t>
      </w:r>
      <w:r w:rsidR="00091E22">
        <w:t xml:space="preserve"> gap.</w:t>
      </w:r>
    </w:p>
    <w:p w14:paraId="6123D80B" w14:textId="16EEB052" w:rsidR="00E153AC" w:rsidRPr="00130735" w:rsidRDefault="00E153AC" w:rsidP="00E46B7F">
      <w:pPr>
        <w:pStyle w:val="Heading2"/>
        <w:spacing w:before="120" w:line="280" w:lineRule="atLeast"/>
        <w:rPr>
          <w:rFonts w:eastAsia="MS Gothic"/>
        </w:rPr>
      </w:pPr>
      <w:bookmarkStart w:id="8" w:name="_Toc202971737"/>
      <w:r w:rsidRPr="00E153AC">
        <w:rPr>
          <w:rFonts w:eastAsia="MS Gothic"/>
        </w:rPr>
        <w:t>Which economic and financial indicators should the Tribunal consider in adjusting the values of the remuneration bands?</w:t>
      </w:r>
      <w:bookmarkEnd w:id="8"/>
    </w:p>
    <w:p w14:paraId="0A86DD9C" w14:textId="41A6DDEB" w:rsidR="003724B1" w:rsidRPr="00122A59" w:rsidRDefault="004D45AF" w:rsidP="00E46B7F">
      <w:pPr>
        <w:spacing w:before="120"/>
        <w:rPr>
          <w:rFonts w:eastAsia="Times"/>
          <w:szCs w:val="21"/>
        </w:rPr>
      </w:pPr>
      <w:r w:rsidRPr="00122A59">
        <w:rPr>
          <w:rFonts w:eastAsia="Times"/>
          <w:szCs w:val="21"/>
        </w:rPr>
        <w:t xml:space="preserve">In addition to the </w:t>
      </w:r>
      <w:r w:rsidR="0052670B" w:rsidRPr="00122A59">
        <w:rPr>
          <w:rFonts w:eastAsia="Times"/>
          <w:szCs w:val="21"/>
        </w:rPr>
        <w:t>key economic indicators published by the Australia Bureau of Statistics, the Tribunal should consider</w:t>
      </w:r>
      <w:r w:rsidR="00122A59" w:rsidRPr="00122A59">
        <w:rPr>
          <w:rFonts w:eastAsia="Times"/>
          <w:szCs w:val="21"/>
        </w:rPr>
        <w:t xml:space="preserve"> </w:t>
      </w:r>
      <w:r w:rsidR="00E153AC" w:rsidRPr="00E153AC">
        <w:rPr>
          <w:rFonts w:eastAsia="Times"/>
          <w:szCs w:val="21"/>
        </w:rPr>
        <w:t>indicators that reflect the economic imperative of gender equality</w:t>
      </w:r>
      <w:r w:rsidR="00001559" w:rsidRPr="00122A59">
        <w:rPr>
          <w:rFonts w:eastAsia="Times"/>
          <w:szCs w:val="21"/>
        </w:rPr>
        <w:t>, including the gender pay gap</w:t>
      </w:r>
      <w:r w:rsidR="0057019E">
        <w:rPr>
          <w:rFonts w:eastAsia="Times"/>
          <w:szCs w:val="21"/>
        </w:rPr>
        <w:t xml:space="preserve"> (including the superannuation gap) and </w:t>
      </w:r>
      <w:r w:rsidR="007967EC" w:rsidRPr="00122A59">
        <w:rPr>
          <w:rFonts w:eastAsia="Times"/>
          <w:szCs w:val="21"/>
        </w:rPr>
        <w:t xml:space="preserve">labour market segregation. </w:t>
      </w:r>
    </w:p>
    <w:p w14:paraId="370D584F" w14:textId="65CED4D0" w:rsidR="003724B1" w:rsidRDefault="00F6109C" w:rsidP="00E46B7F">
      <w:pPr>
        <w:pStyle w:val="Heading3"/>
        <w:spacing w:before="120" w:line="280" w:lineRule="atLeast"/>
      </w:pPr>
      <w:r>
        <w:lastRenderedPageBreak/>
        <w:t xml:space="preserve">The gender pay gap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4A0" w:firstRow="1" w:lastRow="0" w:firstColumn="1" w:lastColumn="0" w:noHBand="0" w:noVBand="1"/>
      </w:tblPr>
      <w:tblGrid>
        <w:gridCol w:w="10194"/>
      </w:tblGrid>
      <w:tr w:rsidR="00C46CC8" w14:paraId="7AB79AA6" w14:textId="77777777" w:rsidTr="00130735">
        <w:tc>
          <w:tcPr>
            <w:tcW w:w="10194" w:type="dxa"/>
            <w:shd w:val="clear" w:color="auto" w:fill="E5DFEC" w:themeFill="accent4" w:themeFillTint="33"/>
          </w:tcPr>
          <w:p w14:paraId="107BDC1A" w14:textId="19C2C1A8" w:rsidR="00130735" w:rsidRDefault="00130735" w:rsidP="00E46B7F">
            <w:pPr>
              <w:pStyle w:val="Body"/>
              <w:spacing w:before="120"/>
            </w:pPr>
            <w:r>
              <w:t xml:space="preserve">Recommendation 1: The Tribunal </w:t>
            </w:r>
            <w:r w:rsidR="002774F2">
              <w:t>should explicitly consider the prevailing executive gender pay gap in the VPS as a key e</w:t>
            </w:r>
            <w:r w:rsidR="00AF6324">
              <w:t>conomic indicator.</w:t>
            </w:r>
          </w:p>
        </w:tc>
      </w:tr>
    </w:tbl>
    <w:p w14:paraId="598B7A0A" w14:textId="77777777" w:rsidR="00174730" w:rsidRPr="00174730" w:rsidRDefault="00174730" w:rsidP="00E46B7F">
      <w:pPr>
        <w:keepNext/>
        <w:keepLines/>
        <w:spacing w:before="120"/>
        <w:outlineLvl w:val="3"/>
        <w:rPr>
          <w:rFonts w:eastAsia="MS Mincho"/>
          <w:b/>
          <w:bCs/>
          <w:color w:val="7030A0"/>
          <w:sz w:val="24"/>
          <w:szCs w:val="22"/>
        </w:rPr>
      </w:pPr>
      <w:r w:rsidRPr="00174730">
        <w:rPr>
          <w:rFonts w:eastAsia="MS Mincho"/>
          <w:b/>
          <w:bCs/>
          <w:color w:val="7030A0"/>
          <w:sz w:val="24"/>
          <w:szCs w:val="22"/>
        </w:rPr>
        <w:t>The prevailing executive gender pay gap in the VPS</w:t>
      </w:r>
    </w:p>
    <w:p w14:paraId="56D5A819" w14:textId="58A586BA" w:rsidR="00174730" w:rsidRPr="00174730" w:rsidRDefault="00174730" w:rsidP="00E46B7F">
      <w:pPr>
        <w:spacing w:before="120"/>
        <w:textAlignment w:val="baseline"/>
        <w:rPr>
          <w:rFonts w:cs="Segoe UI"/>
          <w:lang w:eastAsia="en-AU"/>
        </w:rPr>
      </w:pPr>
      <w:r w:rsidRPr="00174730">
        <w:rPr>
          <w:rFonts w:eastAsiaTheme="minorEastAsia"/>
        </w:rPr>
        <w:t>As of June 2024, the median gender pay gap at the executive level in the VPS was 7.5%, down from 7.9% in 2023.</w:t>
      </w:r>
      <w:r w:rsidRPr="00174730">
        <w:rPr>
          <w:rFonts w:eastAsiaTheme="minorEastAsia"/>
          <w:vertAlign w:val="superscript"/>
        </w:rPr>
        <w:footnoteReference w:id="2"/>
      </w:r>
      <w:r w:rsidRPr="00174730">
        <w:rPr>
          <w:rFonts w:eastAsiaTheme="minorEastAsia"/>
        </w:rPr>
        <w:t xml:space="preserve"> While </w:t>
      </w:r>
      <w:r w:rsidR="0060231C">
        <w:rPr>
          <w:rFonts w:eastAsiaTheme="minorEastAsia"/>
        </w:rPr>
        <w:t>this</w:t>
      </w:r>
      <w:r w:rsidRPr="00174730">
        <w:rPr>
          <w:rFonts w:eastAsiaTheme="minorEastAsia"/>
        </w:rPr>
        <w:t xml:space="preserve"> reduction is welcome, the continued existence of this gap, favouring male executives, demonstrates that more targeted interventions are required to address </w:t>
      </w:r>
      <w:r w:rsidR="00AD7DC8">
        <w:rPr>
          <w:rFonts w:eastAsiaTheme="minorEastAsia"/>
        </w:rPr>
        <w:t>its</w:t>
      </w:r>
      <w:r w:rsidRPr="00174730">
        <w:rPr>
          <w:rFonts w:eastAsiaTheme="minorEastAsia"/>
        </w:rPr>
        <w:t xml:space="preserve"> underlying drivers. </w:t>
      </w:r>
    </w:p>
    <w:p w14:paraId="3FCA938E" w14:textId="20B28395" w:rsidR="00174730" w:rsidRDefault="00174730" w:rsidP="00E46B7F">
      <w:pPr>
        <w:spacing w:before="120"/>
        <w:rPr>
          <w:rFonts w:eastAsia="Times"/>
        </w:rPr>
      </w:pPr>
      <w:r w:rsidRPr="00174730">
        <w:rPr>
          <w:rFonts w:eastAsia="Times"/>
        </w:rPr>
        <w:t xml:space="preserve">My office recently published an </w:t>
      </w:r>
      <w:hyperlink r:id="rId16" w:history="1">
        <w:r w:rsidRPr="00174730">
          <w:rPr>
            <w:rFonts w:eastAsia="Times"/>
            <w:color w:val="5C308D"/>
            <w:u w:val="dotted"/>
          </w:rPr>
          <w:t>Insights Report on the Gender Pay Gap</w:t>
        </w:r>
      </w:hyperlink>
      <w:r w:rsidR="00882D0F">
        <w:rPr>
          <w:rFonts w:eastAsia="Times"/>
        </w:rPr>
        <w:t xml:space="preserve"> (CGEPS Insights Report)</w:t>
      </w:r>
      <w:r w:rsidRPr="00174730">
        <w:rPr>
          <w:rFonts w:eastAsia="Times"/>
        </w:rPr>
        <w:t xml:space="preserve"> providing a detailed analysis of the </w:t>
      </w:r>
      <w:r w:rsidR="00AD7DC8">
        <w:rPr>
          <w:rFonts w:eastAsia="Times"/>
        </w:rPr>
        <w:t xml:space="preserve">pay gap </w:t>
      </w:r>
      <w:r w:rsidRPr="00174730">
        <w:rPr>
          <w:rFonts w:eastAsia="Times"/>
        </w:rPr>
        <w:t>data submitted to me by duty-holders under the Act in 2023.</w:t>
      </w:r>
      <w:r w:rsidR="00352782">
        <w:rPr>
          <w:rFonts w:eastAsia="Times"/>
        </w:rPr>
        <w:t xml:space="preserve"> </w:t>
      </w:r>
      <w:r w:rsidRPr="00174730">
        <w:rPr>
          <w:rFonts w:eastAsia="Times"/>
        </w:rPr>
        <w:t xml:space="preserve">The report highlights that </w:t>
      </w:r>
      <w:r w:rsidR="006D5CC6">
        <w:rPr>
          <w:noProof/>
          <w:lang w:eastAsia="en-AU"/>
        </w:rPr>
        <w:t>g</w:t>
      </w:r>
      <w:r w:rsidR="006D5CC6" w:rsidRPr="00C24AF7">
        <w:rPr>
          <w:noProof/>
          <w:lang w:eastAsia="en-AU"/>
        </w:rPr>
        <w:t>ender bias and discrimination</w:t>
      </w:r>
      <w:r w:rsidR="00970C7B">
        <w:rPr>
          <w:noProof/>
          <w:lang w:eastAsia="en-AU"/>
        </w:rPr>
        <w:t xml:space="preserve"> </w:t>
      </w:r>
      <w:r w:rsidR="00945D9A">
        <w:rPr>
          <w:rFonts w:cs="Arial"/>
          <w:noProof/>
          <w:lang w:eastAsia="en-AU"/>
        </w:rPr>
        <w:t>—</w:t>
      </w:r>
      <w:r w:rsidR="00945D9A">
        <w:rPr>
          <w:noProof/>
          <w:lang w:eastAsia="en-AU"/>
        </w:rPr>
        <w:t xml:space="preserve"> </w:t>
      </w:r>
      <w:r w:rsidR="00970C7B">
        <w:rPr>
          <w:noProof/>
          <w:lang w:eastAsia="en-AU"/>
        </w:rPr>
        <w:t>the biggest driver of the gender pay gap</w:t>
      </w:r>
      <w:r w:rsidR="00970C7B">
        <w:rPr>
          <w:rStyle w:val="FootnoteReference"/>
          <w:noProof/>
          <w:lang w:eastAsia="en-AU"/>
        </w:rPr>
        <w:footnoteReference w:id="3"/>
      </w:r>
      <w:r w:rsidR="00945D9A">
        <w:rPr>
          <w:noProof/>
          <w:lang w:eastAsia="en-AU"/>
        </w:rPr>
        <w:t xml:space="preserve"> </w:t>
      </w:r>
      <w:r w:rsidR="00945D9A">
        <w:rPr>
          <w:rFonts w:cs="Arial"/>
          <w:noProof/>
          <w:lang w:eastAsia="en-AU"/>
        </w:rPr>
        <w:t>—</w:t>
      </w:r>
      <w:r w:rsidR="006D5CC6" w:rsidRPr="00C24AF7">
        <w:rPr>
          <w:noProof/>
          <w:lang w:eastAsia="en-AU"/>
        </w:rPr>
        <w:t xml:space="preserve"> appears in many workplace practices</w:t>
      </w:r>
      <w:r w:rsidR="006D5CC6">
        <w:rPr>
          <w:noProof/>
          <w:lang w:eastAsia="en-AU"/>
        </w:rPr>
        <w:t xml:space="preserve">, including those relating to recuritment, promotion, training opportunities, and pay decisions. </w:t>
      </w:r>
      <w:r w:rsidR="00F419AF">
        <w:rPr>
          <w:noProof/>
          <w:lang w:eastAsia="en-AU"/>
        </w:rPr>
        <w:t xml:space="preserve">In fact, the data submitted to me revealed that </w:t>
      </w:r>
      <w:r w:rsidRPr="00174730">
        <w:rPr>
          <w:rFonts w:eastAsia="Times"/>
        </w:rPr>
        <w:t>men continue to receive a disproportionate share of career development training opportunities, secondments, higher duties and promotions</w:t>
      </w:r>
      <w:r w:rsidR="00F419AF">
        <w:rPr>
          <w:rFonts w:eastAsia="Times"/>
        </w:rPr>
        <w:t xml:space="preserve"> in the VPS</w:t>
      </w:r>
      <w:r w:rsidR="00352782">
        <w:rPr>
          <w:rFonts w:eastAsia="Times"/>
        </w:rPr>
        <w:t xml:space="preserve">: </w:t>
      </w:r>
      <w:r w:rsidRPr="00174730">
        <w:rPr>
          <w:rFonts w:eastAsia="Times"/>
        </w:rPr>
        <w:t>men received almost 46% of higher duties opportunities and almost 41% of promotions and secondments, despite being only 34% of the workforce.</w:t>
      </w:r>
    </w:p>
    <w:p w14:paraId="1B769A34" w14:textId="431BE803" w:rsidR="008140A3" w:rsidRPr="00174730" w:rsidRDefault="008140A3" w:rsidP="00E46B7F">
      <w:pPr>
        <w:spacing w:before="120"/>
        <w:rPr>
          <w:rFonts w:eastAsia="Times"/>
        </w:rPr>
      </w:pPr>
      <w:r>
        <w:rPr>
          <w:rFonts w:eastAsia="Times"/>
        </w:rPr>
        <w:t xml:space="preserve">Another key driver of the gender pay gap is </w:t>
      </w:r>
      <w:r w:rsidR="005E5FFF">
        <w:rPr>
          <w:rFonts w:eastAsia="Times"/>
        </w:rPr>
        <w:t xml:space="preserve">gendered segregation at the occupation and industry levels. This is discussed further below, in relation to my second recommendation. </w:t>
      </w:r>
    </w:p>
    <w:p w14:paraId="7362009D" w14:textId="77F9A8B8" w:rsidR="002C5ECB" w:rsidRDefault="002C5ECB" w:rsidP="00E46B7F">
      <w:pPr>
        <w:pStyle w:val="Heading4"/>
        <w:spacing w:before="120" w:after="120"/>
      </w:pPr>
      <w:r>
        <w:t xml:space="preserve">The gender pay gap as an </w:t>
      </w:r>
      <w:r w:rsidR="00B21263">
        <w:t>economic indicator</w:t>
      </w:r>
    </w:p>
    <w:p w14:paraId="3B5C9FCB" w14:textId="360FDE1D" w:rsidR="003724B1" w:rsidRDefault="003724B1" w:rsidP="00E46B7F">
      <w:pPr>
        <w:pStyle w:val="Bullet1"/>
        <w:numPr>
          <w:ilvl w:val="0"/>
          <w:numId w:val="0"/>
        </w:numPr>
        <w:spacing w:before="120" w:after="120"/>
        <w:rPr>
          <w:rFonts w:eastAsiaTheme="minorEastAsia"/>
        </w:rPr>
      </w:pPr>
      <w:r w:rsidRPr="00E83AA3">
        <w:t>A</w:t>
      </w:r>
      <w:r>
        <w:t>s outlined above, a</w:t>
      </w:r>
      <w:r w:rsidRPr="00E83AA3">
        <w:t xml:space="preserve">chieving pay equity in the </w:t>
      </w:r>
      <w:r w:rsidR="00AF6324">
        <w:t>VPS</w:t>
      </w:r>
      <w:r w:rsidRPr="00E83AA3">
        <w:t xml:space="preserve"> is a key workplace gender equality indicator under the </w:t>
      </w:r>
      <w:r w:rsidR="00A428F5">
        <w:t xml:space="preserve">GE </w:t>
      </w:r>
      <w:r w:rsidRPr="00E83AA3">
        <w:t>Act.</w:t>
      </w:r>
      <w:r w:rsidR="005F10DC">
        <w:t xml:space="preserve"> </w:t>
      </w:r>
      <w:r w:rsidRPr="59C23AA6">
        <w:rPr>
          <w:rFonts w:eastAsiaTheme="minorEastAsia"/>
        </w:rPr>
        <w:t xml:space="preserve">The importance of reducing the gender pay gap is </w:t>
      </w:r>
      <w:r>
        <w:rPr>
          <w:rFonts w:eastAsiaTheme="minorEastAsia"/>
        </w:rPr>
        <w:t xml:space="preserve">also </w:t>
      </w:r>
      <w:r w:rsidRPr="59C23AA6">
        <w:rPr>
          <w:rFonts w:eastAsiaTheme="minorEastAsia"/>
        </w:rPr>
        <w:t>reflected in Minister for Women’s pay equity targets under ‘</w:t>
      </w:r>
      <w:hyperlink r:id="rId17">
        <w:r>
          <w:rPr>
            <w:rStyle w:val="Hyperlink"/>
            <w:rFonts w:eastAsiaTheme="minorEastAsia"/>
          </w:rPr>
          <w:t>Our equal state: Victoria's gender equality strategy and action plan 2023-2027'</w:t>
        </w:r>
      </w:hyperlink>
      <w:r>
        <w:rPr>
          <w:rFonts w:eastAsiaTheme="minorEastAsia"/>
        </w:rPr>
        <w:t xml:space="preserve"> (‘Our Equal State’).</w:t>
      </w:r>
      <w:r>
        <w:rPr>
          <w:rStyle w:val="FootnoteReference"/>
          <w:rFonts w:eastAsiaTheme="minorEastAsia"/>
        </w:rPr>
        <w:footnoteReference w:id="4"/>
      </w:r>
      <w:r w:rsidRPr="59C23AA6">
        <w:rPr>
          <w:rFonts w:eastAsiaTheme="minorEastAsia"/>
        </w:rPr>
        <w:t xml:space="preserve"> In particular, Our </w:t>
      </w:r>
      <w:r>
        <w:rPr>
          <w:rFonts w:eastAsiaTheme="minorEastAsia"/>
        </w:rPr>
        <w:t>E</w:t>
      </w:r>
      <w:r w:rsidRPr="59C23AA6">
        <w:rPr>
          <w:rFonts w:eastAsiaTheme="minorEastAsia"/>
        </w:rPr>
        <w:t xml:space="preserve">qual </w:t>
      </w:r>
      <w:r>
        <w:rPr>
          <w:rFonts w:eastAsiaTheme="minorEastAsia"/>
        </w:rPr>
        <w:t>S</w:t>
      </w:r>
      <w:r w:rsidRPr="59C23AA6">
        <w:rPr>
          <w:rFonts w:eastAsiaTheme="minorEastAsia"/>
        </w:rPr>
        <w:t xml:space="preserve">tate </w:t>
      </w:r>
      <w:r>
        <w:rPr>
          <w:rFonts w:eastAsiaTheme="minorEastAsia"/>
        </w:rPr>
        <w:t>sets</w:t>
      </w:r>
      <w:r w:rsidRPr="59C23AA6">
        <w:rPr>
          <w:rFonts w:eastAsiaTheme="minorEastAsia"/>
        </w:rPr>
        <w:t xml:space="preserve"> a target to halve the gender pay gap in the </w:t>
      </w:r>
      <w:r>
        <w:rPr>
          <w:rFonts w:eastAsiaTheme="minorEastAsia"/>
        </w:rPr>
        <w:t>VPS</w:t>
      </w:r>
      <w:r w:rsidRPr="59C23AA6">
        <w:rPr>
          <w:rFonts w:eastAsiaTheme="minorEastAsia"/>
        </w:rPr>
        <w:t xml:space="preserve"> in </w:t>
      </w:r>
      <w:r>
        <w:rPr>
          <w:rFonts w:eastAsiaTheme="minorEastAsia"/>
        </w:rPr>
        <w:t>five</w:t>
      </w:r>
      <w:r w:rsidRPr="59C23AA6">
        <w:rPr>
          <w:rFonts w:eastAsiaTheme="minorEastAsia"/>
        </w:rPr>
        <w:t xml:space="preserve"> years.</w:t>
      </w:r>
      <w:r>
        <w:rPr>
          <w:rFonts w:eastAsiaTheme="minorEastAsia"/>
        </w:rPr>
        <w:t xml:space="preserve"> It also has an action to reach gender parity in CEO and other senior leadership roles in each portfolio in the </w:t>
      </w:r>
      <w:r w:rsidR="0010404F">
        <w:rPr>
          <w:rFonts w:eastAsiaTheme="minorEastAsia"/>
        </w:rPr>
        <w:t>VPS</w:t>
      </w:r>
      <w:r>
        <w:rPr>
          <w:rFonts w:eastAsiaTheme="minorEastAsia"/>
        </w:rPr>
        <w:t xml:space="preserve"> within five years. </w:t>
      </w:r>
    </w:p>
    <w:p w14:paraId="21290EBC" w14:textId="1B2D1CF0" w:rsidR="00AD4C5A" w:rsidRDefault="00AD4C5A" w:rsidP="00E46B7F">
      <w:pPr>
        <w:pStyle w:val="Bullet1"/>
        <w:numPr>
          <w:ilvl w:val="0"/>
          <w:numId w:val="0"/>
        </w:numPr>
        <w:spacing w:before="120" w:after="120"/>
        <w:rPr>
          <w:rFonts w:eastAsiaTheme="minorEastAsia"/>
        </w:rPr>
      </w:pPr>
      <w:r w:rsidRPr="00AD4C5A">
        <w:rPr>
          <w:rFonts w:eastAsiaTheme="minorEastAsia"/>
        </w:rPr>
        <w:t xml:space="preserve">The gender pay gap is a critical economic indicator because it reveals underlying inefficiencies in the labour market and has significant consequences for economic growth, productivity, and overall prosperity. </w:t>
      </w:r>
      <w:r w:rsidR="00627408">
        <w:rPr>
          <w:rFonts w:eastAsiaTheme="minorEastAsia"/>
        </w:rPr>
        <w:t>In particular, the gender pay gap acts as an indicator of:</w:t>
      </w:r>
    </w:p>
    <w:p w14:paraId="6E47CDB1" w14:textId="24E4E14E" w:rsidR="006B243D" w:rsidRPr="00AD4C5A" w:rsidRDefault="00AD4C5A" w:rsidP="006B243D">
      <w:pPr>
        <w:pStyle w:val="Bullet1"/>
        <w:spacing w:before="120" w:after="120"/>
      </w:pPr>
      <w:r w:rsidRPr="00AD4C5A">
        <w:rPr>
          <w:rFonts w:eastAsiaTheme="minorEastAsia"/>
          <w:b/>
          <w:bCs/>
        </w:rPr>
        <w:t xml:space="preserve">Labour </w:t>
      </w:r>
      <w:r w:rsidR="0033352A">
        <w:rPr>
          <w:rFonts w:eastAsiaTheme="minorEastAsia"/>
          <w:b/>
          <w:bCs/>
        </w:rPr>
        <w:t>m</w:t>
      </w:r>
      <w:r w:rsidRPr="00AD4C5A">
        <w:rPr>
          <w:rFonts w:eastAsiaTheme="minorEastAsia"/>
          <w:b/>
          <w:bCs/>
        </w:rPr>
        <w:t xml:space="preserve">arket </w:t>
      </w:r>
      <w:r w:rsidR="0033352A">
        <w:rPr>
          <w:rFonts w:eastAsiaTheme="minorEastAsia"/>
          <w:b/>
          <w:bCs/>
        </w:rPr>
        <w:t>i</w:t>
      </w:r>
      <w:r w:rsidRPr="00AD4C5A">
        <w:rPr>
          <w:rFonts w:eastAsiaTheme="minorEastAsia"/>
          <w:b/>
          <w:bCs/>
        </w:rPr>
        <w:t xml:space="preserve">nefficiency and </w:t>
      </w:r>
      <w:r w:rsidR="0033352A">
        <w:rPr>
          <w:rFonts w:eastAsiaTheme="minorEastAsia"/>
          <w:b/>
          <w:bCs/>
        </w:rPr>
        <w:t>t</w:t>
      </w:r>
      <w:r w:rsidRPr="00AD4C5A">
        <w:rPr>
          <w:rFonts w:eastAsiaTheme="minorEastAsia"/>
          <w:b/>
          <w:bCs/>
        </w:rPr>
        <w:t xml:space="preserve">alent </w:t>
      </w:r>
      <w:r w:rsidR="0033352A">
        <w:rPr>
          <w:rFonts w:eastAsiaTheme="minorEastAsia"/>
          <w:b/>
          <w:bCs/>
        </w:rPr>
        <w:t>m</w:t>
      </w:r>
      <w:r w:rsidRPr="00AD4C5A">
        <w:rPr>
          <w:rFonts w:eastAsiaTheme="minorEastAsia"/>
          <w:b/>
          <w:bCs/>
        </w:rPr>
        <w:t>isallocation</w:t>
      </w:r>
      <w:r w:rsidR="0033352A">
        <w:t xml:space="preserve">: </w:t>
      </w:r>
      <w:r w:rsidR="0033352A">
        <w:rPr>
          <w:rFonts w:eastAsiaTheme="minorEastAsia"/>
        </w:rPr>
        <w:t>a</w:t>
      </w:r>
      <w:r w:rsidRPr="00AD4C5A">
        <w:rPr>
          <w:rFonts w:eastAsiaTheme="minorEastAsia"/>
        </w:rPr>
        <w:t xml:space="preserve"> persistent and significant gender pay gap suggests that wages are not being determined solely by skill, experience, and productivity. Instead, a non-economic factor</w:t>
      </w:r>
      <w:r w:rsidR="0010404F">
        <w:rPr>
          <w:rFonts w:eastAsiaTheme="minorEastAsia"/>
        </w:rPr>
        <w:t xml:space="preserve"> </w:t>
      </w:r>
      <w:r w:rsidR="0010404F">
        <w:rPr>
          <w:rFonts w:eastAsiaTheme="minorEastAsia" w:cs="Arial"/>
        </w:rPr>
        <w:t>—</w:t>
      </w:r>
      <w:r w:rsidRPr="00AD4C5A">
        <w:rPr>
          <w:rFonts w:eastAsiaTheme="minorEastAsia"/>
        </w:rPr>
        <w:t xml:space="preserve"> gender </w:t>
      </w:r>
      <w:r w:rsidR="0010404F">
        <w:rPr>
          <w:rFonts w:eastAsiaTheme="minorEastAsia" w:cs="Arial"/>
        </w:rPr>
        <w:t>—</w:t>
      </w:r>
      <w:r w:rsidR="0010404F">
        <w:rPr>
          <w:rFonts w:eastAsiaTheme="minorEastAsia"/>
        </w:rPr>
        <w:t xml:space="preserve"> i</w:t>
      </w:r>
      <w:r w:rsidRPr="00AD4C5A">
        <w:rPr>
          <w:rFonts w:eastAsiaTheme="minorEastAsia"/>
        </w:rPr>
        <w:t>s influencing compensation</w:t>
      </w:r>
      <w:r w:rsidR="0033352A">
        <w:rPr>
          <w:rFonts w:eastAsiaTheme="minorEastAsia"/>
        </w:rPr>
        <w:t xml:space="preserve">, leading to the market’s </w:t>
      </w:r>
      <w:r w:rsidRPr="00AD4C5A">
        <w:rPr>
          <w:rFonts w:eastAsiaTheme="minorEastAsia"/>
        </w:rPr>
        <w:t>inefficient pricing the labour of women.</w:t>
      </w:r>
      <w:r w:rsidR="0033352A">
        <w:rPr>
          <w:rFonts w:eastAsiaTheme="minorEastAsia"/>
        </w:rPr>
        <w:t xml:space="preserve"> Further, </w:t>
      </w:r>
      <w:r w:rsidR="0033352A">
        <w:t>i</w:t>
      </w:r>
      <w:r w:rsidRPr="00AD4C5A">
        <w:rPr>
          <w:rFonts w:eastAsiaTheme="minorEastAsia"/>
        </w:rPr>
        <w:t>f women are systematically paid less, they may be discouraged from entering or remaining in certain high-value professions. This leads to a misallocation</w:t>
      </w:r>
      <w:r w:rsidR="006C2FC9">
        <w:rPr>
          <w:rFonts w:eastAsiaTheme="minorEastAsia"/>
        </w:rPr>
        <w:t xml:space="preserve"> and underutilisation</w:t>
      </w:r>
      <w:r w:rsidRPr="00AD4C5A">
        <w:rPr>
          <w:rFonts w:eastAsiaTheme="minorEastAsia"/>
        </w:rPr>
        <w:t xml:space="preserve"> of talent, where the most skilled individuals may not be in the most suitable roles, hindering innovation and productivity for individual </w:t>
      </w:r>
      <w:r w:rsidR="0033352A">
        <w:rPr>
          <w:rFonts w:eastAsiaTheme="minorEastAsia"/>
        </w:rPr>
        <w:t>entities</w:t>
      </w:r>
      <w:r w:rsidRPr="00AD4C5A">
        <w:rPr>
          <w:rFonts w:eastAsiaTheme="minorEastAsia"/>
        </w:rPr>
        <w:t xml:space="preserve"> and the entire economy.</w:t>
      </w:r>
      <w:r w:rsidR="0023748C">
        <w:rPr>
          <w:rStyle w:val="FootnoteReference"/>
          <w:rFonts w:eastAsiaTheme="minorEastAsia"/>
        </w:rPr>
        <w:footnoteReference w:id="5"/>
      </w:r>
      <w:r w:rsidR="006B77BF">
        <w:rPr>
          <w:rFonts w:eastAsiaTheme="minorEastAsia"/>
        </w:rPr>
        <w:t xml:space="preserve"> </w:t>
      </w:r>
      <w:r w:rsidR="00F26B45" w:rsidRPr="006B243D">
        <w:rPr>
          <w:rStyle w:val="BodyChar"/>
        </w:rPr>
        <w:t>Evidence suggests that ‘</w:t>
      </w:r>
      <w:r w:rsidR="00F26B45" w:rsidRPr="006B243D">
        <w:rPr>
          <w:color w:val="287E84"/>
          <w:sz w:val="22"/>
          <w:szCs w:val="18"/>
        </w:rPr>
        <w:t xml:space="preserve">we </w:t>
      </w:r>
      <w:r w:rsidR="00D506B7" w:rsidRPr="006B243D">
        <w:rPr>
          <w:color w:val="287E84"/>
          <w:sz w:val="22"/>
          <w:szCs w:val="18"/>
        </w:rPr>
        <w:t xml:space="preserve">could add $128 </w:t>
      </w:r>
      <w:r w:rsidR="00D506B7" w:rsidRPr="006B243D">
        <w:rPr>
          <w:color w:val="287E84"/>
          <w:sz w:val="22"/>
          <w:szCs w:val="18"/>
        </w:rPr>
        <w:lastRenderedPageBreak/>
        <w:t>billion to the economy through boosting women’s workforce participation and productivity growth if we tackle the factors holding women back</w:t>
      </w:r>
      <w:r w:rsidR="00D506B7">
        <w:rPr>
          <w:rFonts w:cs="Arial"/>
          <w:color w:val="343A40"/>
          <w:shd w:val="clear" w:color="auto" w:fill="FFFFFF"/>
        </w:rPr>
        <w:t>’.</w:t>
      </w:r>
      <w:r w:rsidR="00D506B7">
        <w:rPr>
          <w:rStyle w:val="FootnoteReference"/>
          <w:rFonts w:cs="Arial"/>
          <w:color w:val="343A40"/>
          <w:shd w:val="clear" w:color="auto" w:fill="FFFFFF"/>
        </w:rPr>
        <w:footnoteReference w:id="6"/>
      </w:r>
    </w:p>
    <w:p w14:paraId="6FCCB8B9" w14:textId="3C02CB2F" w:rsidR="00AD4C5A" w:rsidRPr="00AD4C5A" w:rsidRDefault="00AD4C5A" w:rsidP="00E46B7F">
      <w:pPr>
        <w:pStyle w:val="Bullet1"/>
        <w:spacing w:before="120" w:after="120"/>
        <w:rPr>
          <w:rFonts w:eastAsiaTheme="minorEastAsia"/>
          <w:b/>
          <w:bCs/>
        </w:rPr>
      </w:pPr>
      <w:r w:rsidRPr="00AD4C5A">
        <w:rPr>
          <w:rFonts w:eastAsiaTheme="minorEastAsia"/>
          <w:b/>
          <w:bCs/>
        </w:rPr>
        <w:t xml:space="preserve">Household and </w:t>
      </w:r>
      <w:r w:rsidR="0033352A">
        <w:rPr>
          <w:rFonts w:eastAsiaTheme="minorEastAsia"/>
          <w:b/>
          <w:bCs/>
        </w:rPr>
        <w:t>n</w:t>
      </w:r>
      <w:r w:rsidRPr="00AD4C5A">
        <w:rPr>
          <w:rFonts w:eastAsiaTheme="minorEastAsia"/>
          <w:b/>
          <w:bCs/>
        </w:rPr>
        <w:t xml:space="preserve">ational </w:t>
      </w:r>
      <w:r w:rsidR="0033352A">
        <w:rPr>
          <w:rFonts w:eastAsiaTheme="minorEastAsia"/>
          <w:b/>
          <w:bCs/>
        </w:rPr>
        <w:t>e</w:t>
      </w:r>
      <w:r w:rsidRPr="00AD4C5A">
        <w:rPr>
          <w:rFonts w:eastAsiaTheme="minorEastAsia"/>
          <w:b/>
          <w:bCs/>
        </w:rPr>
        <w:t xml:space="preserve">conomic </w:t>
      </w:r>
      <w:r w:rsidR="0033352A">
        <w:rPr>
          <w:rFonts w:eastAsiaTheme="minorEastAsia"/>
          <w:b/>
          <w:bCs/>
        </w:rPr>
        <w:t>h</w:t>
      </w:r>
      <w:r w:rsidRPr="00AD4C5A">
        <w:rPr>
          <w:rFonts w:eastAsiaTheme="minorEastAsia"/>
          <w:b/>
          <w:bCs/>
        </w:rPr>
        <w:t>ealth</w:t>
      </w:r>
      <w:r w:rsidR="0033352A" w:rsidRPr="0033352A">
        <w:rPr>
          <w:rFonts w:eastAsiaTheme="minorEastAsia"/>
        </w:rPr>
        <w:t>: t</w:t>
      </w:r>
      <w:r w:rsidRPr="00AD4C5A">
        <w:rPr>
          <w:rFonts w:eastAsiaTheme="minorEastAsia"/>
        </w:rPr>
        <w:t>he gender pay gap directly reduces the potential income of households where women are earners. In dual-income households, it suppresses the total family income. For single-parent households headed by women, the impact is even more severe.</w:t>
      </w:r>
      <w:r w:rsidR="002519BD">
        <w:rPr>
          <w:rFonts w:eastAsiaTheme="minorEastAsia"/>
          <w:b/>
          <w:bCs/>
        </w:rPr>
        <w:t xml:space="preserve"> </w:t>
      </w:r>
      <w:r w:rsidRPr="00AD4C5A">
        <w:rPr>
          <w:rFonts w:eastAsiaTheme="minorEastAsia"/>
        </w:rPr>
        <w:t xml:space="preserve">With less disposable income, women and their families spend less on goods and services, which can dampen overall economic growth </w:t>
      </w:r>
      <w:r w:rsidR="0037780A">
        <w:rPr>
          <w:rFonts w:eastAsiaTheme="minorEastAsia"/>
        </w:rPr>
        <w:t>(</w:t>
      </w:r>
      <w:r w:rsidRPr="00AD4C5A">
        <w:rPr>
          <w:rFonts w:eastAsiaTheme="minorEastAsia"/>
        </w:rPr>
        <w:t>GDP).</w:t>
      </w:r>
      <w:r w:rsidR="00AB0D5F">
        <w:rPr>
          <w:rStyle w:val="FootnoteReference"/>
          <w:rFonts w:eastAsiaTheme="minorEastAsia"/>
        </w:rPr>
        <w:footnoteReference w:id="7"/>
      </w:r>
      <w:r w:rsidRPr="00AD4C5A">
        <w:rPr>
          <w:rFonts w:eastAsiaTheme="minorEastAsia"/>
        </w:rPr>
        <w:t xml:space="preserve"> </w:t>
      </w:r>
    </w:p>
    <w:p w14:paraId="29352D37" w14:textId="35EEB20E" w:rsidR="00AD4C5A" w:rsidRPr="00AD4C5A" w:rsidRDefault="00AD4C5A" w:rsidP="00E46B7F">
      <w:pPr>
        <w:pStyle w:val="Bullet1"/>
        <w:spacing w:before="120" w:after="120"/>
        <w:rPr>
          <w:rFonts w:eastAsiaTheme="minorEastAsia"/>
          <w:b/>
          <w:bCs/>
        </w:rPr>
      </w:pPr>
      <w:r w:rsidRPr="00AD4C5A">
        <w:rPr>
          <w:rFonts w:eastAsiaTheme="minorEastAsia"/>
          <w:b/>
          <w:bCs/>
        </w:rPr>
        <w:t xml:space="preserve">Future </w:t>
      </w:r>
      <w:r w:rsidR="0037780A">
        <w:rPr>
          <w:rFonts w:eastAsiaTheme="minorEastAsia"/>
          <w:b/>
          <w:bCs/>
        </w:rPr>
        <w:t>e</w:t>
      </w:r>
      <w:r w:rsidRPr="00AD4C5A">
        <w:rPr>
          <w:rFonts w:eastAsiaTheme="minorEastAsia"/>
          <w:b/>
          <w:bCs/>
        </w:rPr>
        <w:t xml:space="preserve">conomic </w:t>
      </w:r>
      <w:r w:rsidR="0037780A">
        <w:rPr>
          <w:rFonts w:eastAsiaTheme="minorEastAsia"/>
          <w:b/>
          <w:bCs/>
        </w:rPr>
        <w:t>b</w:t>
      </w:r>
      <w:r w:rsidRPr="00AD4C5A">
        <w:rPr>
          <w:rFonts w:eastAsiaTheme="minorEastAsia"/>
          <w:b/>
          <w:bCs/>
        </w:rPr>
        <w:t xml:space="preserve">urdens and </w:t>
      </w:r>
      <w:r w:rsidR="0037780A">
        <w:rPr>
          <w:rFonts w:eastAsiaTheme="minorEastAsia"/>
          <w:b/>
          <w:bCs/>
        </w:rPr>
        <w:t>l</w:t>
      </w:r>
      <w:r w:rsidRPr="00AD4C5A">
        <w:rPr>
          <w:rFonts w:eastAsiaTheme="minorEastAsia"/>
          <w:b/>
          <w:bCs/>
        </w:rPr>
        <w:t>iabilities</w:t>
      </w:r>
      <w:r w:rsidR="0037780A">
        <w:rPr>
          <w:rFonts w:eastAsiaTheme="minorEastAsia"/>
          <w:b/>
          <w:bCs/>
        </w:rPr>
        <w:t xml:space="preserve">: </w:t>
      </w:r>
      <w:r w:rsidRPr="00AD4C5A">
        <w:rPr>
          <w:rFonts w:eastAsiaTheme="minorEastAsia"/>
        </w:rPr>
        <w:t>The economic consequences of the pay gap are not just immediate; they accumulate over a lifetime and create future costs for the state.</w:t>
      </w:r>
      <w:r w:rsidR="0057019E">
        <w:rPr>
          <w:rFonts w:eastAsiaTheme="minorEastAsia"/>
          <w:b/>
          <w:bCs/>
        </w:rPr>
        <w:t xml:space="preserve"> </w:t>
      </w:r>
      <w:r w:rsidRPr="00AD4C5A">
        <w:rPr>
          <w:rFonts w:eastAsiaTheme="minorEastAsia"/>
        </w:rPr>
        <w:t>A lifetime of lower pay directly results in significantly lower superannuation and retirement savings for women.</w:t>
      </w:r>
      <w:r w:rsidR="00667453">
        <w:rPr>
          <w:rStyle w:val="FootnoteReference"/>
          <w:rFonts w:eastAsiaTheme="minorEastAsia"/>
        </w:rPr>
        <w:footnoteReference w:id="8"/>
      </w:r>
      <w:r w:rsidRPr="00AD4C5A">
        <w:rPr>
          <w:rFonts w:eastAsiaTheme="minorEastAsia"/>
        </w:rPr>
        <w:t xml:space="preserve"> The current national gender gap in superannuation balances at retirement </w:t>
      </w:r>
      <w:r w:rsidR="004A052D">
        <w:rPr>
          <w:rFonts w:eastAsiaTheme="minorEastAsia"/>
        </w:rPr>
        <w:t xml:space="preserve">age </w:t>
      </w:r>
      <w:r w:rsidRPr="00AD4C5A">
        <w:rPr>
          <w:rFonts w:eastAsiaTheme="minorEastAsia"/>
        </w:rPr>
        <w:t>is substantial</w:t>
      </w:r>
      <w:r w:rsidR="002A114A">
        <w:rPr>
          <w:rFonts w:eastAsiaTheme="minorEastAsia"/>
        </w:rPr>
        <w:t xml:space="preserve">: </w:t>
      </w:r>
      <w:r w:rsidR="002A114A" w:rsidRPr="00C24AF7">
        <w:rPr>
          <w:noProof/>
          <w:lang w:eastAsia="en-AU"/>
        </w:rPr>
        <w:t>women have around 25% less super than men</w:t>
      </w:r>
      <w:r w:rsidRPr="00AD4C5A">
        <w:rPr>
          <w:rFonts w:eastAsiaTheme="minorEastAsia"/>
        </w:rPr>
        <w:t>.</w:t>
      </w:r>
      <w:r w:rsidR="00667453">
        <w:rPr>
          <w:rStyle w:val="FootnoteReference"/>
          <w:rFonts w:eastAsiaTheme="minorEastAsia"/>
        </w:rPr>
        <w:footnoteReference w:id="9"/>
      </w:r>
      <w:r w:rsidR="006C45FE">
        <w:rPr>
          <w:rFonts w:eastAsiaTheme="minorEastAsia"/>
          <w:b/>
          <w:bCs/>
        </w:rPr>
        <w:t xml:space="preserve"> </w:t>
      </w:r>
      <w:r w:rsidRPr="00AD4C5A">
        <w:rPr>
          <w:rFonts w:eastAsiaTheme="minorEastAsia"/>
        </w:rPr>
        <w:t xml:space="preserve">A large superannuation gap means more women are likely to experience poverty in retirement and will be more reliant on social </w:t>
      </w:r>
      <w:r w:rsidR="006C45FE">
        <w:rPr>
          <w:rFonts w:eastAsiaTheme="minorEastAsia"/>
        </w:rPr>
        <w:t>services</w:t>
      </w:r>
      <w:r w:rsidR="00557E65">
        <w:rPr>
          <w:rFonts w:eastAsiaTheme="minorEastAsia"/>
        </w:rPr>
        <w:t>.</w:t>
      </w:r>
      <w:r w:rsidR="00667453">
        <w:rPr>
          <w:rStyle w:val="FootnoteReference"/>
          <w:rFonts w:eastAsiaTheme="minorEastAsia"/>
        </w:rPr>
        <w:footnoteReference w:id="10"/>
      </w:r>
      <w:r w:rsidR="00557E65">
        <w:rPr>
          <w:rFonts w:eastAsiaTheme="minorEastAsia"/>
        </w:rPr>
        <w:t xml:space="preserve"> </w:t>
      </w:r>
      <w:r w:rsidRPr="00AD4C5A">
        <w:rPr>
          <w:rFonts w:eastAsiaTheme="minorEastAsia"/>
        </w:rPr>
        <w:t>This places a greater, and preventable, long-term financial burden on the government and future taxpayers.</w:t>
      </w:r>
    </w:p>
    <w:p w14:paraId="5D992F77" w14:textId="50624CB3" w:rsidR="00B21263" w:rsidRDefault="00AD4C5A" w:rsidP="00E46B7F">
      <w:pPr>
        <w:pStyle w:val="Bullet1"/>
        <w:numPr>
          <w:ilvl w:val="0"/>
          <w:numId w:val="0"/>
        </w:numPr>
        <w:spacing w:before="120" w:after="120"/>
        <w:rPr>
          <w:rFonts w:eastAsiaTheme="minorEastAsia"/>
        </w:rPr>
      </w:pPr>
      <w:r w:rsidRPr="00AD4C5A">
        <w:rPr>
          <w:rFonts w:eastAsiaTheme="minorEastAsia"/>
        </w:rPr>
        <w:t>Addressing the gender pay gap is therefore not simply an act of promoting fairness; it is an economic reform strategy. By closing the gap, we move towards a more efficient labour market, boost household and national income, increase consumer spending, reduce future social liabilities, and unlock the full productive potential of the entire workforce.</w:t>
      </w:r>
      <w:r w:rsidR="00557E65">
        <w:rPr>
          <w:rFonts w:eastAsiaTheme="minorEastAsia"/>
        </w:rPr>
        <w:t xml:space="preserve"> I therefore recommend that the Tribunal </w:t>
      </w:r>
      <w:r w:rsidR="00174730">
        <w:t>explicitly consider the prevailing executive gender pay gap in the VPS as a key economic indicator.</w:t>
      </w:r>
    </w:p>
    <w:p w14:paraId="402F7A23" w14:textId="4E49F4F0" w:rsidR="00777525" w:rsidRDefault="00777525" w:rsidP="00E46B7F">
      <w:pPr>
        <w:pStyle w:val="Heading3"/>
        <w:spacing w:before="120" w:line="280" w:lineRule="atLeast"/>
      </w:pPr>
      <w:r>
        <w:t>Labour market segregation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4A0" w:firstRow="1" w:lastRow="0" w:firstColumn="1" w:lastColumn="0" w:noHBand="0" w:noVBand="1"/>
      </w:tblPr>
      <w:tblGrid>
        <w:gridCol w:w="10194"/>
      </w:tblGrid>
      <w:tr w:rsidR="00777525" w14:paraId="159E1DCA" w14:textId="77777777" w:rsidTr="00496A0E">
        <w:tc>
          <w:tcPr>
            <w:tcW w:w="10194" w:type="dxa"/>
            <w:shd w:val="clear" w:color="auto" w:fill="E5DFEC" w:themeFill="accent4" w:themeFillTint="33"/>
          </w:tcPr>
          <w:p w14:paraId="786D568B" w14:textId="00539C6D" w:rsidR="00777525" w:rsidRDefault="00777525" w:rsidP="00E46B7F">
            <w:pPr>
              <w:pStyle w:val="Body"/>
              <w:spacing w:before="120"/>
            </w:pPr>
            <w:r>
              <w:t xml:space="preserve">Recommendation </w:t>
            </w:r>
            <w:r w:rsidR="00D45CFE">
              <w:t>2</w:t>
            </w:r>
            <w:r>
              <w:t>: The Tribunal should explicitly consider gendered segregation in the VPS as a key economic indicator.</w:t>
            </w:r>
          </w:p>
        </w:tc>
      </w:tr>
    </w:tbl>
    <w:p w14:paraId="0563679B" w14:textId="75ED734B" w:rsidR="005B5497" w:rsidRPr="00174730" w:rsidRDefault="005B5497" w:rsidP="00E46B7F">
      <w:pPr>
        <w:keepNext/>
        <w:keepLines/>
        <w:spacing w:before="120"/>
        <w:outlineLvl w:val="3"/>
        <w:rPr>
          <w:rFonts w:eastAsia="MS Mincho"/>
          <w:b/>
          <w:bCs/>
          <w:color w:val="7030A0"/>
          <w:sz w:val="24"/>
          <w:szCs w:val="22"/>
        </w:rPr>
      </w:pPr>
      <w:r>
        <w:rPr>
          <w:rFonts w:eastAsia="MS Mincho"/>
          <w:b/>
          <w:bCs/>
          <w:color w:val="7030A0"/>
          <w:sz w:val="24"/>
          <w:szCs w:val="22"/>
        </w:rPr>
        <w:t>G</w:t>
      </w:r>
      <w:r w:rsidRPr="00174730">
        <w:rPr>
          <w:rFonts w:eastAsia="MS Mincho"/>
          <w:b/>
          <w:bCs/>
          <w:color w:val="7030A0"/>
          <w:sz w:val="24"/>
          <w:szCs w:val="22"/>
        </w:rPr>
        <w:t>ender</w:t>
      </w:r>
      <w:r>
        <w:rPr>
          <w:rFonts w:eastAsia="MS Mincho"/>
          <w:b/>
          <w:bCs/>
          <w:color w:val="7030A0"/>
          <w:sz w:val="24"/>
          <w:szCs w:val="22"/>
        </w:rPr>
        <w:t>ed segregation</w:t>
      </w:r>
      <w:r w:rsidRPr="00174730">
        <w:rPr>
          <w:rFonts w:eastAsia="MS Mincho"/>
          <w:b/>
          <w:bCs/>
          <w:color w:val="7030A0"/>
          <w:sz w:val="24"/>
          <w:szCs w:val="22"/>
        </w:rPr>
        <w:t xml:space="preserve"> in the VPS</w:t>
      </w:r>
    </w:p>
    <w:p w14:paraId="6698747C" w14:textId="4007518E" w:rsidR="00126063" w:rsidRPr="00B626C1" w:rsidRDefault="006E65C2" w:rsidP="00E46B7F">
      <w:pPr>
        <w:spacing w:before="120"/>
        <w:rPr>
          <w:rFonts w:eastAsiaTheme="minorEastAsia"/>
        </w:rPr>
      </w:pPr>
      <w:r w:rsidRPr="00B626C1">
        <w:rPr>
          <w:rFonts w:eastAsiaTheme="minorEastAsia"/>
        </w:rPr>
        <w:t xml:space="preserve">The most current data on the VPS workforce composition </w:t>
      </w:r>
      <w:r w:rsidR="00B626C1" w:rsidRPr="00B626C1">
        <w:rPr>
          <w:rFonts w:eastAsiaTheme="minorEastAsia"/>
        </w:rPr>
        <w:t>demonstrates that</w:t>
      </w:r>
      <w:r w:rsidR="005E5FFF" w:rsidRPr="00174730">
        <w:rPr>
          <w:rFonts w:eastAsiaTheme="minorEastAsia"/>
        </w:rPr>
        <w:t xml:space="preserve"> women continue to be underrepresented in leadership roles: although 67.7% of employees were women, only 51.8% of VPS executives were women.</w:t>
      </w:r>
      <w:r w:rsidR="005E5FFF" w:rsidRPr="00174730">
        <w:rPr>
          <w:rFonts w:eastAsiaTheme="minorEastAsia"/>
          <w:vertAlign w:val="superscript"/>
        </w:rPr>
        <w:footnoteReference w:id="11"/>
      </w:r>
      <w:r w:rsidR="00B626C1">
        <w:rPr>
          <w:rFonts w:eastAsiaTheme="minorEastAsia"/>
        </w:rPr>
        <w:t xml:space="preserve"> </w:t>
      </w:r>
      <w:r w:rsidR="008361B7">
        <w:rPr>
          <w:rFonts w:eastAsia="Times"/>
        </w:rPr>
        <w:t xml:space="preserve">It </w:t>
      </w:r>
      <w:r w:rsidR="008361B7">
        <w:rPr>
          <w:rFonts w:eastAsiaTheme="minorEastAsia"/>
        </w:rPr>
        <w:t xml:space="preserve">also illuminates a </w:t>
      </w:r>
      <w:r w:rsidR="00400A67">
        <w:rPr>
          <w:rFonts w:eastAsiaTheme="minorEastAsia"/>
        </w:rPr>
        <w:t>palpable</w:t>
      </w:r>
      <w:r w:rsidR="008361B7">
        <w:rPr>
          <w:rFonts w:eastAsiaTheme="minorEastAsia"/>
        </w:rPr>
        <w:t xml:space="preserve"> glass ceiling whereby women consistently occupy a higher proportion of VPS Grade 2 – VPS Grade 5 roles, however significantly lower proportions of VPS Grade 6 roles, Senior Technical Specialist </w:t>
      </w:r>
      <w:r w:rsidR="009F7C37">
        <w:rPr>
          <w:rFonts w:eastAsiaTheme="minorEastAsia"/>
        </w:rPr>
        <w:t>r</w:t>
      </w:r>
      <w:r w:rsidR="008361B7">
        <w:rPr>
          <w:rFonts w:eastAsiaTheme="minorEastAsia"/>
        </w:rPr>
        <w:t>oles and executive level roles.</w:t>
      </w:r>
      <w:r w:rsidR="008361B7">
        <w:rPr>
          <w:rStyle w:val="FootnoteReference"/>
          <w:rFonts w:eastAsiaTheme="minorEastAsia"/>
        </w:rPr>
        <w:footnoteReference w:id="12"/>
      </w:r>
    </w:p>
    <w:p w14:paraId="5768A271" w14:textId="77777777" w:rsidR="00CD2334" w:rsidRDefault="005E5FFF" w:rsidP="00E46B7F">
      <w:pPr>
        <w:keepNext/>
        <w:keepLines/>
        <w:spacing w:before="120"/>
        <w:outlineLvl w:val="3"/>
        <w:rPr>
          <w:rFonts w:eastAsia="MS Mincho"/>
          <w:b/>
          <w:bCs/>
          <w:color w:val="7030A0"/>
          <w:sz w:val="24"/>
          <w:szCs w:val="22"/>
        </w:rPr>
      </w:pPr>
      <w:r>
        <w:rPr>
          <w:rFonts w:eastAsia="MS Mincho"/>
          <w:b/>
          <w:bCs/>
          <w:color w:val="7030A0"/>
          <w:sz w:val="24"/>
          <w:szCs w:val="22"/>
        </w:rPr>
        <w:t>G</w:t>
      </w:r>
      <w:r w:rsidRPr="00174730">
        <w:rPr>
          <w:rFonts w:eastAsia="MS Mincho"/>
          <w:b/>
          <w:bCs/>
          <w:color w:val="7030A0"/>
          <w:sz w:val="24"/>
          <w:szCs w:val="22"/>
        </w:rPr>
        <w:t>ender</w:t>
      </w:r>
      <w:r>
        <w:rPr>
          <w:rFonts w:eastAsia="MS Mincho"/>
          <w:b/>
          <w:bCs/>
          <w:color w:val="7030A0"/>
          <w:sz w:val="24"/>
          <w:szCs w:val="22"/>
        </w:rPr>
        <w:t>ed segregation</w:t>
      </w:r>
      <w:r w:rsidRPr="00174730">
        <w:rPr>
          <w:rFonts w:eastAsia="MS Mincho"/>
          <w:b/>
          <w:bCs/>
          <w:color w:val="7030A0"/>
          <w:sz w:val="24"/>
          <w:szCs w:val="22"/>
        </w:rPr>
        <w:t xml:space="preserve"> </w:t>
      </w:r>
      <w:r>
        <w:rPr>
          <w:rFonts w:eastAsia="MS Mincho"/>
          <w:b/>
          <w:bCs/>
          <w:color w:val="7030A0"/>
          <w:sz w:val="24"/>
          <w:szCs w:val="22"/>
        </w:rPr>
        <w:t xml:space="preserve">as an economic indicator </w:t>
      </w:r>
    </w:p>
    <w:p w14:paraId="37C76A98" w14:textId="5DCC76D2" w:rsidR="00CD2334" w:rsidRDefault="00CD2334" w:rsidP="00E46B7F">
      <w:pPr>
        <w:keepNext/>
        <w:keepLines/>
        <w:spacing w:before="120"/>
        <w:outlineLvl w:val="3"/>
        <w:rPr>
          <w:rStyle w:val="ng-star-inserted1"/>
          <w:rFonts w:cs="Arial"/>
          <w:color w:val="1A1C1E"/>
          <w:szCs w:val="21"/>
        </w:rPr>
      </w:pPr>
      <w:r>
        <w:rPr>
          <w:rStyle w:val="ng-star-inserted1"/>
          <w:rFonts w:cs="Arial"/>
          <w:color w:val="1A1C1E"/>
          <w:szCs w:val="21"/>
        </w:rPr>
        <w:t>I recommend that the Tribunal explicitly consider lab</w:t>
      </w:r>
      <w:r w:rsidR="005B5497">
        <w:rPr>
          <w:rStyle w:val="ng-star-inserted1"/>
          <w:rFonts w:cs="Arial"/>
          <w:color w:val="1A1C1E"/>
          <w:szCs w:val="21"/>
        </w:rPr>
        <w:t>our market segregation</w:t>
      </w:r>
      <w:r>
        <w:rPr>
          <w:rStyle w:val="ng-star-inserted1"/>
          <w:rFonts w:cs="Arial"/>
          <w:color w:val="1A1C1E"/>
          <w:szCs w:val="21"/>
        </w:rPr>
        <w:t xml:space="preserve"> in the VPS</w:t>
      </w:r>
      <w:r w:rsidR="005B5497">
        <w:rPr>
          <w:rStyle w:val="ng-star-inserted1"/>
          <w:rFonts w:cs="Arial"/>
          <w:color w:val="1A1C1E"/>
          <w:szCs w:val="21"/>
        </w:rPr>
        <w:t xml:space="preserve"> </w:t>
      </w:r>
      <w:r>
        <w:rPr>
          <w:rStyle w:val="ng-star-inserted1"/>
          <w:rFonts w:cs="Arial"/>
          <w:color w:val="1A1C1E"/>
          <w:szCs w:val="21"/>
        </w:rPr>
        <w:t>as a key</w:t>
      </w:r>
      <w:r w:rsidR="005B5497">
        <w:rPr>
          <w:rStyle w:val="ng-star-inserted1"/>
          <w:rFonts w:cs="Arial"/>
          <w:color w:val="1A1C1E"/>
          <w:szCs w:val="21"/>
        </w:rPr>
        <w:t xml:space="preserve"> economic indicator </w:t>
      </w:r>
      <w:r w:rsidR="00612F12">
        <w:rPr>
          <w:rStyle w:val="ng-star-inserted1"/>
          <w:rFonts w:cs="Arial"/>
          <w:color w:val="1A1C1E"/>
          <w:szCs w:val="21"/>
        </w:rPr>
        <w:t>on the basis that it:</w:t>
      </w:r>
    </w:p>
    <w:p w14:paraId="407A3F04" w14:textId="77777777" w:rsidR="00182BBE" w:rsidRDefault="00612F12" w:rsidP="00E46B7F">
      <w:pPr>
        <w:pStyle w:val="Bullet1"/>
        <w:rPr>
          <w:rFonts w:cs="Arial"/>
          <w:color w:val="1A1C1E"/>
          <w:szCs w:val="21"/>
        </w:rPr>
      </w:pPr>
      <w:r w:rsidRPr="00372EE8">
        <w:rPr>
          <w:rStyle w:val="ng-star-inserted1"/>
          <w:rFonts w:cs="Arial"/>
          <w:b/>
          <w:bCs/>
          <w:color w:val="1A1C1E"/>
          <w:szCs w:val="21"/>
        </w:rPr>
        <w:t xml:space="preserve">Reveals </w:t>
      </w:r>
      <w:r w:rsidR="006633A7" w:rsidRPr="00372EE8">
        <w:rPr>
          <w:rStyle w:val="ng-star-inserted1"/>
          <w:rFonts w:cs="Arial"/>
          <w:b/>
          <w:bCs/>
          <w:color w:val="1A1C1E"/>
          <w:szCs w:val="21"/>
        </w:rPr>
        <w:t xml:space="preserve">labour market distortions and biases that traditional economic indicators would fail to </w:t>
      </w:r>
      <w:r w:rsidR="000A2A61" w:rsidRPr="00372EE8">
        <w:rPr>
          <w:rStyle w:val="ng-star-inserted1"/>
          <w:rFonts w:cs="Arial"/>
          <w:b/>
          <w:bCs/>
          <w:color w:val="1A1C1E"/>
          <w:szCs w:val="21"/>
        </w:rPr>
        <w:t>illuminate</w:t>
      </w:r>
      <w:r w:rsidR="000A2A61">
        <w:rPr>
          <w:rStyle w:val="ng-star-inserted1"/>
          <w:rFonts w:cs="Arial"/>
          <w:color w:val="1A1C1E"/>
          <w:szCs w:val="21"/>
        </w:rPr>
        <w:t xml:space="preserve">: </w:t>
      </w:r>
      <w:r w:rsidR="00FF5B8E" w:rsidRPr="00FF5B8E">
        <w:rPr>
          <w:rStyle w:val="ng-star-inserted1"/>
          <w:rFonts w:cs="Arial"/>
          <w:color w:val="1A1C1E"/>
          <w:szCs w:val="21"/>
        </w:rPr>
        <w:t>By considering segregation as an indicator, the Tribunal can consciously ask: "Is the market rate for this executive role artificially deflated because it sits within a 'feminised' portfolio? Does it accurately reflect the work value, or does it reflect a biased market?"</w:t>
      </w:r>
      <w:r w:rsidR="00915CF6">
        <w:rPr>
          <w:rStyle w:val="ng-star-inserted1"/>
          <w:rFonts w:cs="Arial"/>
          <w:color w:val="1A1C1E"/>
          <w:szCs w:val="21"/>
        </w:rPr>
        <w:t xml:space="preserve">. </w:t>
      </w:r>
      <w:r w:rsidR="00915CF6" w:rsidRPr="00915CF6">
        <w:rPr>
          <w:rFonts w:cs="Arial"/>
          <w:color w:val="1A1C1E"/>
          <w:szCs w:val="21"/>
        </w:rPr>
        <w:t xml:space="preserve">If the Tribunal relies solely on market data for comparator roles without accounting for this segregation, it risks importing and cementing </w:t>
      </w:r>
      <w:r w:rsidR="00915CF6" w:rsidRPr="00915CF6">
        <w:rPr>
          <w:rFonts w:cs="Arial"/>
          <w:color w:val="1A1C1E"/>
          <w:szCs w:val="21"/>
        </w:rPr>
        <w:lastRenderedPageBreak/>
        <w:t>historical biases</w:t>
      </w:r>
      <w:r w:rsidR="008B0F5A">
        <w:rPr>
          <w:rFonts w:cs="Arial"/>
          <w:color w:val="1A1C1E"/>
          <w:szCs w:val="21"/>
        </w:rPr>
        <w:t xml:space="preserve"> – such as the undervaluation of care and community work</w:t>
      </w:r>
      <w:r w:rsidR="00D47FBF">
        <w:rPr>
          <w:rFonts w:cs="Arial"/>
          <w:color w:val="1A1C1E"/>
          <w:szCs w:val="21"/>
        </w:rPr>
        <w:t xml:space="preserve"> and gendered stereotypes about women in leadership</w:t>
      </w:r>
      <w:r w:rsidR="00372EE8">
        <w:rPr>
          <w:rFonts w:cs="Arial"/>
          <w:color w:val="1A1C1E"/>
          <w:szCs w:val="21"/>
        </w:rPr>
        <w:t xml:space="preserve"> </w:t>
      </w:r>
      <w:r w:rsidR="00D47FBF">
        <w:rPr>
          <w:rFonts w:cs="Arial"/>
          <w:color w:val="1A1C1E"/>
          <w:szCs w:val="21"/>
        </w:rPr>
        <w:t>roles</w:t>
      </w:r>
      <w:r w:rsidR="00915CF6" w:rsidRPr="00915CF6">
        <w:rPr>
          <w:rFonts w:cs="Arial"/>
          <w:color w:val="1A1C1E"/>
          <w:szCs w:val="21"/>
        </w:rPr>
        <w:t xml:space="preserve"> </w:t>
      </w:r>
      <w:r w:rsidR="00372EE8">
        <w:rPr>
          <w:rFonts w:cs="Arial"/>
          <w:color w:val="1A1C1E"/>
          <w:szCs w:val="21"/>
        </w:rPr>
        <w:t xml:space="preserve">- </w:t>
      </w:r>
      <w:r w:rsidR="00915CF6" w:rsidRPr="00915CF6">
        <w:rPr>
          <w:rFonts w:cs="Arial"/>
          <w:color w:val="1A1C1E"/>
          <w:szCs w:val="21"/>
        </w:rPr>
        <w:t>into the public service pay structure. </w:t>
      </w:r>
    </w:p>
    <w:p w14:paraId="3C54E2AA" w14:textId="236C422A" w:rsidR="000A2A61" w:rsidRPr="00182BBE" w:rsidRDefault="000A2A61" w:rsidP="00E46B7F">
      <w:pPr>
        <w:pStyle w:val="Bullet1"/>
        <w:rPr>
          <w:rStyle w:val="ng-star-inserted1"/>
          <w:rFonts w:cs="Arial"/>
          <w:color w:val="1A1C1E"/>
          <w:szCs w:val="21"/>
        </w:rPr>
      </w:pPr>
      <w:r w:rsidRPr="00182BBE">
        <w:rPr>
          <w:rStyle w:val="ng-star-inserted1"/>
          <w:rFonts w:cs="Arial"/>
          <w:b/>
          <w:bCs/>
          <w:color w:val="1A1C1E"/>
          <w:szCs w:val="21"/>
        </w:rPr>
        <w:t>Allows the Tribunal to address a primary cause of the gender pay gap</w:t>
      </w:r>
      <w:r w:rsidRPr="00182BBE">
        <w:rPr>
          <w:rStyle w:val="ng-star-inserted1"/>
          <w:rFonts w:cs="Arial"/>
          <w:color w:val="1A1C1E"/>
          <w:szCs w:val="21"/>
        </w:rPr>
        <w:t>:</w:t>
      </w:r>
      <w:r w:rsidR="00372EE8" w:rsidRPr="00182BBE">
        <w:rPr>
          <w:rStyle w:val="ng-star-inserted1"/>
          <w:rFonts w:cs="Arial"/>
          <w:color w:val="1A1C1E"/>
          <w:szCs w:val="21"/>
        </w:rPr>
        <w:t xml:space="preserve"> As noted above,</w:t>
      </w:r>
      <w:r w:rsidR="00BD208F" w:rsidRPr="00182BBE">
        <w:rPr>
          <w:rStyle w:val="ng-star-inserted1"/>
          <w:rFonts w:cs="Arial"/>
          <w:color w:val="1A1C1E"/>
          <w:szCs w:val="21"/>
        </w:rPr>
        <w:t xml:space="preserve"> c</w:t>
      </w:r>
      <w:r w:rsidR="00BD208F" w:rsidRPr="00182BBE">
        <w:rPr>
          <w:rFonts w:cs="Arial"/>
          <w:color w:val="1A1C1E"/>
          <w:szCs w:val="21"/>
          <w:shd w:val="clear" w:color="auto" w:fill="FFFFFF"/>
        </w:rPr>
        <w:t>onsidering gendered segregation is fundamental to addressing the gender pay gap, itself a key economic indicator.</w:t>
      </w:r>
      <w:r w:rsidR="009F7C37" w:rsidRPr="00182BBE">
        <w:rPr>
          <w:rFonts w:cs="Arial"/>
          <w:color w:val="1A1C1E"/>
          <w:szCs w:val="21"/>
          <w:shd w:val="clear" w:color="auto" w:fill="FFFFFF"/>
        </w:rPr>
        <w:t xml:space="preserve"> </w:t>
      </w:r>
      <w:r w:rsidR="009F7C37" w:rsidRPr="00182BBE">
        <w:rPr>
          <w:rFonts w:eastAsiaTheme="minorEastAsia"/>
        </w:rPr>
        <w:t xml:space="preserve">The </w:t>
      </w:r>
      <w:r w:rsidR="009F7C37" w:rsidRPr="00182BBE">
        <w:t>CGEPS Insights Report identifies workforce gender segregation as a significant contributor to the gender pay gap, with industrial segregation and occupation segregation accounting for 4% and 20% respectively in 2020.</w:t>
      </w:r>
      <w:r w:rsidR="009F7C37">
        <w:rPr>
          <w:rStyle w:val="FootnoteReference"/>
        </w:rPr>
        <w:footnoteReference w:id="13"/>
      </w:r>
      <w:r w:rsidR="002338E9">
        <w:t xml:space="preserve"> </w:t>
      </w:r>
      <w:r w:rsidR="002338E9">
        <w:rPr>
          <w:rStyle w:val="ng-star-inserted1"/>
          <w:rFonts w:cs="Arial"/>
          <w:color w:val="1A1C1E"/>
          <w:szCs w:val="21"/>
        </w:rPr>
        <w:t>Closing the gap in industrial and occupational segregation is equivalent to over $232 million per week in national earnings</w:t>
      </w:r>
      <w:r w:rsidR="004A5AEE">
        <w:rPr>
          <w:rStyle w:val="ng-star-inserted1"/>
          <w:rFonts w:cs="Arial"/>
          <w:color w:val="1A1C1E"/>
          <w:szCs w:val="21"/>
        </w:rPr>
        <w:t>.</w:t>
      </w:r>
      <w:r w:rsidR="004A5AEE">
        <w:rPr>
          <w:rStyle w:val="FootnoteReference"/>
          <w:rFonts w:cs="Arial"/>
          <w:color w:val="1A1C1E"/>
          <w:szCs w:val="21"/>
        </w:rPr>
        <w:footnoteReference w:id="14"/>
      </w:r>
      <w:r w:rsidR="009F7C37" w:rsidRPr="00182BBE">
        <w:rPr>
          <w:rFonts w:cs="Arial"/>
          <w:color w:val="1A1C1E"/>
          <w:szCs w:val="21"/>
          <w:shd w:val="clear" w:color="auto" w:fill="FFFFFF"/>
        </w:rPr>
        <w:t xml:space="preserve"> </w:t>
      </w:r>
      <w:r w:rsidR="00B54CD7" w:rsidRPr="00182BBE">
        <w:rPr>
          <w:rFonts w:cs="Arial"/>
          <w:color w:val="1A1C1E"/>
          <w:szCs w:val="21"/>
          <w:shd w:val="clear" w:color="auto" w:fill="FFFFFF"/>
        </w:rPr>
        <w:t>By considering</w:t>
      </w:r>
      <w:r w:rsidR="009F7C37" w:rsidRPr="00182BBE">
        <w:rPr>
          <w:rFonts w:cs="Arial"/>
          <w:color w:val="1A1C1E"/>
          <w:szCs w:val="21"/>
          <w:shd w:val="clear" w:color="auto" w:fill="FFFFFF"/>
        </w:rPr>
        <w:t xml:space="preserve"> workforce</w:t>
      </w:r>
      <w:r w:rsidR="00B54CD7" w:rsidRPr="00182BBE">
        <w:rPr>
          <w:rFonts w:cs="Arial"/>
          <w:color w:val="1A1C1E"/>
          <w:szCs w:val="21"/>
          <w:shd w:val="clear" w:color="auto" w:fill="FFFFFF"/>
        </w:rPr>
        <w:t xml:space="preserve"> segregation when making the Determination, the Tribunal can ensure that executive roles in portfolios like Health, Education, and Families, Fairness and Housing are valued on par with those in Treasury, Infrastructure, or Transport, based on objective work value, not historical gender bias.</w:t>
      </w:r>
    </w:p>
    <w:p w14:paraId="55A45555" w14:textId="30036C8B" w:rsidR="005B5497" w:rsidRPr="00980557" w:rsidRDefault="000A2A61" w:rsidP="00E46B7F">
      <w:pPr>
        <w:pStyle w:val="Bullet1"/>
        <w:rPr>
          <w:rFonts w:cs="Arial"/>
          <w:color w:val="1A1C1E"/>
          <w:szCs w:val="21"/>
        </w:rPr>
      </w:pPr>
      <w:r w:rsidRPr="00AD7E56">
        <w:rPr>
          <w:rStyle w:val="ng-star-inserted1"/>
          <w:rFonts w:cs="Arial"/>
          <w:b/>
          <w:bCs/>
          <w:color w:val="1A1C1E"/>
          <w:szCs w:val="21"/>
        </w:rPr>
        <w:t>Promotes economic efficienc</w:t>
      </w:r>
      <w:r w:rsidR="00C14CE9" w:rsidRPr="00AD7E56">
        <w:rPr>
          <w:rStyle w:val="ng-star-inserted1"/>
          <w:rFonts w:cs="Arial"/>
          <w:b/>
          <w:bCs/>
          <w:color w:val="1A1C1E"/>
          <w:szCs w:val="21"/>
        </w:rPr>
        <w:t xml:space="preserve">y by ensuring the VPS can </w:t>
      </w:r>
      <w:r w:rsidR="005B5497" w:rsidRPr="00AD7E56">
        <w:rPr>
          <w:rStyle w:val="ng-star-inserted1"/>
          <w:rFonts w:cs="Arial"/>
          <w:b/>
          <w:bCs/>
          <w:color w:val="1A1C1E"/>
          <w:szCs w:val="21"/>
        </w:rPr>
        <w:t>attract and retain the best talent for all executive roles</w:t>
      </w:r>
      <w:r w:rsidR="00C14CE9">
        <w:rPr>
          <w:rStyle w:val="ng-star-inserted1"/>
          <w:rFonts w:cs="Arial"/>
          <w:color w:val="1A1C1E"/>
          <w:szCs w:val="21"/>
        </w:rPr>
        <w:t>:</w:t>
      </w:r>
      <w:r w:rsidR="004A608C" w:rsidRPr="004A608C">
        <w:rPr>
          <w:rFonts w:cs="Arial"/>
          <w:color w:val="1A1C1E"/>
          <w:szCs w:val="21"/>
          <w:shd w:val="clear" w:color="auto" w:fill="FFFFFF"/>
        </w:rPr>
        <w:t xml:space="preserve"> </w:t>
      </w:r>
      <w:r w:rsidR="004A608C">
        <w:rPr>
          <w:rFonts w:cs="Arial"/>
          <w:color w:val="1A1C1E"/>
          <w:szCs w:val="21"/>
          <w:shd w:val="clear" w:color="auto" w:fill="FFFFFF"/>
        </w:rPr>
        <w:t>When certain fields are seen as "men's work" or "women's work," the talent pool for any given executive role is effectively halved. This prevents the best possible candidate from being appointed, which harms the productivity and effectiveness of the VPS. Further, v</w:t>
      </w:r>
      <w:r w:rsidR="004A608C" w:rsidRPr="004A608C">
        <w:rPr>
          <w:rFonts w:cs="Arial"/>
          <w:color w:val="1A1C1E"/>
          <w:szCs w:val="21"/>
          <w:shd w:val="clear" w:color="auto" w:fill="FFFFFF"/>
        </w:rPr>
        <w:t xml:space="preserve">ertical segregation indicates that the </w:t>
      </w:r>
      <w:r w:rsidR="004A608C">
        <w:rPr>
          <w:rFonts w:cs="Arial"/>
          <w:color w:val="1A1C1E"/>
          <w:szCs w:val="21"/>
          <w:shd w:val="clear" w:color="auto" w:fill="FFFFFF"/>
        </w:rPr>
        <w:t>VPS</w:t>
      </w:r>
      <w:r w:rsidR="004A608C" w:rsidRPr="004A608C">
        <w:rPr>
          <w:rFonts w:cs="Arial"/>
          <w:color w:val="1A1C1E"/>
          <w:szCs w:val="21"/>
          <w:shd w:val="clear" w:color="auto" w:fill="FFFFFF"/>
        </w:rPr>
        <w:t xml:space="preserve"> may be failing to retain and promote talented women into its most senior ranks. This represents a significant loss of investment in training and development and a loss of valuable corporate knowledge and leadership potential.</w:t>
      </w:r>
    </w:p>
    <w:p w14:paraId="3DB3327B" w14:textId="4AF99D44" w:rsidR="00E153AC" w:rsidRDefault="00E153AC" w:rsidP="00E46B7F">
      <w:pPr>
        <w:pStyle w:val="Heading2"/>
        <w:spacing w:before="120" w:line="280" w:lineRule="atLeast"/>
        <w:rPr>
          <w:rFonts w:eastAsia="Times"/>
        </w:rPr>
      </w:pPr>
      <w:bookmarkStart w:id="9" w:name="_Toc202971738"/>
      <w:r w:rsidRPr="00E153AC">
        <w:rPr>
          <w:rFonts w:eastAsia="Times"/>
        </w:rPr>
        <w:t>What other matters should the Tribunal consider when making the Determination, if any, in addition to those listed in the VIRTIPS Act?</w:t>
      </w:r>
      <w:bookmarkEnd w:id="9"/>
    </w:p>
    <w:p w14:paraId="7E92CDC9" w14:textId="1AF4BC31" w:rsidR="0050722E" w:rsidRPr="0050722E" w:rsidRDefault="0050722E" w:rsidP="0050722E">
      <w:pPr>
        <w:pStyle w:val="Body"/>
      </w:pPr>
      <w:r>
        <w:t xml:space="preserve">I do not wish to make a substantive submission in relation to this consultation question. However, I wish to </w:t>
      </w:r>
      <w:r w:rsidR="00470FA4">
        <w:t xml:space="preserve">make a further recommendation to the Tribunal in relation to </w:t>
      </w:r>
      <w:r w:rsidR="0075089F">
        <w:t>the use of its statutory powers, whether in</w:t>
      </w:r>
      <w:r w:rsidR="00AF4281">
        <w:t xml:space="preserve"> relation to this Determination,</w:t>
      </w:r>
      <w:r w:rsidR="003E6730">
        <w:t xml:space="preserve"> its next determination made under section 21 of the</w:t>
      </w:r>
      <w:r w:rsidR="00C66E70">
        <w:t xml:space="preserve"> </w:t>
      </w:r>
      <w:r w:rsidR="00C66E70" w:rsidRPr="00C66E70">
        <w:rPr>
          <w:i/>
          <w:iCs/>
        </w:rPr>
        <w:t>Victorian Independent Remuneration Tribunal and Improving Parliamentary Standards Act 2019</w:t>
      </w:r>
      <w:r w:rsidR="003E6730">
        <w:t xml:space="preserve"> </w:t>
      </w:r>
      <w:r w:rsidR="00C66E70">
        <w:t>(</w:t>
      </w:r>
      <w:r w:rsidR="003E6730">
        <w:t>VI</w:t>
      </w:r>
      <w:r w:rsidR="00FA0F9F">
        <w:t>RTIPS Act</w:t>
      </w:r>
      <w:r w:rsidR="00C66E70">
        <w:t>), or otherwise</w:t>
      </w:r>
      <w:r w:rsidR="00FF6B24">
        <w:t xml:space="preserve">. In particular, I recommend that the Tribunal </w:t>
      </w:r>
      <w:r w:rsidR="00AF4281">
        <w:t>seek to ban (or provide guidance that strongly recommends against)</w:t>
      </w:r>
      <w:r w:rsidR="00AB7AF9">
        <w:t xml:space="preserve"> the practice of </w:t>
      </w:r>
      <w:r w:rsidR="00AB7AF9" w:rsidRPr="00E153AC">
        <w:rPr>
          <w:szCs w:val="21"/>
        </w:rPr>
        <w:t>asking for or relying on a</w:t>
      </w:r>
      <w:r w:rsidR="00AB7AF9">
        <w:rPr>
          <w:szCs w:val="21"/>
        </w:rPr>
        <w:t xml:space="preserve"> </w:t>
      </w:r>
      <w:r w:rsidR="00AB7AF9" w:rsidRPr="00E153AC">
        <w:rPr>
          <w:szCs w:val="21"/>
        </w:rPr>
        <w:t>candidate's salary history in the recruitment</w:t>
      </w:r>
      <w:r w:rsidR="00AB7AF9">
        <w:rPr>
          <w:szCs w:val="21"/>
        </w:rPr>
        <w:t>, promotion</w:t>
      </w:r>
      <w:r w:rsidR="00AB7AF9" w:rsidRPr="00E153AC">
        <w:rPr>
          <w:szCs w:val="21"/>
        </w:rPr>
        <w:t xml:space="preserve"> and remuneration of </w:t>
      </w:r>
      <w:r w:rsidR="00A5483D">
        <w:rPr>
          <w:szCs w:val="21"/>
        </w:rPr>
        <w:t>VPS</w:t>
      </w:r>
      <w:r w:rsidR="00AB7AF9" w:rsidRPr="00E153AC">
        <w:rPr>
          <w:szCs w:val="21"/>
        </w:rPr>
        <w:t xml:space="preserve"> executives</w:t>
      </w:r>
      <w:r w:rsidR="00AB7AF9">
        <w:rPr>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4A0" w:firstRow="1" w:lastRow="0" w:firstColumn="1" w:lastColumn="0" w:noHBand="0" w:noVBand="1"/>
      </w:tblPr>
      <w:tblGrid>
        <w:gridCol w:w="10194"/>
      </w:tblGrid>
      <w:tr w:rsidR="00B523D2" w14:paraId="5C51EBCB" w14:textId="77777777">
        <w:tc>
          <w:tcPr>
            <w:tcW w:w="10194" w:type="dxa"/>
            <w:shd w:val="clear" w:color="auto" w:fill="E5DFEC" w:themeFill="accent4" w:themeFillTint="33"/>
          </w:tcPr>
          <w:p w14:paraId="538CD19A" w14:textId="47820261" w:rsidR="00B523D2" w:rsidRDefault="00B523D2">
            <w:pPr>
              <w:pStyle w:val="Body"/>
              <w:spacing w:before="120"/>
            </w:pPr>
            <w:r>
              <w:t>Recommendation 3: The Tribunal should</w:t>
            </w:r>
            <w:r w:rsidR="005D5A61">
              <w:t xml:space="preserve"> </w:t>
            </w:r>
            <w:r w:rsidR="00AB7AF9">
              <w:t>ban</w:t>
            </w:r>
            <w:r w:rsidR="00AF4281">
              <w:t xml:space="preserve"> </w:t>
            </w:r>
            <w:r w:rsidR="00AB7AF9">
              <w:t xml:space="preserve">the practice of </w:t>
            </w:r>
            <w:r w:rsidR="00AB7AF9" w:rsidRPr="00E153AC">
              <w:rPr>
                <w:szCs w:val="21"/>
              </w:rPr>
              <w:t>asking for or relying on a</w:t>
            </w:r>
            <w:r w:rsidR="00AB7AF9">
              <w:rPr>
                <w:szCs w:val="21"/>
              </w:rPr>
              <w:t xml:space="preserve"> </w:t>
            </w:r>
            <w:r w:rsidR="00AB7AF9" w:rsidRPr="00E153AC">
              <w:rPr>
                <w:szCs w:val="21"/>
              </w:rPr>
              <w:t>candidate's salary history in the recruitment</w:t>
            </w:r>
            <w:r w:rsidR="00AB7AF9">
              <w:rPr>
                <w:szCs w:val="21"/>
              </w:rPr>
              <w:t>, promotion</w:t>
            </w:r>
            <w:r w:rsidR="00AB7AF9" w:rsidRPr="00E153AC">
              <w:rPr>
                <w:szCs w:val="21"/>
              </w:rPr>
              <w:t xml:space="preserve"> and remuneration of public sector executives</w:t>
            </w:r>
            <w:r w:rsidR="00AB7AF9">
              <w:rPr>
                <w:szCs w:val="21"/>
              </w:rPr>
              <w:t>.</w:t>
            </w:r>
          </w:p>
        </w:tc>
      </w:tr>
    </w:tbl>
    <w:p w14:paraId="1A4BA758" w14:textId="01C16F4F" w:rsidR="00631768" w:rsidRDefault="00182BD3" w:rsidP="00631768">
      <w:pPr>
        <w:pStyle w:val="Heading3"/>
        <w:spacing w:before="120" w:line="280" w:lineRule="atLeast"/>
      </w:pPr>
      <w:r>
        <w:t xml:space="preserve">Executive </w:t>
      </w:r>
      <w:r w:rsidR="00AC768F">
        <w:t xml:space="preserve">salary anchoring bias </w:t>
      </w:r>
    </w:p>
    <w:p w14:paraId="0E4600BF" w14:textId="159FDA7D" w:rsidR="00AB7AF9" w:rsidRDefault="00AB7AF9" w:rsidP="00AB7AF9">
      <w:pPr>
        <w:spacing w:before="120"/>
        <w:rPr>
          <w:rFonts w:eastAsia="Times"/>
          <w:szCs w:val="21"/>
        </w:rPr>
      </w:pPr>
      <w:r w:rsidRPr="00561B73">
        <w:rPr>
          <w:rFonts w:eastAsia="Times"/>
          <w:szCs w:val="21"/>
        </w:rPr>
        <w:t xml:space="preserve">In my view, a significant </w:t>
      </w:r>
      <w:r w:rsidRPr="00E153AC">
        <w:rPr>
          <w:rFonts w:eastAsia="Times"/>
          <w:szCs w:val="21"/>
        </w:rPr>
        <w:t>contributor to the</w:t>
      </w:r>
      <w:r w:rsidRPr="00561B73">
        <w:rPr>
          <w:rFonts w:eastAsia="Times"/>
          <w:szCs w:val="21"/>
        </w:rPr>
        <w:t xml:space="preserve"> executive</w:t>
      </w:r>
      <w:r w:rsidRPr="00E153AC">
        <w:rPr>
          <w:rFonts w:eastAsia="Times"/>
          <w:szCs w:val="21"/>
        </w:rPr>
        <w:t xml:space="preserve"> gender pay gap</w:t>
      </w:r>
      <w:r w:rsidRPr="00561B73">
        <w:rPr>
          <w:rFonts w:eastAsia="Times"/>
          <w:szCs w:val="21"/>
        </w:rPr>
        <w:t xml:space="preserve"> in the VPS</w:t>
      </w:r>
      <w:r w:rsidRPr="00E153AC">
        <w:rPr>
          <w:rFonts w:eastAsia="Times"/>
          <w:szCs w:val="21"/>
        </w:rPr>
        <w:t xml:space="preserve"> is the anchoring of new salaries to previous earnings. This practice perpetuate</w:t>
      </w:r>
      <w:r w:rsidRPr="00561B73">
        <w:rPr>
          <w:rFonts w:eastAsia="Times"/>
          <w:szCs w:val="21"/>
        </w:rPr>
        <w:t>s</w:t>
      </w:r>
      <w:r w:rsidRPr="00E153AC">
        <w:rPr>
          <w:rFonts w:eastAsia="Times"/>
          <w:szCs w:val="21"/>
        </w:rPr>
        <w:t xml:space="preserve"> historical pay discrimination that women have faced throughout their careers.</w:t>
      </w:r>
      <w:r w:rsidR="002B3EE1">
        <w:rPr>
          <w:rStyle w:val="FootnoteReference"/>
          <w:rFonts w:eastAsia="Times"/>
          <w:szCs w:val="21"/>
        </w:rPr>
        <w:footnoteReference w:id="15"/>
      </w:r>
      <w:r w:rsidRPr="00E153AC">
        <w:rPr>
          <w:rFonts w:eastAsia="Times"/>
          <w:szCs w:val="21"/>
        </w:rPr>
        <w:t xml:space="preserve"> Banning the practice of asking for or relying on a</w:t>
      </w:r>
      <w:r>
        <w:rPr>
          <w:rFonts w:eastAsia="Times"/>
          <w:szCs w:val="21"/>
        </w:rPr>
        <w:t xml:space="preserve"> </w:t>
      </w:r>
      <w:r w:rsidRPr="00E153AC">
        <w:rPr>
          <w:rFonts w:eastAsia="Times"/>
          <w:szCs w:val="21"/>
        </w:rPr>
        <w:t>candidate's salary history in the recruitment</w:t>
      </w:r>
      <w:r>
        <w:rPr>
          <w:rFonts w:eastAsia="Times"/>
          <w:szCs w:val="21"/>
        </w:rPr>
        <w:t>, promotion</w:t>
      </w:r>
      <w:r w:rsidRPr="00E153AC">
        <w:rPr>
          <w:rFonts w:eastAsia="Times"/>
          <w:szCs w:val="21"/>
        </w:rPr>
        <w:t xml:space="preserve"> and remuneration of </w:t>
      </w:r>
      <w:r w:rsidR="007D7806">
        <w:rPr>
          <w:rFonts w:eastAsia="Times"/>
          <w:szCs w:val="21"/>
        </w:rPr>
        <w:t>VPS</w:t>
      </w:r>
      <w:r w:rsidRPr="00E153AC">
        <w:rPr>
          <w:rFonts w:eastAsia="Times"/>
          <w:szCs w:val="21"/>
        </w:rPr>
        <w:t xml:space="preserve"> executives </w:t>
      </w:r>
      <w:r>
        <w:rPr>
          <w:rFonts w:eastAsia="Times"/>
          <w:szCs w:val="21"/>
        </w:rPr>
        <w:t>is</w:t>
      </w:r>
      <w:r w:rsidRPr="00E153AC">
        <w:rPr>
          <w:rFonts w:eastAsia="Times"/>
          <w:szCs w:val="21"/>
        </w:rPr>
        <w:t xml:space="preserve"> a </w:t>
      </w:r>
      <w:r>
        <w:rPr>
          <w:rFonts w:eastAsia="Times"/>
          <w:szCs w:val="21"/>
        </w:rPr>
        <w:t>critical</w:t>
      </w:r>
      <w:r w:rsidRPr="00E153AC">
        <w:rPr>
          <w:rFonts w:eastAsia="Times"/>
          <w:szCs w:val="21"/>
        </w:rPr>
        <w:t xml:space="preserve"> mechanism to break this cycle.</w:t>
      </w:r>
      <w:r>
        <w:rPr>
          <w:rFonts w:eastAsia="Times"/>
          <w:szCs w:val="21"/>
        </w:rPr>
        <w:t xml:space="preserve"> </w:t>
      </w:r>
      <w:r w:rsidR="00137A09" w:rsidRPr="007F70E7">
        <w:rPr>
          <w:rFonts w:eastAsia="Times"/>
          <w:szCs w:val="21"/>
        </w:rPr>
        <w:t xml:space="preserve">As of </w:t>
      </w:r>
      <w:r w:rsidR="00137A09">
        <w:rPr>
          <w:rFonts w:eastAsia="Times"/>
          <w:szCs w:val="21"/>
        </w:rPr>
        <w:t>April 2025</w:t>
      </w:r>
      <w:r w:rsidR="00137A09" w:rsidRPr="007F70E7">
        <w:rPr>
          <w:rFonts w:eastAsia="Times"/>
          <w:szCs w:val="21"/>
        </w:rPr>
        <w:t xml:space="preserve">, </w:t>
      </w:r>
      <w:r w:rsidR="00137A09">
        <w:rPr>
          <w:rFonts w:eastAsia="Times"/>
          <w:szCs w:val="21"/>
        </w:rPr>
        <w:t>22</w:t>
      </w:r>
      <w:r w:rsidR="00137A09" w:rsidRPr="007F70E7">
        <w:rPr>
          <w:rFonts w:eastAsia="Times"/>
          <w:szCs w:val="21"/>
        </w:rPr>
        <w:t xml:space="preserve"> American states and </w:t>
      </w:r>
      <w:r w:rsidR="00137A09">
        <w:rPr>
          <w:rFonts w:eastAsia="Times"/>
          <w:szCs w:val="21"/>
        </w:rPr>
        <w:t>24</w:t>
      </w:r>
      <w:r w:rsidR="00137A09" w:rsidRPr="007F70E7">
        <w:rPr>
          <w:rFonts w:eastAsia="Times"/>
          <w:szCs w:val="21"/>
        </w:rPr>
        <w:t xml:space="preserve"> American municipalities have adopted some form of a salary history ban.</w:t>
      </w:r>
      <w:r w:rsidR="00137A09">
        <w:rPr>
          <w:rStyle w:val="FootnoteReference"/>
          <w:rFonts w:eastAsia="Times"/>
          <w:szCs w:val="21"/>
        </w:rPr>
        <w:footnoteReference w:id="16"/>
      </w:r>
      <w:r w:rsidR="00137A09">
        <w:rPr>
          <w:rFonts w:eastAsia="Times"/>
          <w:szCs w:val="21"/>
        </w:rPr>
        <w:t xml:space="preserve"> Similar bans have also been implemented in Canada and Europe.</w:t>
      </w:r>
      <w:r w:rsidR="00137A09">
        <w:rPr>
          <w:rStyle w:val="FootnoteReference"/>
          <w:rFonts w:eastAsia="Times"/>
          <w:szCs w:val="21"/>
        </w:rPr>
        <w:footnoteReference w:id="17"/>
      </w:r>
      <w:r w:rsidR="00137A09">
        <w:rPr>
          <w:rFonts w:eastAsia="Times"/>
          <w:szCs w:val="21"/>
        </w:rPr>
        <w:t xml:space="preserve">  </w:t>
      </w:r>
    </w:p>
    <w:p w14:paraId="77AC4187" w14:textId="665D363A" w:rsidR="00EB4589" w:rsidRDefault="00510B1A" w:rsidP="00E46B7F">
      <w:pPr>
        <w:spacing w:before="120"/>
        <w:rPr>
          <w:rFonts w:eastAsia="Times"/>
          <w:szCs w:val="21"/>
        </w:rPr>
      </w:pPr>
      <w:r>
        <w:rPr>
          <w:rFonts w:eastAsia="Times"/>
          <w:szCs w:val="21"/>
        </w:rPr>
        <w:lastRenderedPageBreak/>
        <w:t xml:space="preserve">Evidence </w:t>
      </w:r>
      <w:r w:rsidR="000B7FAE">
        <w:rPr>
          <w:rFonts w:eastAsia="Times"/>
          <w:szCs w:val="21"/>
        </w:rPr>
        <w:t xml:space="preserve">tells us that </w:t>
      </w:r>
      <w:r w:rsidR="00CD05E0">
        <w:rPr>
          <w:rFonts w:eastAsia="Times"/>
          <w:szCs w:val="21"/>
        </w:rPr>
        <w:t xml:space="preserve">the use of salary history bans can reduce the gender pay gap </w:t>
      </w:r>
      <w:r w:rsidR="00591188">
        <w:rPr>
          <w:rFonts w:eastAsia="Times"/>
          <w:szCs w:val="21"/>
        </w:rPr>
        <w:t>for women and marginalised groups</w:t>
      </w:r>
      <w:r w:rsidR="00591188" w:rsidRPr="007F70E7">
        <w:rPr>
          <w:rFonts w:eastAsia="Times"/>
          <w:szCs w:val="21"/>
        </w:rPr>
        <w:t>.</w:t>
      </w:r>
      <w:r w:rsidR="00591188" w:rsidRPr="007F70E7">
        <w:rPr>
          <w:rStyle w:val="FootnoteReference"/>
          <w:rFonts w:eastAsia="Times"/>
          <w:szCs w:val="21"/>
        </w:rPr>
        <w:footnoteReference w:id="18"/>
      </w:r>
      <w:r w:rsidR="00591188" w:rsidRPr="007F70E7">
        <w:rPr>
          <w:rFonts w:eastAsia="Times"/>
          <w:szCs w:val="21"/>
        </w:rPr>
        <w:t xml:space="preserve"> </w:t>
      </w:r>
      <w:r w:rsidR="007063F4">
        <w:rPr>
          <w:rFonts w:eastAsia="Times"/>
          <w:szCs w:val="21"/>
        </w:rPr>
        <w:t>They can also have a positive impact on screening and recruitment processes</w:t>
      </w:r>
      <w:r w:rsidR="00E94ADE">
        <w:rPr>
          <w:rFonts w:eastAsia="Times"/>
          <w:szCs w:val="21"/>
        </w:rPr>
        <w:t>.</w:t>
      </w:r>
      <w:r w:rsidR="007063F4">
        <w:rPr>
          <w:rFonts w:eastAsia="Times"/>
          <w:szCs w:val="21"/>
        </w:rPr>
        <w:t xml:space="preserve"> </w:t>
      </w:r>
      <w:r w:rsidR="007D7806">
        <w:rPr>
          <w:rFonts w:eastAsia="Times"/>
          <w:szCs w:val="21"/>
        </w:rPr>
        <w:t>In particular, a</w:t>
      </w:r>
      <w:r w:rsidR="001F67B9">
        <w:rPr>
          <w:rFonts w:eastAsia="Times"/>
          <w:szCs w:val="21"/>
        </w:rPr>
        <w:t xml:space="preserve"> research experi</w:t>
      </w:r>
      <w:r w:rsidR="007D7806">
        <w:rPr>
          <w:rFonts w:eastAsia="Times"/>
          <w:szCs w:val="21"/>
        </w:rPr>
        <w:t>ment</w:t>
      </w:r>
      <w:r w:rsidR="001F67B9">
        <w:rPr>
          <w:rFonts w:eastAsia="Times"/>
          <w:szCs w:val="21"/>
        </w:rPr>
        <w:t xml:space="preserve"> conducted in America</w:t>
      </w:r>
      <w:r w:rsidR="00F16CC9">
        <w:rPr>
          <w:rFonts w:eastAsia="Times"/>
          <w:szCs w:val="21"/>
        </w:rPr>
        <w:t xml:space="preserve"> revealed that,</w:t>
      </w:r>
      <w:r w:rsidR="00E748AC">
        <w:rPr>
          <w:rFonts w:eastAsia="Times"/>
          <w:szCs w:val="21"/>
        </w:rPr>
        <w:t xml:space="preserve"> without access to</w:t>
      </w:r>
      <w:r w:rsidR="00671803">
        <w:rPr>
          <w:rFonts w:eastAsia="Times"/>
          <w:szCs w:val="21"/>
        </w:rPr>
        <w:t xml:space="preserve"> applicant wage histories, employers </w:t>
      </w:r>
      <w:r w:rsidR="00AF1EC6">
        <w:rPr>
          <w:rFonts w:eastAsia="Times"/>
          <w:szCs w:val="21"/>
        </w:rPr>
        <w:t>enlarge the pool of applicants they conside</w:t>
      </w:r>
      <w:r w:rsidR="00E94ADE">
        <w:rPr>
          <w:rFonts w:eastAsia="Times"/>
          <w:szCs w:val="21"/>
        </w:rPr>
        <w:t>r</w:t>
      </w:r>
      <w:r w:rsidR="00E3790E">
        <w:rPr>
          <w:rFonts w:eastAsia="Times"/>
          <w:szCs w:val="21"/>
        </w:rPr>
        <w:t xml:space="preserve"> </w:t>
      </w:r>
      <w:r w:rsidR="00DF684D">
        <w:rPr>
          <w:rFonts w:eastAsia="Times" w:cs="Arial"/>
          <w:szCs w:val="21"/>
        </w:rPr>
        <w:t>—</w:t>
      </w:r>
      <w:r w:rsidR="00E3790E">
        <w:rPr>
          <w:rFonts w:eastAsia="Times"/>
          <w:szCs w:val="21"/>
        </w:rPr>
        <w:t xml:space="preserve"> that is</w:t>
      </w:r>
      <w:r w:rsidR="007D7806">
        <w:rPr>
          <w:rFonts w:eastAsia="Times"/>
          <w:szCs w:val="21"/>
        </w:rPr>
        <w:t>,</w:t>
      </w:r>
      <w:r w:rsidR="00E3790E">
        <w:rPr>
          <w:rFonts w:eastAsia="Times"/>
          <w:szCs w:val="21"/>
        </w:rPr>
        <w:t xml:space="preserve"> witho</w:t>
      </w:r>
      <w:r w:rsidR="00124AA6">
        <w:rPr>
          <w:rFonts w:eastAsia="Times"/>
          <w:szCs w:val="21"/>
        </w:rPr>
        <w:t xml:space="preserve">ut the anchor of a low prior salary, employers </w:t>
      </w:r>
      <w:r w:rsidR="00765AB9">
        <w:rPr>
          <w:rFonts w:eastAsia="Times"/>
          <w:szCs w:val="21"/>
        </w:rPr>
        <w:t>may be more</w:t>
      </w:r>
      <w:r w:rsidR="00124AA6">
        <w:rPr>
          <w:rFonts w:eastAsia="Times"/>
          <w:szCs w:val="21"/>
        </w:rPr>
        <w:t xml:space="preserve"> willing to consider</w:t>
      </w:r>
      <w:r w:rsidR="00E94ADE">
        <w:rPr>
          <w:rFonts w:eastAsia="Times"/>
          <w:szCs w:val="21"/>
        </w:rPr>
        <w:t xml:space="preserve"> female candidates they might have otherwise screened out.</w:t>
      </w:r>
      <w:r w:rsidR="00E94ADE">
        <w:rPr>
          <w:rStyle w:val="FootnoteReference"/>
          <w:rFonts w:eastAsia="Times"/>
          <w:szCs w:val="21"/>
        </w:rPr>
        <w:footnoteReference w:id="19"/>
      </w:r>
      <w:r w:rsidR="00E94ADE">
        <w:rPr>
          <w:rFonts w:eastAsia="Times"/>
          <w:szCs w:val="21"/>
        </w:rPr>
        <w:t xml:space="preserve"> </w:t>
      </w:r>
      <w:r w:rsidR="00F16CC9">
        <w:rPr>
          <w:rFonts w:eastAsia="Times"/>
          <w:szCs w:val="21"/>
        </w:rPr>
        <w:t>Further, t</w:t>
      </w:r>
      <w:r w:rsidR="00F16CC9" w:rsidRPr="00F16CC9">
        <w:rPr>
          <w:rFonts w:eastAsia="Times"/>
          <w:szCs w:val="21"/>
        </w:rPr>
        <w:t xml:space="preserve">he candidates hired </w:t>
      </w:r>
      <w:r w:rsidR="00F16CC9">
        <w:rPr>
          <w:rFonts w:eastAsia="Times"/>
          <w:szCs w:val="21"/>
        </w:rPr>
        <w:t xml:space="preserve">by these employers </w:t>
      </w:r>
      <w:r w:rsidR="00F16CC9" w:rsidRPr="00F16CC9">
        <w:rPr>
          <w:rFonts w:eastAsia="Times"/>
          <w:szCs w:val="21"/>
        </w:rPr>
        <w:t>had lower past wages</w:t>
      </w:r>
      <w:r w:rsidR="00F16CC9">
        <w:rPr>
          <w:rFonts w:eastAsia="Times"/>
          <w:szCs w:val="21"/>
        </w:rPr>
        <w:t xml:space="preserve"> </w:t>
      </w:r>
      <w:r w:rsidR="00F16CC9" w:rsidRPr="00F16CC9">
        <w:rPr>
          <w:rFonts w:eastAsia="Times"/>
          <w:szCs w:val="21"/>
        </w:rPr>
        <w:t xml:space="preserve">and </w:t>
      </w:r>
      <w:r w:rsidR="00F16CC9">
        <w:rPr>
          <w:rFonts w:eastAsia="Times"/>
          <w:szCs w:val="21"/>
        </w:rPr>
        <w:t>negotiated better salaries.</w:t>
      </w:r>
      <w:r w:rsidR="00DF684D">
        <w:rPr>
          <w:rStyle w:val="FootnoteReference"/>
          <w:rFonts w:eastAsia="Times"/>
          <w:szCs w:val="21"/>
        </w:rPr>
        <w:footnoteReference w:id="20"/>
      </w:r>
    </w:p>
    <w:p w14:paraId="7164C13C" w14:textId="759A5E0F" w:rsidR="0026686D" w:rsidRDefault="00133945" w:rsidP="00E46B7F">
      <w:pPr>
        <w:spacing w:before="120"/>
        <w:rPr>
          <w:rFonts w:eastAsia="Times"/>
          <w:szCs w:val="21"/>
        </w:rPr>
      </w:pPr>
      <w:r>
        <w:rPr>
          <w:rFonts w:eastAsia="Times"/>
          <w:szCs w:val="21"/>
        </w:rPr>
        <w:t xml:space="preserve">While </w:t>
      </w:r>
      <w:r w:rsidR="002E011A">
        <w:rPr>
          <w:rFonts w:eastAsia="Times"/>
          <w:szCs w:val="21"/>
        </w:rPr>
        <w:t xml:space="preserve">the use of such bans </w:t>
      </w:r>
      <w:r w:rsidR="00E9104B">
        <w:rPr>
          <w:rFonts w:eastAsia="Times"/>
          <w:szCs w:val="21"/>
        </w:rPr>
        <w:t>may have</w:t>
      </w:r>
      <w:r w:rsidR="00300E54">
        <w:rPr>
          <w:rFonts w:eastAsia="Times"/>
          <w:szCs w:val="21"/>
        </w:rPr>
        <w:t xml:space="preserve"> limited impact in circumstances where candidates</w:t>
      </w:r>
      <w:r w:rsidR="00E9104B">
        <w:rPr>
          <w:rFonts w:eastAsia="Times"/>
          <w:szCs w:val="21"/>
        </w:rPr>
        <w:t xml:space="preserve"> (more likely to be men)</w:t>
      </w:r>
      <w:r w:rsidR="00300E54">
        <w:rPr>
          <w:rFonts w:eastAsia="Times"/>
          <w:szCs w:val="21"/>
        </w:rPr>
        <w:t xml:space="preserve"> voluntarily disclose their salary history</w:t>
      </w:r>
      <w:r>
        <w:rPr>
          <w:rFonts w:eastAsia="Times"/>
          <w:szCs w:val="21"/>
        </w:rPr>
        <w:t>,</w:t>
      </w:r>
      <w:r w:rsidR="00F901F5">
        <w:rPr>
          <w:rStyle w:val="FootnoteReference"/>
          <w:rFonts w:eastAsia="Times"/>
          <w:szCs w:val="21"/>
        </w:rPr>
        <w:footnoteReference w:id="21"/>
      </w:r>
      <w:r w:rsidR="00300E54">
        <w:rPr>
          <w:rFonts w:eastAsia="Times"/>
          <w:szCs w:val="21"/>
        </w:rPr>
        <w:t xml:space="preserve"> </w:t>
      </w:r>
      <w:r>
        <w:rPr>
          <w:rFonts w:eastAsia="Times"/>
          <w:szCs w:val="21"/>
        </w:rPr>
        <w:t xml:space="preserve">the evidence </w:t>
      </w:r>
      <w:r w:rsidR="003C2548">
        <w:rPr>
          <w:rFonts w:eastAsia="Times"/>
          <w:szCs w:val="21"/>
        </w:rPr>
        <w:t>suggests th</w:t>
      </w:r>
      <w:r w:rsidR="00736FB9">
        <w:rPr>
          <w:rFonts w:eastAsia="Times"/>
          <w:szCs w:val="21"/>
        </w:rPr>
        <w:t xml:space="preserve">at </w:t>
      </w:r>
      <w:r w:rsidR="0022467D">
        <w:rPr>
          <w:rFonts w:eastAsia="Times" w:cs="Arial"/>
          <w:szCs w:val="21"/>
        </w:rPr>
        <w:t>—</w:t>
      </w:r>
      <w:r w:rsidR="00567B6F">
        <w:rPr>
          <w:rFonts w:eastAsia="Times"/>
          <w:szCs w:val="21"/>
        </w:rPr>
        <w:t xml:space="preserve"> </w:t>
      </w:r>
      <w:r w:rsidR="00567B6F" w:rsidRPr="00567B6F">
        <w:rPr>
          <w:rFonts w:eastAsia="Times"/>
          <w:szCs w:val="21"/>
        </w:rPr>
        <w:t xml:space="preserve">coupled with enhanced transparency and a focus on equitable career progression </w:t>
      </w:r>
      <w:r w:rsidR="0022467D">
        <w:rPr>
          <w:rFonts w:eastAsia="Times" w:cs="Arial"/>
          <w:szCs w:val="21"/>
        </w:rPr>
        <w:t>—</w:t>
      </w:r>
      <w:r w:rsidR="00736FB9">
        <w:rPr>
          <w:rFonts w:eastAsia="Times"/>
          <w:szCs w:val="21"/>
        </w:rPr>
        <w:t xml:space="preserve"> </w:t>
      </w:r>
      <w:r w:rsidR="005F141F">
        <w:rPr>
          <w:rFonts w:eastAsia="Times"/>
          <w:szCs w:val="21"/>
        </w:rPr>
        <w:t>salary history bans can assist the VPS to</w:t>
      </w:r>
      <w:r w:rsidR="003C2548">
        <w:rPr>
          <w:rFonts w:eastAsia="Times"/>
          <w:szCs w:val="21"/>
        </w:rPr>
        <w:t xml:space="preserve"> clos</w:t>
      </w:r>
      <w:r w:rsidR="005F141F">
        <w:rPr>
          <w:rFonts w:eastAsia="Times"/>
          <w:szCs w:val="21"/>
        </w:rPr>
        <w:t>e</w:t>
      </w:r>
      <w:r w:rsidR="003C2548">
        <w:rPr>
          <w:rFonts w:eastAsia="Times"/>
          <w:szCs w:val="21"/>
        </w:rPr>
        <w:t xml:space="preserve"> </w:t>
      </w:r>
      <w:r w:rsidR="005F141F">
        <w:rPr>
          <w:rFonts w:eastAsia="Times"/>
          <w:szCs w:val="21"/>
        </w:rPr>
        <w:t>the executive</w:t>
      </w:r>
      <w:r w:rsidR="003C2548">
        <w:rPr>
          <w:rFonts w:eastAsia="Times"/>
          <w:szCs w:val="21"/>
        </w:rPr>
        <w:t xml:space="preserve"> gender pay gap</w:t>
      </w:r>
      <w:r w:rsidR="005F141F">
        <w:rPr>
          <w:rFonts w:eastAsia="Times"/>
          <w:szCs w:val="21"/>
        </w:rPr>
        <w:t xml:space="preserve">. </w:t>
      </w:r>
      <w:r w:rsidR="000D04B8">
        <w:rPr>
          <w:rFonts w:eastAsia="Times"/>
          <w:szCs w:val="21"/>
        </w:rPr>
        <w:t xml:space="preserve">Women </w:t>
      </w:r>
      <w:r w:rsidR="00302827">
        <w:rPr>
          <w:rFonts w:eastAsia="Times"/>
          <w:szCs w:val="21"/>
        </w:rPr>
        <w:t>and ‘women’s work’</w:t>
      </w:r>
      <w:r w:rsidR="00F6178A">
        <w:rPr>
          <w:rFonts w:eastAsia="Times"/>
          <w:szCs w:val="21"/>
        </w:rPr>
        <w:t xml:space="preserve"> have historically </w:t>
      </w:r>
      <w:r w:rsidR="00274E7C">
        <w:rPr>
          <w:rFonts w:eastAsia="Times"/>
          <w:szCs w:val="21"/>
        </w:rPr>
        <w:t>been undervalued and underpaid</w:t>
      </w:r>
      <w:r w:rsidR="00F6178A">
        <w:rPr>
          <w:rFonts w:eastAsia="Times"/>
          <w:szCs w:val="21"/>
        </w:rPr>
        <w:t>. Allowing a woman’s prior salary to justify wage d</w:t>
      </w:r>
      <w:r w:rsidR="00274E7C">
        <w:rPr>
          <w:rFonts w:eastAsia="Times"/>
          <w:szCs w:val="21"/>
        </w:rPr>
        <w:t xml:space="preserve">isparity perpetuates </w:t>
      </w:r>
      <w:r w:rsidR="00A45379">
        <w:rPr>
          <w:rFonts w:eastAsia="Times"/>
          <w:szCs w:val="21"/>
        </w:rPr>
        <w:t xml:space="preserve">and further entrenches this obvious means of discrimination. </w:t>
      </w:r>
    </w:p>
    <w:p w14:paraId="076F0AE2" w14:textId="110EB2F9" w:rsidR="00E153AC" w:rsidRPr="00E153AC" w:rsidRDefault="00E153AC" w:rsidP="00186E3A">
      <w:pPr>
        <w:pStyle w:val="Heading1"/>
        <w:numPr>
          <w:ilvl w:val="0"/>
          <w:numId w:val="12"/>
        </w:numPr>
      </w:pPr>
      <w:bookmarkStart w:id="10" w:name="_Toc202971739"/>
      <w:r w:rsidRPr="00E153AC">
        <w:t>Conclusion</w:t>
      </w:r>
      <w:bookmarkEnd w:id="10"/>
    </w:p>
    <w:p w14:paraId="4A0130E1" w14:textId="23B8E68B" w:rsidR="00E153AC" w:rsidRPr="00E153AC" w:rsidRDefault="00E153AC" w:rsidP="00E46B7F">
      <w:pPr>
        <w:spacing w:before="120"/>
        <w:rPr>
          <w:rFonts w:eastAsia="Times"/>
          <w:szCs w:val="21"/>
        </w:rPr>
      </w:pPr>
      <w:r w:rsidRPr="00E153AC">
        <w:rPr>
          <w:rFonts w:eastAsia="Times"/>
          <w:szCs w:val="21"/>
        </w:rPr>
        <w:t>By integrating a strong gender lens into its Determination</w:t>
      </w:r>
      <w:r w:rsidR="006A59BD" w:rsidRPr="00F066CE">
        <w:rPr>
          <w:rFonts w:eastAsia="Times"/>
          <w:szCs w:val="21"/>
        </w:rPr>
        <w:t>, the</w:t>
      </w:r>
      <w:r w:rsidRPr="00E153AC">
        <w:rPr>
          <w:rFonts w:eastAsia="Times"/>
          <w:szCs w:val="21"/>
        </w:rPr>
        <w:t xml:space="preserve"> Tribunal can contribute significantly to closing the gender pay gap and creating a more equitable and effective public sector for all Victorians.</w:t>
      </w:r>
    </w:p>
    <w:p w14:paraId="315F6C04" w14:textId="058727A1" w:rsidR="00E153AC" w:rsidRDefault="00F066CE" w:rsidP="00E46B7F">
      <w:pPr>
        <w:spacing w:before="120"/>
        <w:rPr>
          <w:rFonts w:eastAsia="Times"/>
          <w:szCs w:val="21"/>
        </w:rPr>
      </w:pPr>
      <w:r w:rsidRPr="00F066CE">
        <w:rPr>
          <w:rFonts w:eastAsia="Times"/>
          <w:szCs w:val="21"/>
        </w:rPr>
        <w:t>My office and I</w:t>
      </w:r>
      <w:r w:rsidR="00E153AC" w:rsidRPr="00E153AC">
        <w:rPr>
          <w:rFonts w:eastAsia="Times"/>
          <w:szCs w:val="21"/>
        </w:rPr>
        <w:t xml:space="preserve"> </w:t>
      </w:r>
      <w:r w:rsidR="00F9598D">
        <w:rPr>
          <w:rFonts w:eastAsia="Times"/>
          <w:szCs w:val="21"/>
        </w:rPr>
        <w:t>would be pleased</w:t>
      </w:r>
      <w:r w:rsidR="00E153AC" w:rsidRPr="00E153AC">
        <w:rPr>
          <w:rFonts w:eastAsia="Times"/>
          <w:szCs w:val="21"/>
        </w:rPr>
        <w:t xml:space="preserve"> to work with the</w:t>
      </w:r>
      <w:r>
        <w:rPr>
          <w:rFonts w:eastAsia="Times"/>
          <w:szCs w:val="21"/>
        </w:rPr>
        <w:t xml:space="preserve"> </w:t>
      </w:r>
      <w:r w:rsidR="00E153AC" w:rsidRPr="00E153AC">
        <w:rPr>
          <w:rFonts w:eastAsia="Times"/>
          <w:szCs w:val="21"/>
        </w:rPr>
        <w:t>Tribunal to provide further information and support in this critical endeavour.</w:t>
      </w:r>
    </w:p>
    <w:p w14:paraId="55B6765D" w14:textId="2CBB5FAC" w:rsidR="006930C0" w:rsidRPr="00EA0012" w:rsidRDefault="006930C0" w:rsidP="006930C0">
      <w:pPr>
        <w:spacing w:before="120"/>
        <w:rPr>
          <w:rFonts w:eastAsia="Times"/>
          <w:szCs w:val="21"/>
        </w:rPr>
      </w:pPr>
      <w:r w:rsidRPr="00EA0012">
        <w:rPr>
          <w:rFonts w:eastAsia="Times"/>
          <w:szCs w:val="21"/>
        </w:rPr>
        <w:t xml:space="preserve">I would like to acknowledge Monique Failla, Senior Policy Adviser at the Commission for her work in preparing the advice provided in this letter. In the first instance please contact Monique if the Commission requires any further assistance (monique.failla@genderequalitycommission.vic.gov.au). </w:t>
      </w:r>
    </w:p>
    <w:p w14:paraId="53E7BF87" w14:textId="77777777" w:rsidR="006930C0" w:rsidRPr="00EA0012" w:rsidRDefault="006930C0" w:rsidP="006930C0">
      <w:pPr>
        <w:spacing w:before="120"/>
        <w:rPr>
          <w:rFonts w:eastAsia="Times"/>
          <w:szCs w:val="21"/>
        </w:rPr>
      </w:pPr>
    </w:p>
    <w:p w14:paraId="7CAB6D8A" w14:textId="77777777" w:rsidR="006930C0" w:rsidRPr="00EA0012" w:rsidRDefault="006930C0" w:rsidP="006930C0">
      <w:pPr>
        <w:spacing w:before="120"/>
        <w:rPr>
          <w:rFonts w:eastAsia="Times"/>
          <w:szCs w:val="21"/>
        </w:rPr>
      </w:pPr>
      <w:r w:rsidRPr="00EA0012">
        <w:rPr>
          <w:rFonts w:eastAsia="Times"/>
          <w:szCs w:val="21"/>
        </w:rPr>
        <w:t>Yours sincerely</w:t>
      </w:r>
    </w:p>
    <w:p w14:paraId="57963C9F" w14:textId="77777777" w:rsidR="006930C0" w:rsidRPr="00EA0012" w:rsidRDefault="006930C0" w:rsidP="006930C0">
      <w:pPr>
        <w:spacing w:before="120"/>
        <w:rPr>
          <w:rFonts w:eastAsia="Times"/>
          <w:szCs w:val="21"/>
        </w:rPr>
      </w:pPr>
    </w:p>
    <w:p w14:paraId="39A07269" w14:textId="77777777" w:rsidR="006930C0" w:rsidRDefault="006930C0" w:rsidP="006930C0">
      <w:pPr>
        <w:spacing w:before="120"/>
        <w:rPr>
          <w:rFonts w:eastAsia="Times"/>
          <w:szCs w:val="21"/>
        </w:rPr>
      </w:pPr>
    </w:p>
    <w:p w14:paraId="5B51E708" w14:textId="77777777" w:rsidR="006930C0" w:rsidRPr="00EA0012" w:rsidRDefault="006930C0" w:rsidP="006930C0">
      <w:pPr>
        <w:spacing w:before="120"/>
        <w:rPr>
          <w:rFonts w:eastAsia="Times"/>
          <w:szCs w:val="21"/>
        </w:rPr>
      </w:pPr>
    </w:p>
    <w:p w14:paraId="70190348" w14:textId="77777777" w:rsidR="006930C0" w:rsidRPr="005E2F03" w:rsidRDefault="006930C0" w:rsidP="006930C0">
      <w:pPr>
        <w:spacing w:before="120"/>
        <w:rPr>
          <w:rFonts w:eastAsia="Times"/>
          <w:b/>
          <w:bCs/>
          <w:szCs w:val="21"/>
        </w:rPr>
      </w:pPr>
      <w:r w:rsidRPr="005E2F03">
        <w:rPr>
          <w:rFonts w:eastAsia="Times"/>
          <w:b/>
          <w:bCs/>
          <w:szCs w:val="21"/>
        </w:rPr>
        <w:t>Dr. Niki Vincent</w:t>
      </w:r>
    </w:p>
    <w:p w14:paraId="0A9FD825" w14:textId="77777777" w:rsidR="006930C0" w:rsidRDefault="006930C0" w:rsidP="006930C0">
      <w:pPr>
        <w:spacing w:before="120"/>
        <w:rPr>
          <w:rFonts w:eastAsia="Times"/>
          <w:szCs w:val="21"/>
        </w:rPr>
      </w:pPr>
      <w:r w:rsidRPr="00EA0012">
        <w:rPr>
          <w:rFonts w:eastAsia="Times"/>
          <w:szCs w:val="21"/>
        </w:rPr>
        <w:t>Public Sector Gender Equality Commissioner</w:t>
      </w:r>
    </w:p>
    <w:p w14:paraId="1E763987" w14:textId="77777777" w:rsidR="0022467D" w:rsidRDefault="0022467D" w:rsidP="00E46B7F">
      <w:pPr>
        <w:spacing w:before="120"/>
        <w:rPr>
          <w:rFonts w:eastAsia="Times"/>
          <w:szCs w:val="21"/>
        </w:rPr>
      </w:pPr>
    </w:p>
    <w:p w14:paraId="324CB29D" w14:textId="77777777" w:rsidR="00F066CE" w:rsidRDefault="00F066CE" w:rsidP="00E46B7F">
      <w:pPr>
        <w:spacing w:before="120"/>
        <w:rPr>
          <w:rFonts w:eastAsia="Times"/>
          <w:szCs w:val="21"/>
        </w:rPr>
      </w:pPr>
    </w:p>
    <w:p w14:paraId="44EBB73A" w14:textId="77777777" w:rsidR="00F066CE" w:rsidRDefault="00F066CE" w:rsidP="00E46B7F">
      <w:pPr>
        <w:spacing w:before="120"/>
        <w:rPr>
          <w:rFonts w:eastAsia="Times"/>
          <w:szCs w:val="21"/>
        </w:rPr>
      </w:pPr>
    </w:p>
    <w:p w14:paraId="4EC3E34D" w14:textId="77777777" w:rsidR="00F066CE" w:rsidRDefault="00F066CE" w:rsidP="00E46B7F">
      <w:pPr>
        <w:spacing w:before="120"/>
        <w:rPr>
          <w:rFonts w:eastAsia="Times"/>
          <w:szCs w:val="21"/>
        </w:rPr>
      </w:pPr>
    </w:p>
    <w:p w14:paraId="668E1EAE" w14:textId="77777777" w:rsidR="00F066CE" w:rsidRDefault="00F066CE" w:rsidP="00E46B7F">
      <w:pPr>
        <w:spacing w:before="120"/>
        <w:rPr>
          <w:rFonts w:eastAsia="Times"/>
          <w:szCs w:val="21"/>
        </w:rPr>
      </w:pPr>
    </w:p>
    <w:p w14:paraId="147B1B9F" w14:textId="77777777" w:rsidR="00F066CE" w:rsidRDefault="00F066CE" w:rsidP="00E46B7F">
      <w:pPr>
        <w:spacing w:before="120"/>
        <w:rPr>
          <w:rFonts w:eastAsia="Times"/>
          <w:szCs w:val="21"/>
        </w:rPr>
      </w:pPr>
    </w:p>
    <w:p w14:paraId="116B193F" w14:textId="77777777" w:rsidR="00091E22" w:rsidRDefault="00091E22" w:rsidP="00C46CC8">
      <w:pPr>
        <w:spacing w:before="120" w:line="240" w:lineRule="auto"/>
        <w:rPr>
          <w:rFonts w:eastAsia="Times"/>
          <w:sz w:val="24"/>
          <w:szCs w:val="19"/>
        </w:rPr>
      </w:pPr>
    </w:p>
    <w:p w14:paraId="5E249B80" w14:textId="77777777" w:rsidR="00CC0EEA" w:rsidRDefault="00CC0EEA" w:rsidP="00162CA9">
      <w:pPr>
        <w:pStyle w:val="Body"/>
      </w:pPr>
    </w:p>
    <w:sectPr w:rsidR="00CC0EEA"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B06F" w14:textId="77777777" w:rsidR="00987DAA" w:rsidRDefault="00987DAA">
      <w:r>
        <w:separator/>
      </w:r>
    </w:p>
    <w:p w14:paraId="4ACF4F04" w14:textId="77777777" w:rsidR="00987DAA" w:rsidRDefault="00987DAA"/>
  </w:endnote>
  <w:endnote w:type="continuationSeparator" w:id="0">
    <w:p w14:paraId="29E29462" w14:textId="77777777" w:rsidR="00987DAA" w:rsidRDefault="00987DAA">
      <w:r>
        <w:continuationSeparator/>
      </w:r>
    </w:p>
    <w:p w14:paraId="7463498B" w14:textId="77777777" w:rsidR="00987DAA" w:rsidRDefault="00987DAA"/>
  </w:endnote>
  <w:endnote w:type="continuationNotice" w:id="1">
    <w:p w14:paraId="1DFA456F" w14:textId="77777777" w:rsidR="00987DAA" w:rsidRDefault="00987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C25" w14:textId="783CD13B" w:rsidR="001159FE" w:rsidRDefault="009B3493">
    <w:pPr>
      <w:pStyle w:val="Footer"/>
    </w:pPr>
    <w:r w:rsidRPr="00A964EC">
      <w:rPr>
        <w:rFonts w:ascii="VIC Medium" w:hAnsi="VIC Medium"/>
        <w:noProof/>
      </w:rPr>
      <w:drawing>
        <wp:anchor distT="0" distB="0" distL="114300" distR="114300" simplePos="0" relativeHeight="251658241" behindDoc="0" locked="0" layoutInCell="1" allowOverlap="1" wp14:anchorId="5415C2FA" wp14:editId="4BC637C0">
          <wp:simplePos x="0" y="0"/>
          <wp:positionH relativeFrom="column">
            <wp:posOffset>83127</wp:posOffset>
          </wp:positionH>
          <wp:positionV relativeFrom="paragraph">
            <wp:posOffset>-240995</wp:posOffset>
          </wp:positionV>
          <wp:extent cx="2073275" cy="359410"/>
          <wp:effectExtent l="0" t="0" r="3175" b="2540"/>
          <wp:wrapNone/>
          <wp:docPr id="41442014" name="Picture 11" descr="Commission for Gender Equality in the Public Sector">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ommission for Gender Equality in the Public Sector">
                    <a:extLst>
                      <a:ext uri="{FF2B5EF4-FFF2-40B4-BE49-F238E27FC236}">
                        <a16:creationId xmlns:a16="http://schemas.microsoft.com/office/drawing/2014/main" id="{2A3339B6-50FA-4BC5-9E25-2FDAAF813AB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Pr="00A964EC">
      <w:rPr>
        <w:rFonts w:ascii="VIC Medium" w:hAnsi="VIC Medium"/>
        <w:noProof/>
      </w:rPr>
      <w:drawing>
        <wp:anchor distT="0" distB="0" distL="114300" distR="114300" simplePos="0" relativeHeight="251658242" behindDoc="0" locked="0" layoutInCell="1" allowOverlap="1" wp14:anchorId="2FC1C5B8" wp14:editId="58827BA0">
          <wp:simplePos x="0" y="0"/>
          <wp:positionH relativeFrom="column">
            <wp:posOffset>5648903</wp:posOffset>
          </wp:positionH>
          <wp:positionV relativeFrom="paragraph">
            <wp:posOffset>-285968</wp:posOffset>
          </wp:positionV>
          <wp:extent cx="792480" cy="453390"/>
          <wp:effectExtent l="0" t="0" r="7620" b="3810"/>
          <wp:wrapNone/>
          <wp:docPr id="253715333" name="Picture 9" descr="Victoria State Government">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37124" name="Picture 9" descr="Victoria State Government">
                    <a:extLst>
                      <a:ext uri="{FF2B5EF4-FFF2-40B4-BE49-F238E27FC236}">
                        <a16:creationId xmlns:a16="http://schemas.microsoft.com/office/drawing/2014/main" id="{062AE031-A7B9-44AA-9D02-D85723C900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60D3EE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BF191EE"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2B0F" w14:textId="77777777" w:rsidR="00987DAA" w:rsidRDefault="00987DAA" w:rsidP="00207717">
      <w:pPr>
        <w:spacing w:before="120"/>
      </w:pPr>
      <w:r>
        <w:separator/>
      </w:r>
    </w:p>
  </w:footnote>
  <w:footnote w:type="continuationSeparator" w:id="0">
    <w:p w14:paraId="4655790E" w14:textId="77777777" w:rsidR="00987DAA" w:rsidRDefault="00987DAA">
      <w:r>
        <w:continuationSeparator/>
      </w:r>
    </w:p>
    <w:p w14:paraId="5811DEA2" w14:textId="77777777" w:rsidR="00987DAA" w:rsidRDefault="00987DAA"/>
  </w:footnote>
  <w:footnote w:type="continuationNotice" w:id="1">
    <w:p w14:paraId="74D55483" w14:textId="77777777" w:rsidR="00987DAA" w:rsidRDefault="00987DAA">
      <w:pPr>
        <w:spacing w:after="0" w:line="240" w:lineRule="auto"/>
      </w:pPr>
    </w:p>
  </w:footnote>
  <w:footnote w:id="2">
    <w:p w14:paraId="2D16E6CD" w14:textId="00C289A4" w:rsidR="00174730" w:rsidRDefault="00174730" w:rsidP="00174730">
      <w:pPr>
        <w:pStyle w:val="FootnoteText"/>
      </w:pPr>
      <w:r>
        <w:rPr>
          <w:rStyle w:val="FootnoteReference"/>
        </w:rPr>
        <w:footnoteRef/>
      </w:r>
      <w:r>
        <w:t xml:space="preserve"> V</w:t>
      </w:r>
      <w:r w:rsidR="00D17FA1">
        <w:t xml:space="preserve">ictorian </w:t>
      </w:r>
      <w:r>
        <w:t>P</w:t>
      </w:r>
      <w:r w:rsidR="00D17FA1">
        <w:t xml:space="preserve">ublic </w:t>
      </w:r>
      <w:r>
        <w:t>S</w:t>
      </w:r>
      <w:r w:rsidR="00D17FA1">
        <w:t xml:space="preserve">ector </w:t>
      </w:r>
      <w:r>
        <w:t>C</w:t>
      </w:r>
      <w:r w:rsidR="00D17FA1">
        <w:t>ommission (VPSC)</w:t>
      </w:r>
      <w:r>
        <w:t xml:space="preserve">, </w:t>
      </w:r>
      <w:hyperlink r:id="rId1" w:anchor=":~:text=Victorian%20Public%20Service%20median%20%28middle%20point%29%20executive%20pay,median%20%28middle%20point%29%20executive%20pay%20at%20June%202024%3A" w:history="1">
        <w:r w:rsidRPr="00F77304">
          <w:rPr>
            <w:rStyle w:val="Hyperlink"/>
          </w:rPr>
          <w:t>Workforce data (state of the public sector) 2024: Executive pay and gender pay 2024</w:t>
        </w:r>
      </w:hyperlink>
      <w:r>
        <w:t>, 17 May 2024</w:t>
      </w:r>
      <w:r w:rsidR="00D17FA1">
        <w:t>.</w:t>
      </w:r>
    </w:p>
  </w:footnote>
  <w:footnote w:id="3">
    <w:p w14:paraId="693C53F0" w14:textId="345DAAE9" w:rsidR="00970C7B" w:rsidRDefault="00970C7B">
      <w:pPr>
        <w:pStyle w:val="FootnoteText"/>
      </w:pPr>
      <w:r>
        <w:rPr>
          <w:rStyle w:val="FootnoteReference"/>
        </w:rPr>
        <w:footnoteRef/>
      </w:r>
      <w:r>
        <w:t xml:space="preserve"> </w:t>
      </w:r>
      <w:r w:rsidR="004B73FB" w:rsidRPr="004B73FB">
        <w:t xml:space="preserve">KPMG, DCA (Diversity Council Australia) and WGEA (Workplace Gender Equality Agency) (2022) </w:t>
      </w:r>
      <w:hyperlink r:id="rId2" w:anchor=":~:text=Gender%20discrimination%3B%20care%2C%20family%20responsibilities%20and%20workforce%20participation%3B,contributors%20to%20the%20gender%20pay%20gap%20in%20Australia." w:history="1">
        <w:r w:rsidR="004B73FB" w:rsidRPr="005E3A24">
          <w:rPr>
            <w:rStyle w:val="Hyperlink"/>
          </w:rPr>
          <w:t>She’s Price(d)less: The economics of the gender pay gap 2022</w:t>
        </w:r>
      </w:hyperlink>
      <w:r w:rsidR="004B73FB" w:rsidRPr="004B73FB">
        <w:t>, WGEA,</w:t>
      </w:r>
      <w:r w:rsidR="004B73FB">
        <w:t>38.</w:t>
      </w:r>
    </w:p>
  </w:footnote>
  <w:footnote w:id="4">
    <w:p w14:paraId="52F24665" w14:textId="286CAD6D" w:rsidR="003724B1" w:rsidRDefault="003724B1" w:rsidP="003724B1">
      <w:pPr>
        <w:pStyle w:val="FootnoteText"/>
      </w:pPr>
      <w:r>
        <w:rPr>
          <w:rStyle w:val="FootnoteReference"/>
        </w:rPr>
        <w:footnoteRef/>
      </w:r>
      <w:r>
        <w:t xml:space="preserve"> </w:t>
      </w:r>
      <w:r>
        <w:rPr>
          <w:rFonts w:eastAsiaTheme="minorEastAsia"/>
        </w:rPr>
        <w:t>S</w:t>
      </w:r>
      <w:r w:rsidRPr="59C23AA6">
        <w:rPr>
          <w:rFonts w:eastAsiaTheme="minorEastAsia"/>
        </w:rPr>
        <w:t>ee actions 94 and 95</w:t>
      </w:r>
      <w:r w:rsidR="003B73FC">
        <w:rPr>
          <w:rFonts w:eastAsiaTheme="minorEastAsia"/>
        </w:rPr>
        <w:t xml:space="preserve">: </w:t>
      </w:r>
      <w:r w:rsidR="003B73FC" w:rsidRPr="00754927">
        <w:rPr>
          <w:szCs w:val="18"/>
        </w:rPr>
        <w:t xml:space="preserve">State of Victoria, Department of Families, Fairness and Housing, </w:t>
      </w:r>
      <w:hyperlink r:id="rId3" w:history="1">
        <w:r w:rsidR="003B73FC" w:rsidRPr="00B17E92">
          <w:rPr>
            <w:rStyle w:val="Hyperlink"/>
            <w:rFonts w:eastAsiaTheme="majorEastAsia"/>
            <w:szCs w:val="18"/>
          </w:rPr>
          <w:t>Our Equal State: Victoria’s Gender Equality Strategy and Action Plan 2023 – 2027</w:t>
        </w:r>
      </w:hyperlink>
      <w:r w:rsidR="003B73FC" w:rsidRPr="00754927">
        <w:rPr>
          <w:rFonts w:eastAsiaTheme="majorEastAsia"/>
          <w:szCs w:val="18"/>
        </w:rPr>
        <w:t xml:space="preserve"> (August 2023)</w:t>
      </w:r>
      <w:r w:rsidR="003B73FC">
        <w:rPr>
          <w:szCs w:val="18"/>
        </w:rPr>
        <w:t>,</w:t>
      </w:r>
      <w:r w:rsidRPr="59C23AA6">
        <w:rPr>
          <w:rFonts w:eastAsiaTheme="minorEastAsia"/>
        </w:rPr>
        <w:t xml:space="preserve"> 75</w:t>
      </w:r>
      <w:r w:rsidR="00614B08">
        <w:rPr>
          <w:rFonts w:eastAsiaTheme="minorEastAsia"/>
        </w:rPr>
        <w:t>.</w:t>
      </w:r>
    </w:p>
  </w:footnote>
  <w:footnote w:id="5">
    <w:p w14:paraId="1097B0A3" w14:textId="0316D9DC" w:rsidR="0023748C" w:rsidRDefault="0023748C">
      <w:pPr>
        <w:pStyle w:val="FootnoteText"/>
      </w:pPr>
      <w:r>
        <w:rPr>
          <w:rStyle w:val="FootnoteReference"/>
        </w:rPr>
        <w:footnoteRef/>
      </w:r>
      <w:r w:rsidR="00F44F26">
        <w:t xml:space="preserve"> Chief Executive Women, </w:t>
      </w:r>
      <w:hyperlink r:id="rId4" w:history="1">
        <w:r w:rsidR="00896E68" w:rsidRPr="00C01E1C">
          <w:rPr>
            <w:rStyle w:val="Hyperlink"/>
          </w:rPr>
          <w:t>CEW Senior Executive Census 2024: Keeping Score of a Losing Game</w:t>
        </w:r>
      </w:hyperlink>
      <w:r w:rsidR="00896E68">
        <w:t xml:space="preserve">, </w:t>
      </w:r>
      <w:r w:rsidR="00C01E1C">
        <w:t>September 2024</w:t>
      </w:r>
      <w:r w:rsidR="006C2FC9">
        <w:t xml:space="preserve">; Australian Government, Department of Premier and Cabinet, Women’s Equality Taskforce, ‘A </w:t>
      </w:r>
      <w:r w:rsidR="006C2FC9" w:rsidRPr="00DC5609">
        <w:t xml:space="preserve">10-year-plan to unleash the full capacity and contribution of women to the Australian economy 2023 </w:t>
      </w:r>
      <w:r w:rsidR="006C2FC9">
        <w:t>–</w:t>
      </w:r>
      <w:r w:rsidR="006C2FC9" w:rsidRPr="00DC5609">
        <w:t xml:space="preserve"> 203</w:t>
      </w:r>
      <w:r w:rsidR="006C2FC9">
        <w:t>3’ (Final Report), p 16.</w:t>
      </w:r>
    </w:p>
  </w:footnote>
  <w:footnote w:id="6">
    <w:p w14:paraId="51AB3F53" w14:textId="6CE35375" w:rsidR="00D506B7" w:rsidRDefault="00D506B7">
      <w:pPr>
        <w:pStyle w:val="FootnoteText"/>
      </w:pPr>
      <w:r>
        <w:rPr>
          <w:rStyle w:val="FootnoteReference"/>
        </w:rPr>
        <w:footnoteRef/>
      </w:r>
      <w:r>
        <w:t xml:space="preserve"> Australian Government, Department of Premier and Cabinet,</w:t>
      </w:r>
      <w:r w:rsidR="00CD2454">
        <w:t xml:space="preserve"> Women’s Equality Taskforce</w:t>
      </w:r>
      <w:r w:rsidR="00657709">
        <w:t>,</w:t>
      </w:r>
      <w:r>
        <w:t xml:space="preserve"> </w:t>
      </w:r>
      <w:r w:rsidR="00657709">
        <w:t>‘</w:t>
      </w:r>
      <w:r>
        <w:t xml:space="preserve">A </w:t>
      </w:r>
      <w:r w:rsidR="00DC5609" w:rsidRPr="00DC5609">
        <w:t xml:space="preserve">10-year-plan to unleash the full capacity and contribution of women to the Australian economy 2023 </w:t>
      </w:r>
      <w:r w:rsidR="00DC5609">
        <w:t>–</w:t>
      </w:r>
      <w:r w:rsidR="00DC5609" w:rsidRPr="00DC5609">
        <w:t xml:space="preserve"> 203</w:t>
      </w:r>
      <w:r w:rsidR="00657709">
        <w:t>3</w:t>
      </w:r>
      <w:r w:rsidR="00DC5609">
        <w:t>’</w:t>
      </w:r>
      <w:r w:rsidR="00657709">
        <w:t xml:space="preserve"> (Final Report),</w:t>
      </w:r>
      <w:r w:rsidR="00396DDF">
        <w:t xml:space="preserve"> p 16.</w:t>
      </w:r>
    </w:p>
  </w:footnote>
  <w:footnote w:id="7">
    <w:p w14:paraId="5239A6C2" w14:textId="1611FF8F" w:rsidR="00AB0D5F" w:rsidRDefault="00AB0D5F">
      <w:pPr>
        <w:pStyle w:val="FootnoteText"/>
      </w:pPr>
      <w:r>
        <w:rPr>
          <w:rStyle w:val="FootnoteReference"/>
        </w:rPr>
        <w:footnoteRef/>
      </w:r>
      <w:r>
        <w:t xml:space="preserve"> </w:t>
      </w:r>
      <w:r w:rsidR="00EE1F1B">
        <w:t>Kennedy, T et al. ‘</w:t>
      </w:r>
      <w:hyperlink r:id="rId5" w:anchor=":~:text=Using%20four%20different%20estimation%20methods,%20we%20find%20that,the%20effects%20of%20both%20physical%20and%20human%20capital." w:history="1">
        <w:r w:rsidR="00A00528" w:rsidRPr="0062508C">
          <w:rPr>
            <w:rStyle w:val="Hyperlink"/>
          </w:rPr>
          <w:t>Reducing gender wage inequality increases economic prosperity for all: Insights from Australia</w:t>
        </w:r>
      </w:hyperlink>
      <w:r w:rsidR="00A00528">
        <w:t>’</w:t>
      </w:r>
      <w:r w:rsidR="0062508C">
        <w:t>,</w:t>
      </w:r>
      <w:r w:rsidR="00A00528">
        <w:t xml:space="preserve"> </w:t>
      </w:r>
      <w:r w:rsidR="00A00528" w:rsidRPr="0062508C">
        <w:rPr>
          <w:i/>
          <w:iCs/>
        </w:rPr>
        <w:t>Economic Analysis and Policy</w:t>
      </w:r>
      <w:r w:rsidR="0062508C">
        <w:t>,</w:t>
      </w:r>
      <w:r w:rsidR="00A00528">
        <w:t xml:space="preserve"> 55</w:t>
      </w:r>
      <w:r w:rsidR="0062508C">
        <w:t xml:space="preserve"> </w:t>
      </w:r>
      <w:r w:rsidR="00A00528">
        <w:t>(</w:t>
      </w:r>
      <w:r w:rsidR="0062508C">
        <w:t>September 2017</w:t>
      </w:r>
      <w:r w:rsidR="00A00528">
        <w:t>)</w:t>
      </w:r>
      <w:r w:rsidR="0062508C">
        <w:t>, 14 – 24.</w:t>
      </w:r>
    </w:p>
  </w:footnote>
  <w:footnote w:id="8">
    <w:p w14:paraId="12E4E01B" w14:textId="2F62C87C" w:rsidR="00667453" w:rsidRDefault="00667453">
      <w:pPr>
        <w:pStyle w:val="FootnoteText"/>
      </w:pPr>
      <w:r>
        <w:rPr>
          <w:rStyle w:val="FootnoteReference"/>
        </w:rPr>
        <w:footnoteRef/>
      </w:r>
      <w:r>
        <w:t xml:space="preserve"> </w:t>
      </w:r>
      <w:r w:rsidR="00B4353D">
        <w:t xml:space="preserve">WGEA, </w:t>
      </w:r>
      <w:hyperlink r:id="rId6" w:tgtFrame="_blank" w:history="1">
        <w:r w:rsidR="00B4353D" w:rsidRPr="002E52AD">
          <w:rPr>
            <w:rStyle w:val="Hyperlink"/>
          </w:rPr>
          <w:t>Women’s economic security in retirement: Insight Paper</w:t>
        </w:r>
      </w:hyperlink>
      <w:r w:rsidR="00B4353D" w:rsidRPr="002E52AD">
        <w:t>, February 2020</w:t>
      </w:r>
      <w:r w:rsidR="00B4353D">
        <w:t>.</w:t>
      </w:r>
    </w:p>
  </w:footnote>
  <w:footnote w:id="9">
    <w:p w14:paraId="2B75AA05" w14:textId="214FDD17" w:rsidR="00667453" w:rsidRDefault="00667453">
      <w:pPr>
        <w:pStyle w:val="FootnoteText"/>
      </w:pPr>
      <w:r>
        <w:rPr>
          <w:rStyle w:val="FootnoteReference"/>
        </w:rPr>
        <w:footnoteRef/>
      </w:r>
      <w:r w:rsidR="000439C2">
        <w:t xml:space="preserve"> Clare, R.,</w:t>
      </w:r>
      <w:r w:rsidR="00353632">
        <w:t xml:space="preserve"> </w:t>
      </w:r>
      <w:hyperlink r:id="rId7" w:history="1">
        <w:r w:rsidR="004D230A">
          <w:rPr>
            <w:rStyle w:val="Hyperlink"/>
          </w:rPr>
          <w:t>An update on superannuation account balances</w:t>
        </w:r>
      </w:hyperlink>
      <w:r w:rsidR="004D230A">
        <w:t>,</w:t>
      </w:r>
      <w:r w:rsidR="000439C2" w:rsidRPr="00AA3A5B">
        <w:t xml:space="preserve"> </w:t>
      </w:r>
      <w:r w:rsidR="004D230A" w:rsidRPr="004D230A">
        <w:t>Association of Superannuation Funds Australia</w:t>
      </w:r>
      <w:r w:rsidR="000439C2">
        <w:t>, November 2023.</w:t>
      </w:r>
    </w:p>
  </w:footnote>
  <w:footnote w:id="10">
    <w:p w14:paraId="3967F188" w14:textId="26E73037" w:rsidR="00667453" w:rsidRDefault="00667453">
      <w:pPr>
        <w:pStyle w:val="FootnoteText"/>
      </w:pPr>
      <w:r>
        <w:rPr>
          <w:rStyle w:val="FootnoteReference"/>
        </w:rPr>
        <w:footnoteRef/>
      </w:r>
      <w:r>
        <w:t xml:space="preserve"> </w:t>
      </w:r>
      <w:r w:rsidR="00585D42">
        <w:t xml:space="preserve">WGEA, </w:t>
      </w:r>
      <w:hyperlink r:id="rId8" w:tgtFrame="_blank" w:history="1">
        <w:r w:rsidR="002E52AD" w:rsidRPr="002E52AD">
          <w:rPr>
            <w:rStyle w:val="Hyperlink"/>
          </w:rPr>
          <w:t>Women’s economic security in retirement: Insight Paper</w:t>
        </w:r>
      </w:hyperlink>
      <w:r w:rsidR="002E52AD" w:rsidRPr="002E52AD">
        <w:t>, February 2020</w:t>
      </w:r>
      <w:r w:rsidR="002E52AD">
        <w:t>.</w:t>
      </w:r>
    </w:p>
  </w:footnote>
  <w:footnote w:id="11">
    <w:p w14:paraId="210C2D76" w14:textId="662DF992" w:rsidR="005E5FFF" w:rsidRDefault="005E5FFF" w:rsidP="005E5FFF">
      <w:pPr>
        <w:pStyle w:val="FootnoteText"/>
      </w:pPr>
      <w:r>
        <w:rPr>
          <w:rStyle w:val="FootnoteReference"/>
        </w:rPr>
        <w:footnoteRef/>
      </w:r>
      <w:r>
        <w:t xml:space="preserve"> VPSC, </w:t>
      </w:r>
      <w:hyperlink r:id="rId9" w:anchor="heading5" w:history="1">
        <w:r w:rsidRPr="0053372A">
          <w:rPr>
            <w:rStyle w:val="Hyperlink"/>
          </w:rPr>
          <w:t>Workforce data (state of the public sector) 2024: Age, gender and sexuality 2024</w:t>
        </w:r>
      </w:hyperlink>
      <w:r>
        <w:t xml:space="preserve">, 17 May 2024 </w:t>
      </w:r>
      <w:r w:rsidR="00997FB9">
        <w:t>.</w:t>
      </w:r>
    </w:p>
  </w:footnote>
  <w:footnote w:id="12">
    <w:p w14:paraId="67E3733B" w14:textId="0CCC4F34" w:rsidR="008361B7" w:rsidRDefault="008361B7" w:rsidP="008361B7">
      <w:pPr>
        <w:pStyle w:val="FootnoteText"/>
      </w:pPr>
      <w:r>
        <w:rPr>
          <w:rStyle w:val="FootnoteReference"/>
        </w:rPr>
        <w:footnoteRef/>
      </w:r>
      <w:r>
        <w:t xml:space="preserve"> </w:t>
      </w:r>
      <w:r w:rsidR="00997FB9">
        <w:t xml:space="preserve">VPSC, </w:t>
      </w:r>
      <w:hyperlink r:id="rId10" w:history="1">
        <w:r w:rsidR="00997FB9">
          <w:rPr>
            <w:rStyle w:val="Hyperlink"/>
          </w:rPr>
          <w:t>Workforce data (state of the public sector) 2024: Employee pay and gender pay 2024</w:t>
        </w:r>
      </w:hyperlink>
      <w:r w:rsidR="00997FB9">
        <w:t>, 17 May 2024.</w:t>
      </w:r>
    </w:p>
  </w:footnote>
  <w:footnote w:id="13">
    <w:p w14:paraId="2783B12B" w14:textId="2FD8242E" w:rsidR="009F7C37" w:rsidRDefault="009F7C37" w:rsidP="009F7C37">
      <w:pPr>
        <w:pStyle w:val="FootnoteText"/>
      </w:pPr>
      <w:r>
        <w:rPr>
          <w:rStyle w:val="FootnoteReference"/>
        </w:rPr>
        <w:footnoteRef/>
      </w:r>
      <w:r>
        <w:t xml:space="preserve"> </w:t>
      </w:r>
      <w:r w:rsidRPr="004B73FB">
        <w:t>KPMG, Diversity Council Australia</w:t>
      </w:r>
      <w:r w:rsidR="004A5AEE">
        <w:t xml:space="preserve"> (DCA</w:t>
      </w:r>
      <w:r w:rsidRPr="004B73FB">
        <w:t>) and Workplace Gender Equality Agency</w:t>
      </w:r>
      <w:r w:rsidR="004A5AEE">
        <w:t xml:space="preserve"> (WGEA</w:t>
      </w:r>
      <w:r w:rsidRPr="004B73FB">
        <w:t>)</w:t>
      </w:r>
      <w:r w:rsidR="004A5AEE">
        <w:t xml:space="preserve"> </w:t>
      </w:r>
      <w:r w:rsidRPr="004B73FB">
        <w:t xml:space="preserve">(2022) </w:t>
      </w:r>
      <w:hyperlink r:id="rId11" w:anchor=":~:text=Gender%20discrimination%3B%20care%2C%20family%20responsibilities%20and%20workforce%20participation%3B,contributors%20to%20the%20gender%20pay%20gap%20in%20Australia." w:history="1">
        <w:r w:rsidRPr="005E3A24">
          <w:rPr>
            <w:rStyle w:val="Hyperlink"/>
          </w:rPr>
          <w:t>She’s Price(d)less: The economics of the gender pay gap 2022</w:t>
        </w:r>
      </w:hyperlink>
      <w:r w:rsidRPr="004B73FB">
        <w:t>, WGEA,</w:t>
      </w:r>
      <w:r>
        <w:t>38.</w:t>
      </w:r>
    </w:p>
  </w:footnote>
  <w:footnote w:id="14">
    <w:p w14:paraId="0B331BE1" w14:textId="356FBCC7" w:rsidR="004A5AEE" w:rsidRDefault="004A5AEE">
      <w:pPr>
        <w:pStyle w:val="FootnoteText"/>
      </w:pPr>
      <w:r>
        <w:rPr>
          <w:rStyle w:val="FootnoteReference"/>
        </w:rPr>
        <w:footnoteRef/>
      </w:r>
      <w:r>
        <w:t xml:space="preserve"> </w:t>
      </w:r>
      <w:r w:rsidRPr="004B73FB">
        <w:t xml:space="preserve">KPMG, DCA and WGEA (2022) </w:t>
      </w:r>
      <w:hyperlink r:id="rId12" w:anchor=":~:text=Gender%20discrimination%3B%20care%2C%20family%20responsibilities%20and%20workforce%20participation%3B,contributors%20to%20the%20gender%20pay%20gap%20in%20Australia." w:history="1">
        <w:r w:rsidRPr="005E3A24">
          <w:rPr>
            <w:rStyle w:val="Hyperlink"/>
          </w:rPr>
          <w:t>She’s Price(d)less: The economics of the gender pay gap 2022</w:t>
        </w:r>
      </w:hyperlink>
      <w:r w:rsidRPr="004B73FB">
        <w:t>, WGEA</w:t>
      </w:r>
      <w:r>
        <w:t>, 12.</w:t>
      </w:r>
    </w:p>
  </w:footnote>
  <w:footnote w:id="15">
    <w:p w14:paraId="19671446" w14:textId="01F8672A" w:rsidR="002B3EE1" w:rsidRPr="00033EAD" w:rsidRDefault="002B3EE1">
      <w:pPr>
        <w:pStyle w:val="FootnoteText"/>
        <w:rPr>
          <w:b/>
          <w:bCs/>
        </w:rPr>
      </w:pPr>
      <w:r>
        <w:rPr>
          <w:rStyle w:val="FootnoteReference"/>
        </w:rPr>
        <w:footnoteRef/>
      </w:r>
      <w:r>
        <w:t xml:space="preserve"> </w:t>
      </w:r>
      <w:r w:rsidR="00C92212">
        <w:t>Bessen, J, Denk, E and Meng, C,</w:t>
      </w:r>
      <w:r w:rsidR="00C92212" w:rsidRPr="00033EAD">
        <w:t xml:space="preserve"> ‘</w:t>
      </w:r>
      <w:hyperlink r:id="rId13" w:history="1">
        <w:r w:rsidR="00033EAD" w:rsidRPr="007F70E7">
          <w:rPr>
            <w:rStyle w:val="Hyperlink"/>
          </w:rPr>
          <w:t>Perpetuating Wage Inequality: Evidence from Salary History Bans</w:t>
        </w:r>
      </w:hyperlink>
      <w:r w:rsidR="00C92212" w:rsidRPr="00033EAD">
        <w:t>’</w:t>
      </w:r>
      <w:r w:rsidR="004702DA">
        <w:t xml:space="preserve">, </w:t>
      </w:r>
      <w:r w:rsidR="004702DA" w:rsidRPr="004702DA">
        <w:t>Boston University School of Law</w:t>
      </w:r>
      <w:r w:rsidR="004702DA">
        <w:t>.</w:t>
      </w:r>
      <w:r w:rsidR="004702DA" w:rsidRPr="004702DA">
        <w:t xml:space="preserve"> Public Law &amp; Legal Theory Paper No. 20-19</w:t>
      </w:r>
      <w:r w:rsidR="004702DA">
        <w:t>, February 2021.</w:t>
      </w:r>
    </w:p>
  </w:footnote>
  <w:footnote w:id="16">
    <w:p w14:paraId="11893FCE" w14:textId="77777777" w:rsidR="00137A09" w:rsidRDefault="00137A09" w:rsidP="00137A09">
      <w:pPr>
        <w:pStyle w:val="FootnoteText"/>
      </w:pPr>
      <w:r>
        <w:rPr>
          <w:rStyle w:val="FootnoteReference"/>
        </w:rPr>
        <w:footnoteRef/>
      </w:r>
      <w:r>
        <w:t xml:space="preserve"> HR Drive, </w:t>
      </w:r>
      <w:hyperlink r:id="rId14" w:history="1">
        <w:r w:rsidRPr="00326CB4">
          <w:rPr>
            <w:rStyle w:val="Hyperlink"/>
          </w:rPr>
          <w:t>Salary History Bans: A running list of states and localities that have outlawed pay history questions</w:t>
        </w:r>
      </w:hyperlink>
      <w:r>
        <w:t>, 30 April 2025.</w:t>
      </w:r>
    </w:p>
  </w:footnote>
  <w:footnote w:id="17">
    <w:p w14:paraId="09E43AFD" w14:textId="318F260D" w:rsidR="00137A09" w:rsidRPr="009A6846" w:rsidRDefault="00137A09" w:rsidP="00137A09">
      <w:pPr>
        <w:pStyle w:val="FootnoteText"/>
      </w:pPr>
      <w:r>
        <w:rPr>
          <w:rStyle w:val="FootnoteReference"/>
        </w:rPr>
        <w:footnoteRef/>
      </w:r>
      <w:r>
        <w:t xml:space="preserve"> Section 5 of Canada’s </w:t>
      </w:r>
      <w:r w:rsidRPr="008C7B74">
        <w:t>Pay Transparency Act</w:t>
      </w:r>
      <w:r>
        <w:t xml:space="preserve"> prohibits</w:t>
      </w:r>
      <w:r w:rsidRPr="00D270F2">
        <w:t xml:space="preserve"> </w:t>
      </w:r>
      <w:r>
        <w:t>e</w:t>
      </w:r>
      <w:r w:rsidRPr="00D270F2">
        <w:t>mployers from seeking compensation history information about an applicant for a position</w:t>
      </w:r>
      <w:r>
        <w:t xml:space="preserve">: </w:t>
      </w:r>
      <w:r w:rsidRPr="008C7B74">
        <w:t>Pay Transparency Act</w:t>
      </w:r>
      <w:r>
        <w:t xml:space="preserve"> </w:t>
      </w:r>
      <w:r w:rsidRPr="008C7B74">
        <w:t>2018, S.O. 2018, c. 5 - Bill 3</w:t>
      </w:r>
      <w:r>
        <w:t>; Article 5(2) of the EU Pay Transparency Directive similarly prohibits employers from asking applicants about their pay history in their current or previous roles: European Union, The European Parliament, The Council, ‘Directive of the European Parliament and of The Council to Strengthen the Application of the Principle of Equal Pay for Equal Work or Work of Equal Value Between Men and Women Through Pay Transparency and Enforcement Mechanisms’, 10 May 2023.</w:t>
      </w:r>
    </w:p>
  </w:footnote>
  <w:footnote w:id="18">
    <w:p w14:paraId="6BA3F96A" w14:textId="4663E6D3" w:rsidR="00591188" w:rsidRDefault="00591188">
      <w:pPr>
        <w:pStyle w:val="FootnoteText"/>
      </w:pPr>
      <w:r>
        <w:rPr>
          <w:rStyle w:val="FootnoteReference"/>
        </w:rPr>
        <w:footnoteRef/>
      </w:r>
      <w:r>
        <w:t xml:space="preserve"> </w:t>
      </w:r>
      <w:r w:rsidR="006F4DC2">
        <w:t xml:space="preserve">Ibid. </w:t>
      </w:r>
    </w:p>
  </w:footnote>
  <w:footnote w:id="19">
    <w:p w14:paraId="4F6D4F5B" w14:textId="42771B54" w:rsidR="00E94ADE" w:rsidRDefault="00E94ADE">
      <w:pPr>
        <w:pStyle w:val="FootnoteText"/>
      </w:pPr>
      <w:r>
        <w:rPr>
          <w:rStyle w:val="FootnoteReference"/>
        </w:rPr>
        <w:footnoteRef/>
      </w:r>
      <w:r>
        <w:t xml:space="preserve"> </w:t>
      </w:r>
      <w:r w:rsidR="00DC6717">
        <w:t>Barach, M. A and Horton, J. J, ‘</w:t>
      </w:r>
      <w:r w:rsidR="00DC6717" w:rsidRPr="00DC6717">
        <w:t>How Do Employers Use Compensation History?: Evidence From a Field Experiment</w:t>
      </w:r>
      <w:r w:rsidR="00DC6717">
        <w:t>’</w:t>
      </w:r>
      <w:r w:rsidR="00BC2E47">
        <w:t>, 22 October 2019.</w:t>
      </w:r>
    </w:p>
  </w:footnote>
  <w:footnote w:id="20">
    <w:p w14:paraId="20F63E6A" w14:textId="70D72C51" w:rsidR="00DF684D" w:rsidRDefault="00DF684D">
      <w:pPr>
        <w:pStyle w:val="FootnoteText"/>
      </w:pPr>
      <w:r>
        <w:rPr>
          <w:rStyle w:val="FootnoteReference"/>
        </w:rPr>
        <w:footnoteRef/>
      </w:r>
      <w:r>
        <w:t xml:space="preserve"> Ibid.</w:t>
      </w:r>
    </w:p>
  </w:footnote>
  <w:footnote w:id="21">
    <w:p w14:paraId="39B43E2B" w14:textId="77C53335" w:rsidR="00F901F5" w:rsidRDefault="00F901F5">
      <w:pPr>
        <w:pStyle w:val="FootnoteText"/>
      </w:pPr>
      <w:r>
        <w:rPr>
          <w:rStyle w:val="FootnoteReference"/>
        </w:rPr>
        <w:footnoteRef/>
      </w:r>
      <w:r>
        <w:t xml:space="preserve"> Cowgill, B, Agan, A and Gee Laura, </w:t>
      </w:r>
      <w:r w:rsidR="00353A79">
        <w:t>‘</w:t>
      </w:r>
      <w:r w:rsidR="00353A79" w:rsidRPr="00353A79">
        <w:t>The Gender Disclosure Gap: Salary History Bans Unravel When Men Volunteer Their Income</w:t>
      </w:r>
      <w:r w:rsidR="00353A79">
        <w:t xml:space="preserve">’, IZA Institute of Labor Economics, 2024 </w:t>
      </w:r>
      <w:r w:rsidR="00353A79" w:rsidRPr="00353A79">
        <w:rPr>
          <w:i/>
          <w:iCs/>
        </w:rPr>
        <w:t>Organization Science</w:t>
      </w:r>
      <w:r w:rsidR="00353A79">
        <w:t xml:space="preserve"> </w:t>
      </w:r>
      <w:r w:rsidR="00353A79" w:rsidRPr="00353A79">
        <w:t>35(5), 1571–1588</w:t>
      </w:r>
      <w:r w:rsidR="00353A7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7C6A04D" w:rsidR="00E261B3" w:rsidRPr="0051568D" w:rsidRDefault="00F066CE" w:rsidP="00E05026">
    <w:pPr>
      <w:pStyle w:val="Header"/>
    </w:pPr>
    <w:r w:rsidRPr="00F066CE">
      <w:t>Submission to the 2025 Determination adjusting VPS executive remuneration bands</w:t>
    </w:r>
    <w:r w:rsidR="00B14B5F">
      <w:ptab w:relativeTo="margin" w:alignment="right" w:leader="none"/>
    </w:r>
    <w:r w:rsidR="00B14B5F" w:rsidRPr="00DE6C85">
      <w:rPr>
        <w:bCs/>
      </w:rPr>
      <w:fldChar w:fldCharType="begin"/>
    </w:r>
    <w:r w:rsidR="00B14B5F" w:rsidRPr="00DE6C85">
      <w:rPr>
        <w:bCs/>
      </w:rPr>
      <w:instrText xml:space="preserve"> PAGE </w:instrText>
    </w:r>
    <w:r w:rsidR="00B14B5F" w:rsidRPr="00DE6C85">
      <w:rPr>
        <w:bCs/>
      </w:rPr>
      <w:fldChar w:fldCharType="separate"/>
    </w:r>
    <w:r w:rsidR="00B14B5F" w:rsidRPr="00DE6C85">
      <w:rPr>
        <w:bCs/>
      </w:rPr>
      <w:t>2</w:t>
    </w:r>
    <w:r w:rsidR="00B14B5F" w:rsidRPr="00DE6C85">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1063ED5"/>
    <w:multiLevelType w:val="multilevel"/>
    <w:tmpl w:val="56A2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F0186"/>
    <w:multiLevelType w:val="hybridMultilevel"/>
    <w:tmpl w:val="24F2A4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F161D5"/>
    <w:multiLevelType w:val="hybridMultilevel"/>
    <w:tmpl w:val="C9740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FBF05C7"/>
    <w:multiLevelType w:val="multilevel"/>
    <w:tmpl w:val="BB76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266887">
    <w:abstractNumId w:val="3"/>
  </w:num>
  <w:num w:numId="2" w16cid:durableId="1736510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156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994873">
    <w:abstractNumId w:val="9"/>
  </w:num>
  <w:num w:numId="5" w16cid:durableId="2113083680">
    <w:abstractNumId w:val="8"/>
  </w:num>
  <w:num w:numId="6" w16cid:durableId="1212838369">
    <w:abstractNumId w:val="10"/>
  </w:num>
  <w:num w:numId="7" w16cid:durableId="1752003522">
    <w:abstractNumId w:val="4"/>
  </w:num>
  <w:num w:numId="8" w16cid:durableId="1319770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6567688">
    <w:abstractNumId w:val="2"/>
  </w:num>
  <w:num w:numId="10" w16cid:durableId="1128744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6097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5157468">
    <w:abstractNumId w:val="6"/>
  </w:num>
  <w:num w:numId="13" w16cid:durableId="553397345">
    <w:abstractNumId w:val="11"/>
  </w:num>
  <w:num w:numId="14" w16cid:durableId="1072390732">
    <w:abstractNumId w:val="5"/>
  </w:num>
  <w:num w:numId="15" w16cid:durableId="1645353463">
    <w:abstractNumId w:val="7"/>
  </w:num>
  <w:num w:numId="16" w16cid:durableId="1967000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559"/>
    <w:rsid w:val="00002944"/>
    <w:rsid w:val="00002D68"/>
    <w:rsid w:val="00003403"/>
    <w:rsid w:val="00004475"/>
    <w:rsid w:val="00005347"/>
    <w:rsid w:val="000072B6"/>
    <w:rsid w:val="0001021B"/>
    <w:rsid w:val="000115CC"/>
    <w:rsid w:val="00011D89"/>
    <w:rsid w:val="00013927"/>
    <w:rsid w:val="000151E2"/>
    <w:rsid w:val="000154FD"/>
    <w:rsid w:val="00022271"/>
    <w:rsid w:val="0002285C"/>
    <w:rsid w:val="000235E8"/>
    <w:rsid w:val="00024D89"/>
    <w:rsid w:val="000250B6"/>
    <w:rsid w:val="00033D81"/>
    <w:rsid w:val="00033EAD"/>
    <w:rsid w:val="00037366"/>
    <w:rsid w:val="00041BF0"/>
    <w:rsid w:val="00042C8A"/>
    <w:rsid w:val="000439C2"/>
    <w:rsid w:val="0004536B"/>
    <w:rsid w:val="0004553E"/>
    <w:rsid w:val="00046B68"/>
    <w:rsid w:val="00050EA4"/>
    <w:rsid w:val="000527DD"/>
    <w:rsid w:val="00056DE1"/>
    <w:rsid w:val="000578B2"/>
    <w:rsid w:val="00060959"/>
    <w:rsid w:val="00060C8F"/>
    <w:rsid w:val="0006298A"/>
    <w:rsid w:val="000643BD"/>
    <w:rsid w:val="000663CD"/>
    <w:rsid w:val="000729B1"/>
    <w:rsid w:val="000730CB"/>
    <w:rsid w:val="000733FE"/>
    <w:rsid w:val="00074219"/>
    <w:rsid w:val="00074ED5"/>
    <w:rsid w:val="00081D88"/>
    <w:rsid w:val="00083BFA"/>
    <w:rsid w:val="0008508E"/>
    <w:rsid w:val="0008627A"/>
    <w:rsid w:val="00086557"/>
    <w:rsid w:val="00087951"/>
    <w:rsid w:val="0009050A"/>
    <w:rsid w:val="0009113B"/>
    <w:rsid w:val="00091E22"/>
    <w:rsid w:val="00093402"/>
    <w:rsid w:val="00093534"/>
    <w:rsid w:val="00094DA3"/>
    <w:rsid w:val="00096CD1"/>
    <w:rsid w:val="000A012C"/>
    <w:rsid w:val="000A0EB9"/>
    <w:rsid w:val="000A186C"/>
    <w:rsid w:val="000A1BA9"/>
    <w:rsid w:val="000A1EA4"/>
    <w:rsid w:val="000A2476"/>
    <w:rsid w:val="000A2A61"/>
    <w:rsid w:val="000A641A"/>
    <w:rsid w:val="000A6BE9"/>
    <w:rsid w:val="000B2117"/>
    <w:rsid w:val="000B3EDB"/>
    <w:rsid w:val="000B543D"/>
    <w:rsid w:val="000B55F9"/>
    <w:rsid w:val="000B5BF7"/>
    <w:rsid w:val="000B6BC8"/>
    <w:rsid w:val="000B7FAE"/>
    <w:rsid w:val="000C0303"/>
    <w:rsid w:val="000C42EA"/>
    <w:rsid w:val="000C4546"/>
    <w:rsid w:val="000C7ED3"/>
    <w:rsid w:val="000D04B8"/>
    <w:rsid w:val="000D1242"/>
    <w:rsid w:val="000D26F4"/>
    <w:rsid w:val="000E0970"/>
    <w:rsid w:val="000E0E23"/>
    <w:rsid w:val="000E3CC7"/>
    <w:rsid w:val="000E6BD4"/>
    <w:rsid w:val="000E6D6D"/>
    <w:rsid w:val="000F1F1E"/>
    <w:rsid w:val="000F2259"/>
    <w:rsid w:val="000F2DDA"/>
    <w:rsid w:val="000F2EA0"/>
    <w:rsid w:val="000F5213"/>
    <w:rsid w:val="000F5232"/>
    <w:rsid w:val="00101001"/>
    <w:rsid w:val="00103276"/>
    <w:rsid w:val="0010392D"/>
    <w:rsid w:val="0010404F"/>
    <w:rsid w:val="0010447F"/>
    <w:rsid w:val="00104FE3"/>
    <w:rsid w:val="00105291"/>
    <w:rsid w:val="0010714F"/>
    <w:rsid w:val="001120C5"/>
    <w:rsid w:val="00114633"/>
    <w:rsid w:val="001159FE"/>
    <w:rsid w:val="00120BD3"/>
    <w:rsid w:val="00122A59"/>
    <w:rsid w:val="00122FEA"/>
    <w:rsid w:val="001232BD"/>
    <w:rsid w:val="00124AA6"/>
    <w:rsid w:val="00124ED5"/>
    <w:rsid w:val="00126063"/>
    <w:rsid w:val="001276FA"/>
    <w:rsid w:val="00130735"/>
    <w:rsid w:val="00133945"/>
    <w:rsid w:val="00137A09"/>
    <w:rsid w:val="0014362B"/>
    <w:rsid w:val="001447B3"/>
    <w:rsid w:val="00144E6A"/>
    <w:rsid w:val="00145665"/>
    <w:rsid w:val="00152073"/>
    <w:rsid w:val="001533DE"/>
    <w:rsid w:val="00156598"/>
    <w:rsid w:val="0016037B"/>
    <w:rsid w:val="00161939"/>
    <w:rsid w:val="00161AA0"/>
    <w:rsid w:val="00161D2E"/>
    <w:rsid w:val="00161F3E"/>
    <w:rsid w:val="00162093"/>
    <w:rsid w:val="00162CA9"/>
    <w:rsid w:val="00165459"/>
    <w:rsid w:val="00165A57"/>
    <w:rsid w:val="001712C2"/>
    <w:rsid w:val="00172BAF"/>
    <w:rsid w:val="00174730"/>
    <w:rsid w:val="001756BE"/>
    <w:rsid w:val="0017674D"/>
    <w:rsid w:val="001771DD"/>
    <w:rsid w:val="00177995"/>
    <w:rsid w:val="00177A8C"/>
    <w:rsid w:val="00182BBE"/>
    <w:rsid w:val="00182BD3"/>
    <w:rsid w:val="001860E6"/>
    <w:rsid w:val="00186B33"/>
    <w:rsid w:val="00186E3A"/>
    <w:rsid w:val="00192F9D"/>
    <w:rsid w:val="00196EB8"/>
    <w:rsid w:val="00196EFB"/>
    <w:rsid w:val="001979FF"/>
    <w:rsid w:val="00197B17"/>
    <w:rsid w:val="001A1950"/>
    <w:rsid w:val="001A1C54"/>
    <w:rsid w:val="001A202A"/>
    <w:rsid w:val="001A3ACE"/>
    <w:rsid w:val="001B058F"/>
    <w:rsid w:val="001B6B96"/>
    <w:rsid w:val="001B6F92"/>
    <w:rsid w:val="001B7228"/>
    <w:rsid w:val="001B738B"/>
    <w:rsid w:val="001C09DB"/>
    <w:rsid w:val="001C277E"/>
    <w:rsid w:val="001C2A72"/>
    <w:rsid w:val="001C31B7"/>
    <w:rsid w:val="001D0B75"/>
    <w:rsid w:val="001D101D"/>
    <w:rsid w:val="001D39A5"/>
    <w:rsid w:val="001D3C09"/>
    <w:rsid w:val="001D44E8"/>
    <w:rsid w:val="001D60EC"/>
    <w:rsid w:val="001D6F59"/>
    <w:rsid w:val="001E44DF"/>
    <w:rsid w:val="001E68A5"/>
    <w:rsid w:val="001E6BB0"/>
    <w:rsid w:val="001E7282"/>
    <w:rsid w:val="001F3202"/>
    <w:rsid w:val="001F3826"/>
    <w:rsid w:val="001F67B9"/>
    <w:rsid w:val="001F6E46"/>
    <w:rsid w:val="001F7C91"/>
    <w:rsid w:val="002033B7"/>
    <w:rsid w:val="00206463"/>
    <w:rsid w:val="00206F2F"/>
    <w:rsid w:val="00207717"/>
    <w:rsid w:val="002102E3"/>
    <w:rsid w:val="0021053D"/>
    <w:rsid w:val="00210A92"/>
    <w:rsid w:val="00216C03"/>
    <w:rsid w:val="00220C04"/>
    <w:rsid w:val="0022278D"/>
    <w:rsid w:val="0022467D"/>
    <w:rsid w:val="0022701F"/>
    <w:rsid w:val="00227C68"/>
    <w:rsid w:val="00233311"/>
    <w:rsid w:val="002333F5"/>
    <w:rsid w:val="00233724"/>
    <w:rsid w:val="002338E9"/>
    <w:rsid w:val="002365B4"/>
    <w:rsid w:val="0023748C"/>
    <w:rsid w:val="00242378"/>
    <w:rsid w:val="002432E1"/>
    <w:rsid w:val="00246207"/>
    <w:rsid w:val="00246C5E"/>
    <w:rsid w:val="00250960"/>
    <w:rsid w:val="00250D33"/>
    <w:rsid w:val="00250DC4"/>
    <w:rsid w:val="00251343"/>
    <w:rsid w:val="002519BD"/>
    <w:rsid w:val="00253026"/>
    <w:rsid w:val="002536A4"/>
    <w:rsid w:val="00254F58"/>
    <w:rsid w:val="00261B51"/>
    <w:rsid w:val="002620BC"/>
    <w:rsid w:val="00262802"/>
    <w:rsid w:val="00263A90"/>
    <w:rsid w:val="0026408B"/>
    <w:rsid w:val="00265BAB"/>
    <w:rsid w:val="0026686D"/>
    <w:rsid w:val="00267C3E"/>
    <w:rsid w:val="002709BB"/>
    <w:rsid w:val="0027131C"/>
    <w:rsid w:val="00273BAC"/>
    <w:rsid w:val="00274E7C"/>
    <w:rsid w:val="002763B3"/>
    <w:rsid w:val="002774F2"/>
    <w:rsid w:val="002802E3"/>
    <w:rsid w:val="00280C4B"/>
    <w:rsid w:val="0028213D"/>
    <w:rsid w:val="002862F1"/>
    <w:rsid w:val="00291373"/>
    <w:rsid w:val="002932B9"/>
    <w:rsid w:val="0029597D"/>
    <w:rsid w:val="002962C3"/>
    <w:rsid w:val="0029752B"/>
    <w:rsid w:val="002A0A9C"/>
    <w:rsid w:val="002A114A"/>
    <w:rsid w:val="002A18F7"/>
    <w:rsid w:val="002A483C"/>
    <w:rsid w:val="002B0C7C"/>
    <w:rsid w:val="002B1729"/>
    <w:rsid w:val="002B36C7"/>
    <w:rsid w:val="002B3EE1"/>
    <w:rsid w:val="002B4DD4"/>
    <w:rsid w:val="002B5277"/>
    <w:rsid w:val="002B5375"/>
    <w:rsid w:val="002B6DE8"/>
    <w:rsid w:val="002B7167"/>
    <w:rsid w:val="002B77C1"/>
    <w:rsid w:val="002C0ED7"/>
    <w:rsid w:val="002C2728"/>
    <w:rsid w:val="002C51B4"/>
    <w:rsid w:val="002C5A49"/>
    <w:rsid w:val="002C5ECB"/>
    <w:rsid w:val="002D1802"/>
    <w:rsid w:val="002D1E0D"/>
    <w:rsid w:val="002D3DDD"/>
    <w:rsid w:val="002D5006"/>
    <w:rsid w:val="002D6CF2"/>
    <w:rsid w:val="002E011A"/>
    <w:rsid w:val="002E01D0"/>
    <w:rsid w:val="002E161D"/>
    <w:rsid w:val="002E3100"/>
    <w:rsid w:val="002E446D"/>
    <w:rsid w:val="002E52AD"/>
    <w:rsid w:val="002E6C95"/>
    <w:rsid w:val="002E7C36"/>
    <w:rsid w:val="002F3ADF"/>
    <w:rsid w:val="002F3D32"/>
    <w:rsid w:val="002F4AA2"/>
    <w:rsid w:val="002F5F31"/>
    <w:rsid w:val="002F5F46"/>
    <w:rsid w:val="00300E54"/>
    <w:rsid w:val="00302216"/>
    <w:rsid w:val="00302827"/>
    <w:rsid w:val="00303E53"/>
    <w:rsid w:val="00305CC1"/>
    <w:rsid w:val="00306E5F"/>
    <w:rsid w:val="00307E14"/>
    <w:rsid w:val="0031063C"/>
    <w:rsid w:val="00313A09"/>
    <w:rsid w:val="00314054"/>
    <w:rsid w:val="003145CF"/>
    <w:rsid w:val="00316F27"/>
    <w:rsid w:val="003214F1"/>
    <w:rsid w:val="00321A89"/>
    <w:rsid w:val="00322903"/>
    <w:rsid w:val="00322E4B"/>
    <w:rsid w:val="00324AC7"/>
    <w:rsid w:val="003252EE"/>
    <w:rsid w:val="00326CB4"/>
    <w:rsid w:val="00327870"/>
    <w:rsid w:val="00331C32"/>
    <w:rsid w:val="0033259D"/>
    <w:rsid w:val="003333D2"/>
    <w:rsid w:val="0033352A"/>
    <w:rsid w:val="00337339"/>
    <w:rsid w:val="003406C6"/>
    <w:rsid w:val="003418CC"/>
    <w:rsid w:val="00342E91"/>
    <w:rsid w:val="00345587"/>
    <w:rsid w:val="003455BC"/>
    <w:rsid w:val="003456B1"/>
    <w:rsid w:val="003459BD"/>
    <w:rsid w:val="00345DE3"/>
    <w:rsid w:val="00350D38"/>
    <w:rsid w:val="00351405"/>
    <w:rsid w:val="00351B36"/>
    <w:rsid w:val="00351BC7"/>
    <w:rsid w:val="00352782"/>
    <w:rsid w:val="00353632"/>
    <w:rsid w:val="00353A79"/>
    <w:rsid w:val="00356FA4"/>
    <w:rsid w:val="00357B4E"/>
    <w:rsid w:val="0036508E"/>
    <w:rsid w:val="003661D9"/>
    <w:rsid w:val="00366917"/>
    <w:rsid w:val="0037007E"/>
    <w:rsid w:val="003716FD"/>
    <w:rsid w:val="0037204B"/>
    <w:rsid w:val="003724B1"/>
    <w:rsid w:val="00372EE8"/>
    <w:rsid w:val="003744CF"/>
    <w:rsid w:val="00374717"/>
    <w:rsid w:val="0037676C"/>
    <w:rsid w:val="0037780A"/>
    <w:rsid w:val="00377A1A"/>
    <w:rsid w:val="00381043"/>
    <w:rsid w:val="0038129A"/>
    <w:rsid w:val="003829E5"/>
    <w:rsid w:val="00386109"/>
    <w:rsid w:val="00386944"/>
    <w:rsid w:val="0039255C"/>
    <w:rsid w:val="003956CC"/>
    <w:rsid w:val="00395C9A"/>
    <w:rsid w:val="00396DDF"/>
    <w:rsid w:val="003A04E1"/>
    <w:rsid w:val="003A0853"/>
    <w:rsid w:val="003A621E"/>
    <w:rsid w:val="003A6B67"/>
    <w:rsid w:val="003B1305"/>
    <w:rsid w:val="003B13B6"/>
    <w:rsid w:val="003B14C3"/>
    <w:rsid w:val="003B15E6"/>
    <w:rsid w:val="003B1BDC"/>
    <w:rsid w:val="003B3BC6"/>
    <w:rsid w:val="003B408A"/>
    <w:rsid w:val="003B73FC"/>
    <w:rsid w:val="003C08A2"/>
    <w:rsid w:val="003C2045"/>
    <w:rsid w:val="003C2548"/>
    <w:rsid w:val="003C34E6"/>
    <w:rsid w:val="003C43A1"/>
    <w:rsid w:val="003C4FC0"/>
    <w:rsid w:val="003C55F4"/>
    <w:rsid w:val="003C576D"/>
    <w:rsid w:val="003C6978"/>
    <w:rsid w:val="003C7897"/>
    <w:rsid w:val="003C7A3F"/>
    <w:rsid w:val="003D2766"/>
    <w:rsid w:val="003D2A74"/>
    <w:rsid w:val="003D3E8F"/>
    <w:rsid w:val="003D54CD"/>
    <w:rsid w:val="003D6475"/>
    <w:rsid w:val="003D6EE6"/>
    <w:rsid w:val="003D7000"/>
    <w:rsid w:val="003D7E30"/>
    <w:rsid w:val="003E375C"/>
    <w:rsid w:val="003E4086"/>
    <w:rsid w:val="003E595F"/>
    <w:rsid w:val="003E639E"/>
    <w:rsid w:val="003E6730"/>
    <w:rsid w:val="003E71E5"/>
    <w:rsid w:val="003F0445"/>
    <w:rsid w:val="003F0CF0"/>
    <w:rsid w:val="003F0F22"/>
    <w:rsid w:val="003F14B1"/>
    <w:rsid w:val="003F2036"/>
    <w:rsid w:val="003F2B20"/>
    <w:rsid w:val="003F3289"/>
    <w:rsid w:val="003F3C62"/>
    <w:rsid w:val="003F5CB9"/>
    <w:rsid w:val="0040082F"/>
    <w:rsid w:val="00400A67"/>
    <w:rsid w:val="004013C7"/>
    <w:rsid w:val="00401485"/>
    <w:rsid w:val="00401FCF"/>
    <w:rsid w:val="00406157"/>
    <w:rsid w:val="00406285"/>
    <w:rsid w:val="00407920"/>
    <w:rsid w:val="004135D6"/>
    <w:rsid w:val="004148F9"/>
    <w:rsid w:val="0042084E"/>
    <w:rsid w:val="00421EEF"/>
    <w:rsid w:val="00424D65"/>
    <w:rsid w:val="00430393"/>
    <w:rsid w:val="00431806"/>
    <w:rsid w:val="00431E97"/>
    <w:rsid w:val="004347D1"/>
    <w:rsid w:val="004349E9"/>
    <w:rsid w:val="004350F9"/>
    <w:rsid w:val="00436EFE"/>
    <w:rsid w:val="00437AC5"/>
    <w:rsid w:val="00442C6C"/>
    <w:rsid w:val="00443CBE"/>
    <w:rsid w:val="00443E8A"/>
    <w:rsid w:val="004441BC"/>
    <w:rsid w:val="004442D6"/>
    <w:rsid w:val="004468B4"/>
    <w:rsid w:val="0045179E"/>
    <w:rsid w:val="0045230A"/>
    <w:rsid w:val="00454AD0"/>
    <w:rsid w:val="0045592D"/>
    <w:rsid w:val="00457337"/>
    <w:rsid w:val="004624D2"/>
    <w:rsid w:val="00462E3D"/>
    <w:rsid w:val="0046440A"/>
    <w:rsid w:val="00466483"/>
    <w:rsid w:val="00466E79"/>
    <w:rsid w:val="004702DA"/>
    <w:rsid w:val="00470A33"/>
    <w:rsid w:val="00470D7D"/>
    <w:rsid w:val="00470FA4"/>
    <w:rsid w:val="0047372D"/>
    <w:rsid w:val="00473BA3"/>
    <w:rsid w:val="004743DD"/>
    <w:rsid w:val="00474CEA"/>
    <w:rsid w:val="00477ABA"/>
    <w:rsid w:val="00483968"/>
    <w:rsid w:val="004841BE"/>
    <w:rsid w:val="00484F86"/>
    <w:rsid w:val="0049038A"/>
    <w:rsid w:val="00490746"/>
    <w:rsid w:val="00490852"/>
    <w:rsid w:val="00491C9C"/>
    <w:rsid w:val="00492F30"/>
    <w:rsid w:val="00493B3B"/>
    <w:rsid w:val="004946F4"/>
    <w:rsid w:val="0049487E"/>
    <w:rsid w:val="00496A0E"/>
    <w:rsid w:val="004A052D"/>
    <w:rsid w:val="004A160D"/>
    <w:rsid w:val="004A3E81"/>
    <w:rsid w:val="004A4195"/>
    <w:rsid w:val="004A599F"/>
    <w:rsid w:val="004A5AEE"/>
    <w:rsid w:val="004A5C62"/>
    <w:rsid w:val="004A5CE5"/>
    <w:rsid w:val="004A608C"/>
    <w:rsid w:val="004A707D"/>
    <w:rsid w:val="004B4185"/>
    <w:rsid w:val="004B73FB"/>
    <w:rsid w:val="004C5067"/>
    <w:rsid w:val="004C5541"/>
    <w:rsid w:val="004C5A3E"/>
    <w:rsid w:val="004C6EEE"/>
    <w:rsid w:val="004C702B"/>
    <w:rsid w:val="004D0033"/>
    <w:rsid w:val="004D016B"/>
    <w:rsid w:val="004D1B22"/>
    <w:rsid w:val="004D230A"/>
    <w:rsid w:val="004D23CC"/>
    <w:rsid w:val="004D36F2"/>
    <w:rsid w:val="004D45AF"/>
    <w:rsid w:val="004D470F"/>
    <w:rsid w:val="004E1106"/>
    <w:rsid w:val="004E138F"/>
    <w:rsid w:val="004E4649"/>
    <w:rsid w:val="004E5C2B"/>
    <w:rsid w:val="004E7047"/>
    <w:rsid w:val="004F00DD"/>
    <w:rsid w:val="004F2133"/>
    <w:rsid w:val="004F5398"/>
    <w:rsid w:val="004F55F1"/>
    <w:rsid w:val="004F6541"/>
    <w:rsid w:val="004F6936"/>
    <w:rsid w:val="004F7B35"/>
    <w:rsid w:val="00503DC6"/>
    <w:rsid w:val="0050650F"/>
    <w:rsid w:val="00506F5D"/>
    <w:rsid w:val="0050722E"/>
    <w:rsid w:val="00510B1A"/>
    <w:rsid w:val="00510C37"/>
    <w:rsid w:val="005126D0"/>
    <w:rsid w:val="00513109"/>
    <w:rsid w:val="00514667"/>
    <w:rsid w:val="0051568D"/>
    <w:rsid w:val="0052670B"/>
    <w:rsid w:val="00526AC7"/>
    <w:rsid w:val="00526C15"/>
    <w:rsid w:val="00532768"/>
    <w:rsid w:val="0053372A"/>
    <w:rsid w:val="00536499"/>
    <w:rsid w:val="00542A03"/>
    <w:rsid w:val="00543903"/>
    <w:rsid w:val="00543F11"/>
    <w:rsid w:val="00544988"/>
    <w:rsid w:val="005458BA"/>
    <w:rsid w:val="00546305"/>
    <w:rsid w:val="00546E6E"/>
    <w:rsid w:val="00547A95"/>
    <w:rsid w:val="0055119B"/>
    <w:rsid w:val="00557392"/>
    <w:rsid w:val="00557E65"/>
    <w:rsid w:val="00561202"/>
    <w:rsid w:val="00561B73"/>
    <w:rsid w:val="0056524A"/>
    <w:rsid w:val="00566CCD"/>
    <w:rsid w:val="00567B6F"/>
    <w:rsid w:val="0057019E"/>
    <w:rsid w:val="0057058B"/>
    <w:rsid w:val="00571446"/>
    <w:rsid w:val="00571E78"/>
    <w:rsid w:val="00572031"/>
    <w:rsid w:val="00572282"/>
    <w:rsid w:val="00573CE3"/>
    <w:rsid w:val="00576E84"/>
    <w:rsid w:val="00580394"/>
    <w:rsid w:val="005804A0"/>
    <w:rsid w:val="005809CD"/>
    <w:rsid w:val="00582B8C"/>
    <w:rsid w:val="005857DC"/>
    <w:rsid w:val="00585D42"/>
    <w:rsid w:val="00586C0F"/>
    <w:rsid w:val="0058757E"/>
    <w:rsid w:val="0059045B"/>
    <w:rsid w:val="00591188"/>
    <w:rsid w:val="00593A99"/>
    <w:rsid w:val="00596A4B"/>
    <w:rsid w:val="00597507"/>
    <w:rsid w:val="005A2AF8"/>
    <w:rsid w:val="005A479D"/>
    <w:rsid w:val="005B1C6D"/>
    <w:rsid w:val="005B21B6"/>
    <w:rsid w:val="005B34FA"/>
    <w:rsid w:val="005B3A08"/>
    <w:rsid w:val="005B4B78"/>
    <w:rsid w:val="005B5497"/>
    <w:rsid w:val="005B6CAC"/>
    <w:rsid w:val="005B7A63"/>
    <w:rsid w:val="005C0955"/>
    <w:rsid w:val="005C2792"/>
    <w:rsid w:val="005C4672"/>
    <w:rsid w:val="005C49DA"/>
    <w:rsid w:val="005C50F3"/>
    <w:rsid w:val="005C54B5"/>
    <w:rsid w:val="005C5D80"/>
    <w:rsid w:val="005C5D91"/>
    <w:rsid w:val="005D07B8"/>
    <w:rsid w:val="005D1125"/>
    <w:rsid w:val="005D4C54"/>
    <w:rsid w:val="005D55CF"/>
    <w:rsid w:val="005D5A61"/>
    <w:rsid w:val="005D6597"/>
    <w:rsid w:val="005E14E7"/>
    <w:rsid w:val="005E198A"/>
    <w:rsid w:val="005E26A3"/>
    <w:rsid w:val="005E2ECB"/>
    <w:rsid w:val="005E3A24"/>
    <w:rsid w:val="005E447E"/>
    <w:rsid w:val="005E4FD1"/>
    <w:rsid w:val="005E5FFF"/>
    <w:rsid w:val="005F0775"/>
    <w:rsid w:val="005F0CF5"/>
    <w:rsid w:val="005F10DC"/>
    <w:rsid w:val="005F141F"/>
    <w:rsid w:val="005F21EB"/>
    <w:rsid w:val="005F64CF"/>
    <w:rsid w:val="0060231C"/>
    <w:rsid w:val="006041AD"/>
    <w:rsid w:val="0060432A"/>
    <w:rsid w:val="00605908"/>
    <w:rsid w:val="006060A7"/>
    <w:rsid w:val="00607850"/>
    <w:rsid w:val="00610D7C"/>
    <w:rsid w:val="00612F12"/>
    <w:rsid w:val="00613414"/>
    <w:rsid w:val="00614B08"/>
    <w:rsid w:val="00617D4C"/>
    <w:rsid w:val="00620154"/>
    <w:rsid w:val="0062408D"/>
    <w:rsid w:val="006240CC"/>
    <w:rsid w:val="00624940"/>
    <w:rsid w:val="0062508C"/>
    <w:rsid w:val="006254F8"/>
    <w:rsid w:val="00627408"/>
    <w:rsid w:val="00627DA7"/>
    <w:rsid w:val="00630DA4"/>
    <w:rsid w:val="00631768"/>
    <w:rsid w:val="00631CD4"/>
    <w:rsid w:val="00632597"/>
    <w:rsid w:val="00634D13"/>
    <w:rsid w:val="006358B4"/>
    <w:rsid w:val="00641724"/>
    <w:rsid w:val="006419AA"/>
    <w:rsid w:val="00644B1F"/>
    <w:rsid w:val="00644B7E"/>
    <w:rsid w:val="006454E6"/>
    <w:rsid w:val="00646235"/>
    <w:rsid w:val="00646A68"/>
    <w:rsid w:val="00647426"/>
    <w:rsid w:val="006505BD"/>
    <w:rsid w:val="006508EA"/>
    <w:rsid w:val="0065092E"/>
    <w:rsid w:val="00650FA7"/>
    <w:rsid w:val="00651313"/>
    <w:rsid w:val="006527E4"/>
    <w:rsid w:val="00652DCF"/>
    <w:rsid w:val="006557A7"/>
    <w:rsid w:val="00656290"/>
    <w:rsid w:val="00657709"/>
    <w:rsid w:val="006601C9"/>
    <w:rsid w:val="006608D8"/>
    <w:rsid w:val="00661957"/>
    <w:rsid w:val="006621D7"/>
    <w:rsid w:val="0066302A"/>
    <w:rsid w:val="006633A7"/>
    <w:rsid w:val="0066360F"/>
    <w:rsid w:val="00667453"/>
    <w:rsid w:val="00667770"/>
    <w:rsid w:val="00670597"/>
    <w:rsid w:val="006706D0"/>
    <w:rsid w:val="00671803"/>
    <w:rsid w:val="00677574"/>
    <w:rsid w:val="00681935"/>
    <w:rsid w:val="00683878"/>
    <w:rsid w:val="0068454C"/>
    <w:rsid w:val="006852E7"/>
    <w:rsid w:val="006906A3"/>
    <w:rsid w:val="00691B62"/>
    <w:rsid w:val="006930C0"/>
    <w:rsid w:val="006933B5"/>
    <w:rsid w:val="00693D14"/>
    <w:rsid w:val="00695A93"/>
    <w:rsid w:val="00696F27"/>
    <w:rsid w:val="006A18C2"/>
    <w:rsid w:val="006A21E8"/>
    <w:rsid w:val="006A286F"/>
    <w:rsid w:val="006A2F78"/>
    <w:rsid w:val="006A3383"/>
    <w:rsid w:val="006A59BD"/>
    <w:rsid w:val="006A5FE9"/>
    <w:rsid w:val="006B077C"/>
    <w:rsid w:val="006B16AF"/>
    <w:rsid w:val="006B243D"/>
    <w:rsid w:val="006B2CCE"/>
    <w:rsid w:val="006B6803"/>
    <w:rsid w:val="006B77BF"/>
    <w:rsid w:val="006C2803"/>
    <w:rsid w:val="006C2FC9"/>
    <w:rsid w:val="006C45FE"/>
    <w:rsid w:val="006C7ACB"/>
    <w:rsid w:val="006D0F16"/>
    <w:rsid w:val="006D1707"/>
    <w:rsid w:val="006D2A3F"/>
    <w:rsid w:val="006D2FBC"/>
    <w:rsid w:val="006D49EB"/>
    <w:rsid w:val="006D5CC6"/>
    <w:rsid w:val="006D7282"/>
    <w:rsid w:val="006E138B"/>
    <w:rsid w:val="006E1867"/>
    <w:rsid w:val="006E65C2"/>
    <w:rsid w:val="006E6A3F"/>
    <w:rsid w:val="006F0330"/>
    <w:rsid w:val="006F16AF"/>
    <w:rsid w:val="006F1FDC"/>
    <w:rsid w:val="006F4DC2"/>
    <w:rsid w:val="006F6B8C"/>
    <w:rsid w:val="007013EF"/>
    <w:rsid w:val="00701CD8"/>
    <w:rsid w:val="007055BD"/>
    <w:rsid w:val="007063F4"/>
    <w:rsid w:val="007066C6"/>
    <w:rsid w:val="007125FE"/>
    <w:rsid w:val="007173CA"/>
    <w:rsid w:val="00721491"/>
    <w:rsid w:val="007216AA"/>
    <w:rsid w:val="00721AB5"/>
    <w:rsid w:val="00721CFB"/>
    <w:rsid w:val="00721DEF"/>
    <w:rsid w:val="00724A43"/>
    <w:rsid w:val="007273AC"/>
    <w:rsid w:val="00731AD4"/>
    <w:rsid w:val="00733D2C"/>
    <w:rsid w:val="007346E4"/>
    <w:rsid w:val="00736FB9"/>
    <w:rsid w:val="00740924"/>
    <w:rsid w:val="00740F22"/>
    <w:rsid w:val="00741977"/>
    <w:rsid w:val="00741CF0"/>
    <w:rsid w:val="00741F1A"/>
    <w:rsid w:val="00743A2C"/>
    <w:rsid w:val="007447DA"/>
    <w:rsid w:val="007450F8"/>
    <w:rsid w:val="0074696E"/>
    <w:rsid w:val="0074731C"/>
    <w:rsid w:val="00750135"/>
    <w:rsid w:val="0075089F"/>
    <w:rsid w:val="00750EC2"/>
    <w:rsid w:val="00751D12"/>
    <w:rsid w:val="00752B28"/>
    <w:rsid w:val="00753017"/>
    <w:rsid w:val="007541A9"/>
    <w:rsid w:val="00754E36"/>
    <w:rsid w:val="00763139"/>
    <w:rsid w:val="00764EE9"/>
    <w:rsid w:val="00765AB9"/>
    <w:rsid w:val="00765BA7"/>
    <w:rsid w:val="00766F80"/>
    <w:rsid w:val="007708C8"/>
    <w:rsid w:val="00770F37"/>
    <w:rsid w:val="007711A0"/>
    <w:rsid w:val="007717CC"/>
    <w:rsid w:val="00772D5E"/>
    <w:rsid w:val="0077463E"/>
    <w:rsid w:val="00776928"/>
    <w:rsid w:val="00776E0F"/>
    <w:rsid w:val="007774B1"/>
    <w:rsid w:val="00777525"/>
    <w:rsid w:val="00777BE1"/>
    <w:rsid w:val="007833D8"/>
    <w:rsid w:val="00785677"/>
    <w:rsid w:val="00786F16"/>
    <w:rsid w:val="00791BD7"/>
    <w:rsid w:val="007933F7"/>
    <w:rsid w:val="007967EC"/>
    <w:rsid w:val="00796E20"/>
    <w:rsid w:val="00797C32"/>
    <w:rsid w:val="007A11E8"/>
    <w:rsid w:val="007A2325"/>
    <w:rsid w:val="007A4C52"/>
    <w:rsid w:val="007B0700"/>
    <w:rsid w:val="007B0914"/>
    <w:rsid w:val="007B1374"/>
    <w:rsid w:val="007B32E5"/>
    <w:rsid w:val="007B3B4D"/>
    <w:rsid w:val="007B3DB9"/>
    <w:rsid w:val="007B589F"/>
    <w:rsid w:val="007B5E85"/>
    <w:rsid w:val="007B6186"/>
    <w:rsid w:val="007B73BC"/>
    <w:rsid w:val="007C1838"/>
    <w:rsid w:val="007C20B9"/>
    <w:rsid w:val="007C337F"/>
    <w:rsid w:val="007C7301"/>
    <w:rsid w:val="007C7859"/>
    <w:rsid w:val="007C7F28"/>
    <w:rsid w:val="007D1466"/>
    <w:rsid w:val="007D2BDE"/>
    <w:rsid w:val="007D2FB6"/>
    <w:rsid w:val="007D49EB"/>
    <w:rsid w:val="007D5E1C"/>
    <w:rsid w:val="007D5FD6"/>
    <w:rsid w:val="007D7806"/>
    <w:rsid w:val="007E0DE2"/>
    <w:rsid w:val="007E3B98"/>
    <w:rsid w:val="007E417A"/>
    <w:rsid w:val="007E5333"/>
    <w:rsid w:val="007F31B6"/>
    <w:rsid w:val="007F546C"/>
    <w:rsid w:val="007F625F"/>
    <w:rsid w:val="007F62C9"/>
    <w:rsid w:val="007F665E"/>
    <w:rsid w:val="007F70E7"/>
    <w:rsid w:val="00800412"/>
    <w:rsid w:val="0080587B"/>
    <w:rsid w:val="00806468"/>
    <w:rsid w:val="00806566"/>
    <w:rsid w:val="00807181"/>
    <w:rsid w:val="008119CA"/>
    <w:rsid w:val="00811BBF"/>
    <w:rsid w:val="008130C4"/>
    <w:rsid w:val="008140A3"/>
    <w:rsid w:val="0081544F"/>
    <w:rsid w:val="008155F0"/>
    <w:rsid w:val="00816735"/>
    <w:rsid w:val="00816F24"/>
    <w:rsid w:val="00820141"/>
    <w:rsid w:val="00820E0C"/>
    <w:rsid w:val="00823275"/>
    <w:rsid w:val="0082366F"/>
    <w:rsid w:val="00826EEC"/>
    <w:rsid w:val="008338A2"/>
    <w:rsid w:val="008361B7"/>
    <w:rsid w:val="00841AA9"/>
    <w:rsid w:val="008441AD"/>
    <w:rsid w:val="00844669"/>
    <w:rsid w:val="008474FE"/>
    <w:rsid w:val="0085232E"/>
    <w:rsid w:val="00853A5D"/>
    <w:rsid w:val="00853EE4"/>
    <w:rsid w:val="00855535"/>
    <w:rsid w:val="00857C5A"/>
    <w:rsid w:val="0086255E"/>
    <w:rsid w:val="008633F0"/>
    <w:rsid w:val="00867D9D"/>
    <w:rsid w:val="00872C54"/>
    <w:rsid w:val="00872E0A"/>
    <w:rsid w:val="00873594"/>
    <w:rsid w:val="00875285"/>
    <w:rsid w:val="008763A7"/>
    <w:rsid w:val="0087700A"/>
    <w:rsid w:val="008777EC"/>
    <w:rsid w:val="0088073D"/>
    <w:rsid w:val="00881623"/>
    <w:rsid w:val="00882D0F"/>
    <w:rsid w:val="00884B62"/>
    <w:rsid w:val="0088529C"/>
    <w:rsid w:val="00887481"/>
    <w:rsid w:val="00887903"/>
    <w:rsid w:val="0089270A"/>
    <w:rsid w:val="00893AF6"/>
    <w:rsid w:val="00894BC4"/>
    <w:rsid w:val="00896E68"/>
    <w:rsid w:val="008A28A8"/>
    <w:rsid w:val="008A5B32"/>
    <w:rsid w:val="008A5D60"/>
    <w:rsid w:val="008B03C9"/>
    <w:rsid w:val="008B0F5A"/>
    <w:rsid w:val="008B2029"/>
    <w:rsid w:val="008B2EE4"/>
    <w:rsid w:val="008B3821"/>
    <w:rsid w:val="008B4D3D"/>
    <w:rsid w:val="008B57C7"/>
    <w:rsid w:val="008C2F92"/>
    <w:rsid w:val="008C4ED5"/>
    <w:rsid w:val="008C589D"/>
    <w:rsid w:val="008C6804"/>
    <w:rsid w:val="008C6D51"/>
    <w:rsid w:val="008C7B74"/>
    <w:rsid w:val="008D2846"/>
    <w:rsid w:val="008D3CBD"/>
    <w:rsid w:val="008D4236"/>
    <w:rsid w:val="008D462F"/>
    <w:rsid w:val="008D57A5"/>
    <w:rsid w:val="008D5C45"/>
    <w:rsid w:val="008D6DCF"/>
    <w:rsid w:val="008E4376"/>
    <w:rsid w:val="008E7A0A"/>
    <w:rsid w:val="008E7B49"/>
    <w:rsid w:val="008F0AF3"/>
    <w:rsid w:val="008F59F6"/>
    <w:rsid w:val="008F77FD"/>
    <w:rsid w:val="008F7E5D"/>
    <w:rsid w:val="00900719"/>
    <w:rsid w:val="009017AC"/>
    <w:rsid w:val="00902A9A"/>
    <w:rsid w:val="00904A1C"/>
    <w:rsid w:val="00905030"/>
    <w:rsid w:val="00906490"/>
    <w:rsid w:val="009065F8"/>
    <w:rsid w:val="009111B2"/>
    <w:rsid w:val="00911467"/>
    <w:rsid w:val="009151F5"/>
    <w:rsid w:val="00915CF6"/>
    <w:rsid w:val="00917A07"/>
    <w:rsid w:val="0092150D"/>
    <w:rsid w:val="00924AE1"/>
    <w:rsid w:val="009257ED"/>
    <w:rsid w:val="009269B1"/>
    <w:rsid w:val="0092724D"/>
    <w:rsid w:val="009272B3"/>
    <w:rsid w:val="009315BE"/>
    <w:rsid w:val="00933037"/>
    <w:rsid w:val="0093338F"/>
    <w:rsid w:val="00937BD9"/>
    <w:rsid w:val="00945D9A"/>
    <w:rsid w:val="00946E01"/>
    <w:rsid w:val="00950E2C"/>
    <w:rsid w:val="00951D50"/>
    <w:rsid w:val="009525EB"/>
    <w:rsid w:val="00953E1E"/>
    <w:rsid w:val="0095470B"/>
    <w:rsid w:val="00954874"/>
    <w:rsid w:val="00954D01"/>
    <w:rsid w:val="0095615A"/>
    <w:rsid w:val="009565A0"/>
    <w:rsid w:val="00961400"/>
    <w:rsid w:val="009616E3"/>
    <w:rsid w:val="00963646"/>
    <w:rsid w:val="0096632D"/>
    <w:rsid w:val="00967124"/>
    <w:rsid w:val="00967335"/>
    <w:rsid w:val="00967C83"/>
    <w:rsid w:val="00970C7B"/>
    <w:rsid w:val="009718C7"/>
    <w:rsid w:val="0097559F"/>
    <w:rsid w:val="009761EA"/>
    <w:rsid w:val="0097761E"/>
    <w:rsid w:val="00980557"/>
    <w:rsid w:val="00982454"/>
    <w:rsid w:val="00982CF0"/>
    <w:rsid w:val="00985367"/>
    <w:rsid w:val="009853E1"/>
    <w:rsid w:val="0098669B"/>
    <w:rsid w:val="00986E6B"/>
    <w:rsid w:val="00987DAA"/>
    <w:rsid w:val="00990032"/>
    <w:rsid w:val="00990B19"/>
    <w:rsid w:val="00991003"/>
    <w:rsid w:val="0099153B"/>
    <w:rsid w:val="00991769"/>
    <w:rsid w:val="0099232C"/>
    <w:rsid w:val="00994386"/>
    <w:rsid w:val="00994430"/>
    <w:rsid w:val="00994791"/>
    <w:rsid w:val="00997FB9"/>
    <w:rsid w:val="009A13D8"/>
    <w:rsid w:val="009A279E"/>
    <w:rsid w:val="009A3015"/>
    <w:rsid w:val="009A3490"/>
    <w:rsid w:val="009A6846"/>
    <w:rsid w:val="009B0A6F"/>
    <w:rsid w:val="009B0A94"/>
    <w:rsid w:val="009B2AE8"/>
    <w:rsid w:val="009B3493"/>
    <w:rsid w:val="009B47A1"/>
    <w:rsid w:val="009B5622"/>
    <w:rsid w:val="009B59E9"/>
    <w:rsid w:val="009B70AA"/>
    <w:rsid w:val="009C1A3D"/>
    <w:rsid w:val="009C1CB1"/>
    <w:rsid w:val="009C25F2"/>
    <w:rsid w:val="009C2795"/>
    <w:rsid w:val="009C5E77"/>
    <w:rsid w:val="009C7A7E"/>
    <w:rsid w:val="009D02E8"/>
    <w:rsid w:val="009D51D0"/>
    <w:rsid w:val="009D70A4"/>
    <w:rsid w:val="009D73A3"/>
    <w:rsid w:val="009D7A52"/>
    <w:rsid w:val="009D7B14"/>
    <w:rsid w:val="009E08D1"/>
    <w:rsid w:val="009E1B95"/>
    <w:rsid w:val="009E496F"/>
    <w:rsid w:val="009E4B0D"/>
    <w:rsid w:val="009E5250"/>
    <w:rsid w:val="009E7A69"/>
    <w:rsid w:val="009E7AA2"/>
    <w:rsid w:val="009E7F92"/>
    <w:rsid w:val="009F02A3"/>
    <w:rsid w:val="009F16C8"/>
    <w:rsid w:val="009F2F27"/>
    <w:rsid w:val="009F34AA"/>
    <w:rsid w:val="009F6BCB"/>
    <w:rsid w:val="009F7B78"/>
    <w:rsid w:val="009F7C37"/>
    <w:rsid w:val="00A00528"/>
    <w:rsid w:val="00A0057A"/>
    <w:rsid w:val="00A02FA1"/>
    <w:rsid w:val="00A04CCE"/>
    <w:rsid w:val="00A07421"/>
    <w:rsid w:val="00A0776B"/>
    <w:rsid w:val="00A10FB9"/>
    <w:rsid w:val="00A11421"/>
    <w:rsid w:val="00A11FD8"/>
    <w:rsid w:val="00A1389F"/>
    <w:rsid w:val="00A14996"/>
    <w:rsid w:val="00A157B1"/>
    <w:rsid w:val="00A21C80"/>
    <w:rsid w:val="00A22229"/>
    <w:rsid w:val="00A2429E"/>
    <w:rsid w:val="00A24442"/>
    <w:rsid w:val="00A252B9"/>
    <w:rsid w:val="00A32577"/>
    <w:rsid w:val="00A330BB"/>
    <w:rsid w:val="00A3314F"/>
    <w:rsid w:val="00A34ACD"/>
    <w:rsid w:val="00A34CD7"/>
    <w:rsid w:val="00A36AD9"/>
    <w:rsid w:val="00A428F5"/>
    <w:rsid w:val="00A43C8C"/>
    <w:rsid w:val="00A44882"/>
    <w:rsid w:val="00A44F3F"/>
    <w:rsid w:val="00A45125"/>
    <w:rsid w:val="00A45379"/>
    <w:rsid w:val="00A513A9"/>
    <w:rsid w:val="00A53CCC"/>
    <w:rsid w:val="00A54715"/>
    <w:rsid w:val="00A5483D"/>
    <w:rsid w:val="00A56F8E"/>
    <w:rsid w:val="00A6061C"/>
    <w:rsid w:val="00A62D44"/>
    <w:rsid w:val="00A65DE2"/>
    <w:rsid w:val="00A67263"/>
    <w:rsid w:val="00A7161C"/>
    <w:rsid w:val="00A74628"/>
    <w:rsid w:val="00A77AA3"/>
    <w:rsid w:val="00A818F9"/>
    <w:rsid w:val="00A8236D"/>
    <w:rsid w:val="00A854EB"/>
    <w:rsid w:val="00A872E5"/>
    <w:rsid w:val="00A87C1E"/>
    <w:rsid w:val="00A91406"/>
    <w:rsid w:val="00A96C5E"/>
    <w:rsid w:val="00A96E65"/>
    <w:rsid w:val="00A96ECE"/>
    <w:rsid w:val="00A96FCE"/>
    <w:rsid w:val="00A97C72"/>
    <w:rsid w:val="00AA310B"/>
    <w:rsid w:val="00AA3A5B"/>
    <w:rsid w:val="00AA4688"/>
    <w:rsid w:val="00AA63D4"/>
    <w:rsid w:val="00AB06E8"/>
    <w:rsid w:val="00AB0D5F"/>
    <w:rsid w:val="00AB1545"/>
    <w:rsid w:val="00AB1A4F"/>
    <w:rsid w:val="00AB1CD3"/>
    <w:rsid w:val="00AB2856"/>
    <w:rsid w:val="00AB352F"/>
    <w:rsid w:val="00AB4C0D"/>
    <w:rsid w:val="00AB7AF9"/>
    <w:rsid w:val="00AC274B"/>
    <w:rsid w:val="00AC4764"/>
    <w:rsid w:val="00AC67B0"/>
    <w:rsid w:val="00AC6D36"/>
    <w:rsid w:val="00AC768F"/>
    <w:rsid w:val="00AD0248"/>
    <w:rsid w:val="00AD0CBA"/>
    <w:rsid w:val="00AD26E2"/>
    <w:rsid w:val="00AD4C5A"/>
    <w:rsid w:val="00AD5BD4"/>
    <w:rsid w:val="00AD784C"/>
    <w:rsid w:val="00AD7DC8"/>
    <w:rsid w:val="00AD7E56"/>
    <w:rsid w:val="00AE126A"/>
    <w:rsid w:val="00AE1BAE"/>
    <w:rsid w:val="00AE3005"/>
    <w:rsid w:val="00AE3BD5"/>
    <w:rsid w:val="00AE4B5C"/>
    <w:rsid w:val="00AE59A0"/>
    <w:rsid w:val="00AE7145"/>
    <w:rsid w:val="00AF0C57"/>
    <w:rsid w:val="00AF1EC6"/>
    <w:rsid w:val="00AF26F3"/>
    <w:rsid w:val="00AF4281"/>
    <w:rsid w:val="00AF5F04"/>
    <w:rsid w:val="00AF6324"/>
    <w:rsid w:val="00AF697F"/>
    <w:rsid w:val="00B00672"/>
    <w:rsid w:val="00B01B4D"/>
    <w:rsid w:val="00B04489"/>
    <w:rsid w:val="00B06571"/>
    <w:rsid w:val="00B0675C"/>
    <w:rsid w:val="00B068BA"/>
    <w:rsid w:val="00B07217"/>
    <w:rsid w:val="00B13851"/>
    <w:rsid w:val="00B13B1C"/>
    <w:rsid w:val="00B14B5F"/>
    <w:rsid w:val="00B21263"/>
    <w:rsid w:val="00B21F90"/>
    <w:rsid w:val="00B22291"/>
    <w:rsid w:val="00B22EF1"/>
    <w:rsid w:val="00B23F9A"/>
    <w:rsid w:val="00B2417B"/>
    <w:rsid w:val="00B24E6F"/>
    <w:rsid w:val="00B26CB5"/>
    <w:rsid w:val="00B2752E"/>
    <w:rsid w:val="00B307CC"/>
    <w:rsid w:val="00B326B7"/>
    <w:rsid w:val="00B34D81"/>
    <w:rsid w:val="00B3588E"/>
    <w:rsid w:val="00B4198F"/>
    <w:rsid w:val="00B41F3D"/>
    <w:rsid w:val="00B431E8"/>
    <w:rsid w:val="00B4353D"/>
    <w:rsid w:val="00B4480C"/>
    <w:rsid w:val="00B45141"/>
    <w:rsid w:val="00B519CD"/>
    <w:rsid w:val="00B523D2"/>
    <w:rsid w:val="00B5273A"/>
    <w:rsid w:val="00B54CD7"/>
    <w:rsid w:val="00B57329"/>
    <w:rsid w:val="00B60E61"/>
    <w:rsid w:val="00B60EDD"/>
    <w:rsid w:val="00B626C1"/>
    <w:rsid w:val="00B62B50"/>
    <w:rsid w:val="00B635B7"/>
    <w:rsid w:val="00B63AE8"/>
    <w:rsid w:val="00B65950"/>
    <w:rsid w:val="00B66D83"/>
    <w:rsid w:val="00B672C0"/>
    <w:rsid w:val="00B676FD"/>
    <w:rsid w:val="00B678B6"/>
    <w:rsid w:val="00B706E8"/>
    <w:rsid w:val="00B71D6C"/>
    <w:rsid w:val="00B75646"/>
    <w:rsid w:val="00B7629E"/>
    <w:rsid w:val="00B80717"/>
    <w:rsid w:val="00B827DE"/>
    <w:rsid w:val="00B90729"/>
    <w:rsid w:val="00B907DA"/>
    <w:rsid w:val="00B915B7"/>
    <w:rsid w:val="00B91FFE"/>
    <w:rsid w:val="00B950BC"/>
    <w:rsid w:val="00B95AB9"/>
    <w:rsid w:val="00B9714C"/>
    <w:rsid w:val="00BA29AD"/>
    <w:rsid w:val="00BA33CF"/>
    <w:rsid w:val="00BA3F8D"/>
    <w:rsid w:val="00BB1EB6"/>
    <w:rsid w:val="00BB7A10"/>
    <w:rsid w:val="00BC2E47"/>
    <w:rsid w:val="00BC31EF"/>
    <w:rsid w:val="00BC60BE"/>
    <w:rsid w:val="00BC7468"/>
    <w:rsid w:val="00BC7D4F"/>
    <w:rsid w:val="00BC7ED7"/>
    <w:rsid w:val="00BD208F"/>
    <w:rsid w:val="00BD2618"/>
    <w:rsid w:val="00BD2850"/>
    <w:rsid w:val="00BD3257"/>
    <w:rsid w:val="00BD4275"/>
    <w:rsid w:val="00BD6049"/>
    <w:rsid w:val="00BE28D2"/>
    <w:rsid w:val="00BE4A64"/>
    <w:rsid w:val="00BE5E43"/>
    <w:rsid w:val="00BF557D"/>
    <w:rsid w:val="00BF62E5"/>
    <w:rsid w:val="00BF7F58"/>
    <w:rsid w:val="00C0128A"/>
    <w:rsid w:val="00C01381"/>
    <w:rsid w:val="00C01AB1"/>
    <w:rsid w:val="00C01E1C"/>
    <w:rsid w:val="00C026A0"/>
    <w:rsid w:val="00C03EA4"/>
    <w:rsid w:val="00C04F42"/>
    <w:rsid w:val="00C06137"/>
    <w:rsid w:val="00C06929"/>
    <w:rsid w:val="00C079B8"/>
    <w:rsid w:val="00C10037"/>
    <w:rsid w:val="00C123EA"/>
    <w:rsid w:val="00C12A49"/>
    <w:rsid w:val="00C133EE"/>
    <w:rsid w:val="00C149D0"/>
    <w:rsid w:val="00C14CE9"/>
    <w:rsid w:val="00C14E9B"/>
    <w:rsid w:val="00C217EA"/>
    <w:rsid w:val="00C21BBF"/>
    <w:rsid w:val="00C231A0"/>
    <w:rsid w:val="00C26588"/>
    <w:rsid w:val="00C27DE9"/>
    <w:rsid w:val="00C32989"/>
    <w:rsid w:val="00C33388"/>
    <w:rsid w:val="00C35484"/>
    <w:rsid w:val="00C4173A"/>
    <w:rsid w:val="00C44141"/>
    <w:rsid w:val="00C457CF"/>
    <w:rsid w:val="00C46CC8"/>
    <w:rsid w:val="00C47399"/>
    <w:rsid w:val="00C50DED"/>
    <w:rsid w:val="00C52217"/>
    <w:rsid w:val="00C601A5"/>
    <w:rsid w:val="00C602FF"/>
    <w:rsid w:val="00C61174"/>
    <w:rsid w:val="00C6148F"/>
    <w:rsid w:val="00C621B1"/>
    <w:rsid w:val="00C62F7A"/>
    <w:rsid w:val="00C63B9C"/>
    <w:rsid w:val="00C6682F"/>
    <w:rsid w:val="00C66E70"/>
    <w:rsid w:val="00C67BF4"/>
    <w:rsid w:val="00C7275E"/>
    <w:rsid w:val="00C74C5D"/>
    <w:rsid w:val="00C769EE"/>
    <w:rsid w:val="00C863C4"/>
    <w:rsid w:val="00C920EA"/>
    <w:rsid w:val="00C92212"/>
    <w:rsid w:val="00C93C3E"/>
    <w:rsid w:val="00C93D7C"/>
    <w:rsid w:val="00CA12E3"/>
    <w:rsid w:val="00CA1476"/>
    <w:rsid w:val="00CA237C"/>
    <w:rsid w:val="00CA6611"/>
    <w:rsid w:val="00CA6AE6"/>
    <w:rsid w:val="00CA782F"/>
    <w:rsid w:val="00CB187B"/>
    <w:rsid w:val="00CB2835"/>
    <w:rsid w:val="00CB3285"/>
    <w:rsid w:val="00CB4500"/>
    <w:rsid w:val="00CB477D"/>
    <w:rsid w:val="00CC04E9"/>
    <w:rsid w:val="00CC0C72"/>
    <w:rsid w:val="00CC0EEA"/>
    <w:rsid w:val="00CC2BFD"/>
    <w:rsid w:val="00CC64DD"/>
    <w:rsid w:val="00CD0247"/>
    <w:rsid w:val="00CD05E0"/>
    <w:rsid w:val="00CD1A9A"/>
    <w:rsid w:val="00CD2334"/>
    <w:rsid w:val="00CD2454"/>
    <w:rsid w:val="00CD3476"/>
    <w:rsid w:val="00CD4CDF"/>
    <w:rsid w:val="00CD5F79"/>
    <w:rsid w:val="00CD64DF"/>
    <w:rsid w:val="00CE225F"/>
    <w:rsid w:val="00CE610A"/>
    <w:rsid w:val="00CF2F50"/>
    <w:rsid w:val="00CF4148"/>
    <w:rsid w:val="00CF6198"/>
    <w:rsid w:val="00D02919"/>
    <w:rsid w:val="00D04C61"/>
    <w:rsid w:val="00D05B8D"/>
    <w:rsid w:val="00D05B9B"/>
    <w:rsid w:val="00D065A2"/>
    <w:rsid w:val="00D079AA"/>
    <w:rsid w:val="00D07F00"/>
    <w:rsid w:val="00D1130F"/>
    <w:rsid w:val="00D17B72"/>
    <w:rsid w:val="00D17FA1"/>
    <w:rsid w:val="00D23F4F"/>
    <w:rsid w:val="00D270F2"/>
    <w:rsid w:val="00D3185C"/>
    <w:rsid w:val="00D3205F"/>
    <w:rsid w:val="00D3318E"/>
    <w:rsid w:val="00D33E72"/>
    <w:rsid w:val="00D35BD6"/>
    <w:rsid w:val="00D361B5"/>
    <w:rsid w:val="00D402DB"/>
    <w:rsid w:val="00D411A2"/>
    <w:rsid w:val="00D45CFE"/>
    <w:rsid w:val="00D4606D"/>
    <w:rsid w:val="00D47FBF"/>
    <w:rsid w:val="00D506B7"/>
    <w:rsid w:val="00D50B9C"/>
    <w:rsid w:val="00D52D73"/>
    <w:rsid w:val="00D52E58"/>
    <w:rsid w:val="00D56B20"/>
    <w:rsid w:val="00D578B3"/>
    <w:rsid w:val="00D618F4"/>
    <w:rsid w:val="00D67792"/>
    <w:rsid w:val="00D714CC"/>
    <w:rsid w:val="00D72BB6"/>
    <w:rsid w:val="00D75EA7"/>
    <w:rsid w:val="00D81ADF"/>
    <w:rsid w:val="00D81F21"/>
    <w:rsid w:val="00D8423D"/>
    <w:rsid w:val="00D84658"/>
    <w:rsid w:val="00D864F2"/>
    <w:rsid w:val="00D90673"/>
    <w:rsid w:val="00D94087"/>
    <w:rsid w:val="00D943F8"/>
    <w:rsid w:val="00D95470"/>
    <w:rsid w:val="00D96B55"/>
    <w:rsid w:val="00DA2619"/>
    <w:rsid w:val="00DA2E57"/>
    <w:rsid w:val="00DA4239"/>
    <w:rsid w:val="00DA4330"/>
    <w:rsid w:val="00DA65DE"/>
    <w:rsid w:val="00DA7A51"/>
    <w:rsid w:val="00DB0B61"/>
    <w:rsid w:val="00DB1474"/>
    <w:rsid w:val="00DB2962"/>
    <w:rsid w:val="00DB52FB"/>
    <w:rsid w:val="00DB62FB"/>
    <w:rsid w:val="00DC013B"/>
    <w:rsid w:val="00DC090B"/>
    <w:rsid w:val="00DC1679"/>
    <w:rsid w:val="00DC219B"/>
    <w:rsid w:val="00DC2CF1"/>
    <w:rsid w:val="00DC3A7C"/>
    <w:rsid w:val="00DC4FCF"/>
    <w:rsid w:val="00DC50E0"/>
    <w:rsid w:val="00DC5609"/>
    <w:rsid w:val="00DC5858"/>
    <w:rsid w:val="00DC6386"/>
    <w:rsid w:val="00DC6717"/>
    <w:rsid w:val="00DD1130"/>
    <w:rsid w:val="00DD1951"/>
    <w:rsid w:val="00DD39BC"/>
    <w:rsid w:val="00DD487D"/>
    <w:rsid w:val="00DD4E83"/>
    <w:rsid w:val="00DD6628"/>
    <w:rsid w:val="00DD6945"/>
    <w:rsid w:val="00DE0405"/>
    <w:rsid w:val="00DE0A89"/>
    <w:rsid w:val="00DE0C62"/>
    <w:rsid w:val="00DE0ED7"/>
    <w:rsid w:val="00DE2ADE"/>
    <w:rsid w:val="00DE2D04"/>
    <w:rsid w:val="00DE3250"/>
    <w:rsid w:val="00DE6028"/>
    <w:rsid w:val="00DE6C85"/>
    <w:rsid w:val="00DE72C8"/>
    <w:rsid w:val="00DE78A3"/>
    <w:rsid w:val="00DF1A71"/>
    <w:rsid w:val="00DF20D3"/>
    <w:rsid w:val="00DF50FC"/>
    <w:rsid w:val="00DF684D"/>
    <w:rsid w:val="00DF68C7"/>
    <w:rsid w:val="00DF731A"/>
    <w:rsid w:val="00E05026"/>
    <w:rsid w:val="00E06B75"/>
    <w:rsid w:val="00E11332"/>
    <w:rsid w:val="00E11352"/>
    <w:rsid w:val="00E153AC"/>
    <w:rsid w:val="00E170DC"/>
    <w:rsid w:val="00E17546"/>
    <w:rsid w:val="00E210B5"/>
    <w:rsid w:val="00E23D8F"/>
    <w:rsid w:val="00E261B3"/>
    <w:rsid w:val="00E26818"/>
    <w:rsid w:val="00E27291"/>
    <w:rsid w:val="00E27FFC"/>
    <w:rsid w:val="00E30B15"/>
    <w:rsid w:val="00E33237"/>
    <w:rsid w:val="00E3790E"/>
    <w:rsid w:val="00E40181"/>
    <w:rsid w:val="00E46B7F"/>
    <w:rsid w:val="00E5061F"/>
    <w:rsid w:val="00E54950"/>
    <w:rsid w:val="00E55FB3"/>
    <w:rsid w:val="00E56A01"/>
    <w:rsid w:val="00E57A42"/>
    <w:rsid w:val="00E6298E"/>
    <w:rsid w:val="00E629A1"/>
    <w:rsid w:val="00E62AC2"/>
    <w:rsid w:val="00E66E6A"/>
    <w:rsid w:val="00E6794C"/>
    <w:rsid w:val="00E67E55"/>
    <w:rsid w:val="00E71591"/>
    <w:rsid w:val="00E71CEB"/>
    <w:rsid w:val="00E7474F"/>
    <w:rsid w:val="00E748AC"/>
    <w:rsid w:val="00E758F7"/>
    <w:rsid w:val="00E77901"/>
    <w:rsid w:val="00E80DE3"/>
    <w:rsid w:val="00E82C55"/>
    <w:rsid w:val="00E83AA3"/>
    <w:rsid w:val="00E8787E"/>
    <w:rsid w:val="00E9104B"/>
    <w:rsid w:val="00E92AC3"/>
    <w:rsid w:val="00E94ADE"/>
    <w:rsid w:val="00E94EFD"/>
    <w:rsid w:val="00EA2F6A"/>
    <w:rsid w:val="00EA2FFB"/>
    <w:rsid w:val="00EB002C"/>
    <w:rsid w:val="00EB00E0"/>
    <w:rsid w:val="00EB05D5"/>
    <w:rsid w:val="00EB1931"/>
    <w:rsid w:val="00EB3F25"/>
    <w:rsid w:val="00EB4276"/>
    <w:rsid w:val="00EB4589"/>
    <w:rsid w:val="00EB502E"/>
    <w:rsid w:val="00EC059F"/>
    <w:rsid w:val="00EC1F24"/>
    <w:rsid w:val="00EC20FF"/>
    <w:rsid w:val="00EC22F6"/>
    <w:rsid w:val="00EC709C"/>
    <w:rsid w:val="00EC7FD6"/>
    <w:rsid w:val="00ED195F"/>
    <w:rsid w:val="00ED36ED"/>
    <w:rsid w:val="00ED5B9B"/>
    <w:rsid w:val="00ED6BAD"/>
    <w:rsid w:val="00ED7447"/>
    <w:rsid w:val="00EE00D6"/>
    <w:rsid w:val="00EE11E7"/>
    <w:rsid w:val="00EE1488"/>
    <w:rsid w:val="00EE1730"/>
    <w:rsid w:val="00EE1F1B"/>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66CE"/>
    <w:rsid w:val="00F101B8"/>
    <w:rsid w:val="00F10C7D"/>
    <w:rsid w:val="00F11037"/>
    <w:rsid w:val="00F16CC9"/>
    <w:rsid w:val="00F16F1B"/>
    <w:rsid w:val="00F24A50"/>
    <w:rsid w:val="00F250A9"/>
    <w:rsid w:val="00F267AF"/>
    <w:rsid w:val="00F26B45"/>
    <w:rsid w:val="00F30FF4"/>
    <w:rsid w:val="00F3122E"/>
    <w:rsid w:val="00F31FC9"/>
    <w:rsid w:val="00F32368"/>
    <w:rsid w:val="00F331AD"/>
    <w:rsid w:val="00F35287"/>
    <w:rsid w:val="00F37EF7"/>
    <w:rsid w:val="00F40A70"/>
    <w:rsid w:val="00F419AF"/>
    <w:rsid w:val="00F43A37"/>
    <w:rsid w:val="00F44008"/>
    <w:rsid w:val="00F44F26"/>
    <w:rsid w:val="00F4614C"/>
    <w:rsid w:val="00F4641B"/>
    <w:rsid w:val="00F46EB8"/>
    <w:rsid w:val="00F476B8"/>
    <w:rsid w:val="00F50CD1"/>
    <w:rsid w:val="00F511E4"/>
    <w:rsid w:val="00F51A74"/>
    <w:rsid w:val="00F52D09"/>
    <w:rsid w:val="00F52E08"/>
    <w:rsid w:val="00F53783"/>
    <w:rsid w:val="00F53A66"/>
    <w:rsid w:val="00F5462D"/>
    <w:rsid w:val="00F55B21"/>
    <w:rsid w:val="00F56EF6"/>
    <w:rsid w:val="00F60082"/>
    <w:rsid w:val="00F6109C"/>
    <w:rsid w:val="00F6178A"/>
    <w:rsid w:val="00F61A9F"/>
    <w:rsid w:val="00F61B5F"/>
    <w:rsid w:val="00F64696"/>
    <w:rsid w:val="00F653FA"/>
    <w:rsid w:val="00F65AA9"/>
    <w:rsid w:val="00F6768F"/>
    <w:rsid w:val="00F72115"/>
    <w:rsid w:val="00F72C2C"/>
    <w:rsid w:val="00F7312B"/>
    <w:rsid w:val="00F741F2"/>
    <w:rsid w:val="00F7671E"/>
    <w:rsid w:val="00F76CAB"/>
    <w:rsid w:val="00F772C6"/>
    <w:rsid w:val="00F77304"/>
    <w:rsid w:val="00F77468"/>
    <w:rsid w:val="00F77F59"/>
    <w:rsid w:val="00F8027B"/>
    <w:rsid w:val="00F815B5"/>
    <w:rsid w:val="00F81BEF"/>
    <w:rsid w:val="00F83EDE"/>
    <w:rsid w:val="00F85195"/>
    <w:rsid w:val="00F868E3"/>
    <w:rsid w:val="00F901F5"/>
    <w:rsid w:val="00F92C12"/>
    <w:rsid w:val="00F938BA"/>
    <w:rsid w:val="00F9598D"/>
    <w:rsid w:val="00F972B1"/>
    <w:rsid w:val="00F97919"/>
    <w:rsid w:val="00FA0F9F"/>
    <w:rsid w:val="00FA123B"/>
    <w:rsid w:val="00FA2C46"/>
    <w:rsid w:val="00FA3525"/>
    <w:rsid w:val="00FA3718"/>
    <w:rsid w:val="00FA3FDA"/>
    <w:rsid w:val="00FA518A"/>
    <w:rsid w:val="00FA5A53"/>
    <w:rsid w:val="00FB3501"/>
    <w:rsid w:val="00FB4769"/>
    <w:rsid w:val="00FB4CDA"/>
    <w:rsid w:val="00FB5B4E"/>
    <w:rsid w:val="00FB632C"/>
    <w:rsid w:val="00FB6481"/>
    <w:rsid w:val="00FB6D36"/>
    <w:rsid w:val="00FB7AFC"/>
    <w:rsid w:val="00FC0965"/>
    <w:rsid w:val="00FC0F81"/>
    <w:rsid w:val="00FC252F"/>
    <w:rsid w:val="00FC395C"/>
    <w:rsid w:val="00FC46D7"/>
    <w:rsid w:val="00FC5E8E"/>
    <w:rsid w:val="00FC64CB"/>
    <w:rsid w:val="00FC7271"/>
    <w:rsid w:val="00FC7B96"/>
    <w:rsid w:val="00FD3766"/>
    <w:rsid w:val="00FD47C4"/>
    <w:rsid w:val="00FD61DC"/>
    <w:rsid w:val="00FD7DB6"/>
    <w:rsid w:val="00FE2DCF"/>
    <w:rsid w:val="00FE3FA7"/>
    <w:rsid w:val="00FF2A4E"/>
    <w:rsid w:val="00FF2FCE"/>
    <w:rsid w:val="00FF4F7D"/>
    <w:rsid w:val="00FF5B8E"/>
    <w:rsid w:val="00FF614A"/>
    <w:rsid w:val="00FF6B24"/>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7B3A3635-18D9-45EF-9DE0-08C0142B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E5FFF"/>
    <w:pPr>
      <w:spacing w:after="120" w:line="280" w:lineRule="atLeast"/>
    </w:pPr>
    <w:rPr>
      <w:rFonts w:ascii="Arial" w:hAnsi="Arial"/>
      <w:sz w:val="21"/>
      <w:lang w:eastAsia="en-US"/>
    </w:rPr>
  </w:style>
  <w:style w:type="paragraph" w:styleId="Heading1">
    <w:name w:val="heading 1"/>
    <w:next w:val="Body"/>
    <w:link w:val="Heading1Char"/>
    <w:uiPriority w:val="1"/>
    <w:qFormat/>
    <w:rsid w:val="00C44141"/>
    <w:pPr>
      <w:keepNext/>
      <w:keepLines/>
      <w:spacing w:before="320" w:after="200" w:line="440" w:lineRule="atLeast"/>
      <w:outlineLvl w:val="0"/>
    </w:pPr>
    <w:rPr>
      <w:rFonts w:ascii="Arial" w:eastAsia="MS Gothic" w:hAnsi="Arial" w:cs="Arial"/>
      <w:bCs/>
      <w:color w:val="5C308D"/>
      <w:kern w:val="32"/>
      <w:sz w:val="40"/>
      <w:szCs w:val="40"/>
      <w:lang w:eastAsia="en-US"/>
    </w:rPr>
  </w:style>
  <w:style w:type="paragraph" w:styleId="Heading2">
    <w:name w:val="heading 2"/>
    <w:next w:val="Body"/>
    <w:link w:val="Heading2Char"/>
    <w:uiPriority w:val="1"/>
    <w:qFormat/>
    <w:rsid w:val="0038129A"/>
    <w:pPr>
      <w:keepNext/>
      <w:keepLines/>
      <w:spacing w:before="280" w:after="120" w:line="360" w:lineRule="atLeast"/>
      <w:outlineLvl w:val="1"/>
    </w:pPr>
    <w:rPr>
      <w:rFonts w:ascii="Arial" w:hAnsi="Arial"/>
      <w:b/>
      <w:color w:val="7030A0"/>
      <w:sz w:val="32"/>
      <w:szCs w:val="28"/>
      <w:lang w:eastAsia="en-US"/>
    </w:rPr>
  </w:style>
  <w:style w:type="paragraph" w:styleId="Heading3">
    <w:name w:val="heading 3"/>
    <w:next w:val="Body"/>
    <w:link w:val="Heading3Char"/>
    <w:uiPriority w:val="1"/>
    <w:qFormat/>
    <w:rsid w:val="0038129A"/>
    <w:pPr>
      <w:keepNext/>
      <w:keepLines/>
      <w:spacing w:before="280" w:after="120" w:line="320" w:lineRule="atLeast"/>
      <w:outlineLvl w:val="2"/>
    </w:pPr>
    <w:rPr>
      <w:rFonts w:ascii="Arial" w:eastAsia="MS Gothic" w:hAnsi="Arial"/>
      <w:bCs/>
      <w:color w:val="7030A0"/>
      <w:sz w:val="28"/>
      <w:szCs w:val="26"/>
      <w:lang w:eastAsia="en-US"/>
    </w:rPr>
  </w:style>
  <w:style w:type="paragraph" w:styleId="Heading4">
    <w:name w:val="heading 4"/>
    <w:next w:val="Body"/>
    <w:link w:val="Heading4Char"/>
    <w:uiPriority w:val="1"/>
    <w:qFormat/>
    <w:rsid w:val="0038129A"/>
    <w:pPr>
      <w:keepNext/>
      <w:keepLines/>
      <w:spacing w:before="240" w:after="80" w:line="280" w:lineRule="atLeast"/>
      <w:outlineLvl w:val="3"/>
    </w:pPr>
    <w:rPr>
      <w:rFonts w:ascii="Arial" w:eastAsia="MS Mincho" w:hAnsi="Arial"/>
      <w:b/>
      <w:bCs/>
      <w:color w:val="7030A0"/>
      <w:sz w:val="24"/>
      <w:szCs w:val="22"/>
      <w:lang w:eastAsia="en-US"/>
    </w:rPr>
  </w:style>
  <w:style w:type="paragraph" w:styleId="Heading5">
    <w:name w:val="heading 5"/>
    <w:next w:val="Body"/>
    <w:link w:val="Heading5Char"/>
    <w:uiPriority w:val="98"/>
    <w:qFormat/>
    <w:rsid w:val="0038129A"/>
    <w:pPr>
      <w:keepNext/>
      <w:keepLines/>
      <w:spacing w:before="240" w:after="80" w:line="240" w:lineRule="atLeast"/>
      <w:outlineLvl w:val="4"/>
    </w:pPr>
    <w:rPr>
      <w:rFonts w:ascii="Arial" w:eastAsia="MS Mincho" w:hAnsi="Arial"/>
      <w:b/>
      <w:bCs/>
      <w:iCs/>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44141"/>
    <w:rPr>
      <w:rFonts w:ascii="Arial" w:eastAsia="MS Gothic" w:hAnsi="Arial" w:cs="Arial"/>
      <w:bCs/>
      <w:color w:val="5C308D"/>
      <w:kern w:val="32"/>
      <w:sz w:val="40"/>
      <w:szCs w:val="40"/>
      <w:lang w:eastAsia="en-US"/>
    </w:rPr>
  </w:style>
  <w:style w:type="character" w:customStyle="1" w:styleId="Heading2Char">
    <w:name w:val="Heading 2 Char"/>
    <w:link w:val="Heading2"/>
    <w:uiPriority w:val="1"/>
    <w:rsid w:val="0038129A"/>
    <w:rPr>
      <w:rFonts w:ascii="Arial" w:hAnsi="Arial"/>
      <w:b/>
      <w:color w:val="7030A0"/>
      <w:sz w:val="32"/>
      <w:szCs w:val="28"/>
      <w:lang w:eastAsia="en-US"/>
    </w:rPr>
  </w:style>
  <w:style w:type="character" w:customStyle="1" w:styleId="Heading3Char">
    <w:name w:val="Heading 3 Char"/>
    <w:link w:val="Heading3"/>
    <w:uiPriority w:val="1"/>
    <w:rsid w:val="0038129A"/>
    <w:rPr>
      <w:rFonts w:ascii="Arial" w:eastAsia="MS Gothic" w:hAnsi="Arial"/>
      <w:bCs/>
      <w:color w:val="7030A0"/>
      <w:sz w:val="28"/>
      <w:szCs w:val="26"/>
      <w:lang w:eastAsia="en-US"/>
    </w:rPr>
  </w:style>
  <w:style w:type="character" w:customStyle="1" w:styleId="Heading4Char">
    <w:name w:val="Heading 4 Char"/>
    <w:link w:val="Heading4"/>
    <w:uiPriority w:val="1"/>
    <w:rsid w:val="0038129A"/>
    <w:rPr>
      <w:rFonts w:ascii="Arial" w:eastAsia="MS Mincho" w:hAnsi="Arial"/>
      <w:b/>
      <w:bCs/>
      <w:color w:val="7030A0"/>
      <w:sz w:val="24"/>
      <w:szCs w:val="22"/>
      <w:lang w:eastAsia="en-US"/>
    </w:rPr>
  </w:style>
  <w:style w:type="paragraph" w:styleId="Header">
    <w:name w:val="header"/>
    <w:link w:val="HeaderChar"/>
    <w:uiPriority w:val="10"/>
    <w:rsid w:val="00E05026"/>
    <w:pPr>
      <w:spacing w:after="300"/>
    </w:pPr>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38129A"/>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F0F22"/>
    <w:pPr>
      <w:spacing w:before="360" w:after="200" w:line="330" w:lineRule="atLeast"/>
      <w:outlineLvl w:val="9"/>
    </w:pPr>
    <w:rPr>
      <w:sz w:val="29"/>
    </w:rPr>
  </w:style>
  <w:style w:type="character" w:customStyle="1" w:styleId="TOCheadingfactsheetChar">
    <w:name w:val="TOC heading fact sheet Char"/>
    <w:link w:val="TOCheadingfactsheet"/>
    <w:uiPriority w:val="4"/>
    <w:rsid w:val="003F0F22"/>
    <w:rPr>
      <w:rFonts w:ascii="Arial" w:hAnsi="Arial"/>
      <w:b/>
      <w:color w:val="237D82"/>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27291"/>
    <w:pPr>
      <w:spacing w:after="80" w:line="440" w:lineRule="atLeast"/>
    </w:pPr>
    <w:rPr>
      <w:rFonts w:ascii="Arial" w:hAnsi="Arial"/>
      <w:b/>
      <w:color w:val="5C308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5"/>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74731C"/>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DD39BC"/>
    <w:rPr>
      <w:color w:val="5C308D"/>
      <w:u w:val="dotted"/>
    </w:rPr>
  </w:style>
  <w:style w:type="paragraph" w:customStyle="1" w:styleId="Documentsubtitle">
    <w:name w:val="Document subtitle"/>
    <w:uiPriority w:val="8"/>
    <w:rsid w:val="00DF20D3"/>
    <w:pPr>
      <w:spacing w:after="100" w:line="360" w:lineRule="atLeast"/>
    </w:pPr>
    <w:rPr>
      <w:rFonts w:ascii="Arial" w:hAnsi="Arial"/>
      <w:color w:val="5C308D"/>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6"/>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159FE"/>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AD9"/>
    <w:pPr>
      <w:spacing w:line="320" w:lineRule="atLeast"/>
    </w:pPr>
    <w:rPr>
      <w:color w:val="5C308D"/>
      <w:sz w:val="24"/>
    </w:rPr>
  </w:style>
  <w:style w:type="table" w:customStyle="1" w:styleId="CGEPStable">
    <w:name w:val="CGEPS table"/>
    <w:basedOn w:val="TableNormal"/>
    <w:uiPriority w:val="99"/>
    <w:rsid w:val="003D54CD"/>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erChar">
    <w:name w:val="Header Char"/>
    <w:basedOn w:val="DefaultParagraphFont"/>
    <w:link w:val="Header"/>
    <w:uiPriority w:val="10"/>
    <w:rsid w:val="00E05026"/>
    <w:rPr>
      <w:rFonts w:ascii="Arial" w:hAnsi="Arial" w:cs="Arial"/>
      <w:b/>
      <w:color w:val="201547"/>
      <w:sz w:val="18"/>
      <w:szCs w:val="18"/>
      <w:lang w:eastAsia="en-US"/>
    </w:rPr>
  </w:style>
  <w:style w:type="paragraph" w:styleId="ListParagraph">
    <w:name w:val="List Paragraph"/>
    <w:basedOn w:val="Normal"/>
    <w:uiPriority w:val="72"/>
    <w:semiHidden/>
    <w:qFormat/>
    <w:rsid w:val="00477ABA"/>
    <w:pPr>
      <w:ind w:left="720"/>
      <w:contextualSpacing/>
    </w:pPr>
  </w:style>
  <w:style w:type="paragraph" w:customStyle="1" w:styleId="ng-star-inserted">
    <w:name w:val="ng-star-inserted"/>
    <w:basedOn w:val="Normal"/>
    <w:rsid w:val="005B5497"/>
    <w:pPr>
      <w:spacing w:before="100" w:beforeAutospacing="1" w:after="100" w:afterAutospacing="1" w:line="240" w:lineRule="auto"/>
    </w:pPr>
    <w:rPr>
      <w:rFonts w:ascii="Times New Roman" w:hAnsi="Times New Roman"/>
      <w:sz w:val="24"/>
      <w:szCs w:val="24"/>
      <w:lang w:eastAsia="en-AU"/>
    </w:rPr>
  </w:style>
  <w:style w:type="character" w:customStyle="1" w:styleId="ng-star-inserted1">
    <w:name w:val="ng-star-inserted1"/>
    <w:basedOn w:val="DefaultParagraphFont"/>
    <w:rsid w:val="005B5497"/>
  </w:style>
  <w:style w:type="paragraph" w:styleId="NormalWeb">
    <w:name w:val="Normal (Web)"/>
    <w:basedOn w:val="Normal"/>
    <w:uiPriority w:val="99"/>
    <w:semiHidden/>
    <w:unhideWhenUsed/>
    <w:rsid w:val="00353A79"/>
    <w:rPr>
      <w:rFonts w:ascii="Times New Roman" w:hAnsi="Times New Roman"/>
      <w:sz w:val="24"/>
      <w:szCs w:val="24"/>
    </w:rPr>
  </w:style>
  <w:style w:type="paragraph" w:customStyle="1" w:styleId="LetterText">
    <w:name w:val="Letter Text"/>
    <w:rsid w:val="00D67792"/>
    <w:rPr>
      <w:rFonts w:ascii="Calibri" w:eastAsiaTheme="minorEastAsia"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1214844">
      <w:bodyDiv w:val="1"/>
      <w:marLeft w:val="0"/>
      <w:marRight w:val="0"/>
      <w:marTop w:val="0"/>
      <w:marBottom w:val="0"/>
      <w:divBdr>
        <w:top w:val="none" w:sz="0" w:space="0" w:color="auto"/>
        <w:left w:val="none" w:sz="0" w:space="0" w:color="auto"/>
        <w:bottom w:val="none" w:sz="0" w:space="0" w:color="auto"/>
        <w:right w:val="none" w:sz="0" w:space="0" w:color="auto"/>
      </w:divBdr>
    </w:div>
    <w:div w:id="23285917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2781826">
      <w:bodyDiv w:val="1"/>
      <w:marLeft w:val="0"/>
      <w:marRight w:val="0"/>
      <w:marTop w:val="0"/>
      <w:marBottom w:val="0"/>
      <w:divBdr>
        <w:top w:val="none" w:sz="0" w:space="0" w:color="auto"/>
        <w:left w:val="none" w:sz="0" w:space="0" w:color="auto"/>
        <w:bottom w:val="none" w:sz="0" w:space="0" w:color="auto"/>
        <w:right w:val="none" w:sz="0" w:space="0" w:color="auto"/>
      </w:divBdr>
    </w:div>
    <w:div w:id="398214466">
      <w:bodyDiv w:val="1"/>
      <w:marLeft w:val="0"/>
      <w:marRight w:val="0"/>
      <w:marTop w:val="0"/>
      <w:marBottom w:val="0"/>
      <w:divBdr>
        <w:top w:val="none" w:sz="0" w:space="0" w:color="auto"/>
        <w:left w:val="none" w:sz="0" w:space="0" w:color="auto"/>
        <w:bottom w:val="none" w:sz="0" w:space="0" w:color="auto"/>
        <w:right w:val="none" w:sz="0" w:space="0" w:color="auto"/>
      </w:divBdr>
    </w:div>
    <w:div w:id="463961758">
      <w:bodyDiv w:val="1"/>
      <w:marLeft w:val="0"/>
      <w:marRight w:val="0"/>
      <w:marTop w:val="0"/>
      <w:marBottom w:val="0"/>
      <w:divBdr>
        <w:top w:val="none" w:sz="0" w:space="0" w:color="auto"/>
        <w:left w:val="none" w:sz="0" w:space="0" w:color="auto"/>
        <w:bottom w:val="none" w:sz="0" w:space="0" w:color="auto"/>
        <w:right w:val="none" w:sz="0" w:space="0" w:color="auto"/>
      </w:divBdr>
    </w:div>
    <w:div w:id="496112839">
      <w:bodyDiv w:val="1"/>
      <w:marLeft w:val="0"/>
      <w:marRight w:val="0"/>
      <w:marTop w:val="0"/>
      <w:marBottom w:val="0"/>
      <w:divBdr>
        <w:top w:val="none" w:sz="0" w:space="0" w:color="auto"/>
        <w:left w:val="none" w:sz="0" w:space="0" w:color="auto"/>
        <w:bottom w:val="none" w:sz="0" w:space="0" w:color="auto"/>
        <w:right w:val="none" w:sz="0" w:space="0" w:color="auto"/>
      </w:divBdr>
    </w:div>
    <w:div w:id="671563166">
      <w:bodyDiv w:val="1"/>
      <w:marLeft w:val="0"/>
      <w:marRight w:val="0"/>
      <w:marTop w:val="0"/>
      <w:marBottom w:val="0"/>
      <w:divBdr>
        <w:top w:val="none" w:sz="0" w:space="0" w:color="auto"/>
        <w:left w:val="none" w:sz="0" w:space="0" w:color="auto"/>
        <w:bottom w:val="none" w:sz="0" w:space="0" w:color="auto"/>
        <w:right w:val="none" w:sz="0" w:space="0" w:color="auto"/>
      </w:divBdr>
    </w:div>
    <w:div w:id="759833554">
      <w:bodyDiv w:val="1"/>
      <w:marLeft w:val="0"/>
      <w:marRight w:val="0"/>
      <w:marTop w:val="0"/>
      <w:marBottom w:val="0"/>
      <w:divBdr>
        <w:top w:val="none" w:sz="0" w:space="0" w:color="auto"/>
        <w:left w:val="none" w:sz="0" w:space="0" w:color="auto"/>
        <w:bottom w:val="none" w:sz="0" w:space="0" w:color="auto"/>
        <w:right w:val="none" w:sz="0" w:space="0" w:color="auto"/>
      </w:divBdr>
    </w:div>
    <w:div w:id="81449391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6188197">
      <w:bodyDiv w:val="1"/>
      <w:marLeft w:val="0"/>
      <w:marRight w:val="0"/>
      <w:marTop w:val="0"/>
      <w:marBottom w:val="0"/>
      <w:divBdr>
        <w:top w:val="none" w:sz="0" w:space="0" w:color="auto"/>
        <w:left w:val="none" w:sz="0" w:space="0" w:color="auto"/>
        <w:bottom w:val="none" w:sz="0" w:space="0" w:color="auto"/>
        <w:right w:val="none" w:sz="0" w:space="0" w:color="auto"/>
      </w:divBdr>
      <w:divsChild>
        <w:div w:id="726488094">
          <w:marLeft w:val="-225"/>
          <w:marRight w:val="-225"/>
          <w:marTop w:val="0"/>
          <w:marBottom w:val="915"/>
          <w:divBdr>
            <w:top w:val="none" w:sz="0" w:space="0" w:color="auto"/>
            <w:left w:val="none" w:sz="0" w:space="0" w:color="auto"/>
            <w:bottom w:val="none" w:sz="0" w:space="0" w:color="auto"/>
            <w:right w:val="none" w:sz="0" w:space="0" w:color="auto"/>
          </w:divBdr>
          <w:divsChild>
            <w:div w:id="1445003328">
              <w:marLeft w:val="0"/>
              <w:marRight w:val="0"/>
              <w:marTop w:val="0"/>
              <w:marBottom w:val="0"/>
              <w:divBdr>
                <w:top w:val="none" w:sz="0" w:space="0" w:color="auto"/>
                <w:left w:val="none" w:sz="0" w:space="0" w:color="auto"/>
                <w:bottom w:val="none" w:sz="0" w:space="0" w:color="auto"/>
                <w:right w:val="none" w:sz="0" w:space="0" w:color="auto"/>
              </w:divBdr>
              <w:divsChild>
                <w:div w:id="15775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150442">
      <w:bodyDiv w:val="1"/>
      <w:marLeft w:val="0"/>
      <w:marRight w:val="0"/>
      <w:marTop w:val="0"/>
      <w:marBottom w:val="0"/>
      <w:divBdr>
        <w:top w:val="none" w:sz="0" w:space="0" w:color="auto"/>
        <w:left w:val="none" w:sz="0" w:space="0" w:color="auto"/>
        <w:bottom w:val="none" w:sz="0" w:space="0" w:color="auto"/>
        <w:right w:val="none" w:sz="0" w:space="0" w:color="auto"/>
      </w:divBdr>
    </w:div>
    <w:div w:id="1042097693">
      <w:bodyDiv w:val="1"/>
      <w:marLeft w:val="0"/>
      <w:marRight w:val="0"/>
      <w:marTop w:val="0"/>
      <w:marBottom w:val="0"/>
      <w:divBdr>
        <w:top w:val="none" w:sz="0" w:space="0" w:color="auto"/>
        <w:left w:val="none" w:sz="0" w:space="0" w:color="auto"/>
        <w:bottom w:val="none" w:sz="0" w:space="0" w:color="auto"/>
        <w:right w:val="none" w:sz="0" w:space="0" w:color="auto"/>
      </w:divBdr>
    </w:div>
    <w:div w:id="1044409349">
      <w:bodyDiv w:val="1"/>
      <w:marLeft w:val="0"/>
      <w:marRight w:val="0"/>
      <w:marTop w:val="0"/>
      <w:marBottom w:val="0"/>
      <w:divBdr>
        <w:top w:val="none" w:sz="0" w:space="0" w:color="auto"/>
        <w:left w:val="none" w:sz="0" w:space="0" w:color="auto"/>
        <w:bottom w:val="none" w:sz="0" w:space="0" w:color="auto"/>
        <w:right w:val="none" w:sz="0" w:space="0" w:color="auto"/>
      </w:divBdr>
    </w:div>
    <w:div w:id="1091926010">
      <w:bodyDiv w:val="1"/>
      <w:marLeft w:val="0"/>
      <w:marRight w:val="0"/>
      <w:marTop w:val="0"/>
      <w:marBottom w:val="0"/>
      <w:divBdr>
        <w:top w:val="none" w:sz="0" w:space="0" w:color="auto"/>
        <w:left w:val="none" w:sz="0" w:space="0" w:color="auto"/>
        <w:bottom w:val="none" w:sz="0" w:space="0" w:color="auto"/>
        <w:right w:val="none" w:sz="0" w:space="0" w:color="auto"/>
      </w:divBdr>
      <w:divsChild>
        <w:div w:id="467669128">
          <w:marLeft w:val="-225"/>
          <w:marRight w:val="-225"/>
          <w:marTop w:val="0"/>
          <w:marBottom w:val="915"/>
          <w:divBdr>
            <w:top w:val="none" w:sz="0" w:space="0" w:color="auto"/>
            <w:left w:val="none" w:sz="0" w:space="0" w:color="auto"/>
            <w:bottom w:val="none" w:sz="0" w:space="0" w:color="auto"/>
            <w:right w:val="none" w:sz="0" w:space="0" w:color="auto"/>
          </w:divBdr>
          <w:divsChild>
            <w:div w:id="1559167724">
              <w:marLeft w:val="0"/>
              <w:marRight w:val="0"/>
              <w:marTop w:val="0"/>
              <w:marBottom w:val="0"/>
              <w:divBdr>
                <w:top w:val="none" w:sz="0" w:space="0" w:color="auto"/>
                <w:left w:val="none" w:sz="0" w:space="0" w:color="auto"/>
                <w:bottom w:val="none" w:sz="0" w:space="0" w:color="auto"/>
                <w:right w:val="none" w:sz="0" w:space="0" w:color="auto"/>
              </w:divBdr>
              <w:divsChild>
                <w:div w:id="8324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80944">
      <w:bodyDiv w:val="1"/>
      <w:marLeft w:val="0"/>
      <w:marRight w:val="0"/>
      <w:marTop w:val="0"/>
      <w:marBottom w:val="0"/>
      <w:divBdr>
        <w:top w:val="none" w:sz="0" w:space="0" w:color="auto"/>
        <w:left w:val="none" w:sz="0" w:space="0" w:color="auto"/>
        <w:bottom w:val="none" w:sz="0" w:space="0" w:color="auto"/>
        <w:right w:val="none" w:sz="0" w:space="0" w:color="auto"/>
      </w:divBdr>
    </w:div>
    <w:div w:id="1190491267">
      <w:bodyDiv w:val="1"/>
      <w:marLeft w:val="0"/>
      <w:marRight w:val="0"/>
      <w:marTop w:val="0"/>
      <w:marBottom w:val="0"/>
      <w:divBdr>
        <w:top w:val="none" w:sz="0" w:space="0" w:color="auto"/>
        <w:left w:val="none" w:sz="0" w:space="0" w:color="auto"/>
        <w:bottom w:val="none" w:sz="0" w:space="0" w:color="auto"/>
        <w:right w:val="none" w:sz="0" w:space="0" w:color="auto"/>
      </w:divBdr>
      <w:divsChild>
        <w:div w:id="218054564">
          <w:marLeft w:val="-225"/>
          <w:marRight w:val="-225"/>
          <w:marTop w:val="0"/>
          <w:marBottom w:val="915"/>
          <w:divBdr>
            <w:top w:val="none" w:sz="0" w:space="0" w:color="auto"/>
            <w:left w:val="none" w:sz="0" w:space="0" w:color="auto"/>
            <w:bottom w:val="none" w:sz="0" w:space="0" w:color="auto"/>
            <w:right w:val="none" w:sz="0" w:space="0" w:color="auto"/>
          </w:divBdr>
          <w:divsChild>
            <w:div w:id="1296763395">
              <w:marLeft w:val="0"/>
              <w:marRight w:val="0"/>
              <w:marTop w:val="0"/>
              <w:marBottom w:val="0"/>
              <w:divBdr>
                <w:top w:val="none" w:sz="0" w:space="0" w:color="auto"/>
                <w:left w:val="none" w:sz="0" w:space="0" w:color="auto"/>
                <w:bottom w:val="none" w:sz="0" w:space="0" w:color="auto"/>
                <w:right w:val="none" w:sz="0" w:space="0" w:color="auto"/>
              </w:divBdr>
              <w:divsChild>
                <w:div w:id="11860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750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532360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851977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522551">
      <w:bodyDiv w:val="1"/>
      <w:marLeft w:val="0"/>
      <w:marRight w:val="0"/>
      <w:marTop w:val="0"/>
      <w:marBottom w:val="0"/>
      <w:divBdr>
        <w:top w:val="none" w:sz="0" w:space="0" w:color="auto"/>
        <w:left w:val="none" w:sz="0" w:space="0" w:color="auto"/>
        <w:bottom w:val="none" w:sz="0" w:space="0" w:color="auto"/>
        <w:right w:val="none" w:sz="0" w:space="0" w:color="auto"/>
      </w:divBdr>
    </w:div>
    <w:div w:id="1792090258">
      <w:bodyDiv w:val="1"/>
      <w:marLeft w:val="0"/>
      <w:marRight w:val="0"/>
      <w:marTop w:val="0"/>
      <w:marBottom w:val="0"/>
      <w:divBdr>
        <w:top w:val="none" w:sz="0" w:space="0" w:color="auto"/>
        <w:left w:val="none" w:sz="0" w:space="0" w:color="auto"/>
        <w:bottom w:val="none" w:sz="0" w:space="0" w:color="auto"/>
        <w:right w:val="none" w:sz="0" w:space="0" w:color="auto"/>
      </w:divBdr>
    </w:div>
    <w:div w:id="190756505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525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our-equal-state-victorias-gender-equality-strategy-and-action-plan-2023-2027/introduction-our-equal-state" TargetMode="External"/><Relationship Id="rId2" Type="http://schemas.openxmlformats.org/officeDocument/2006/relationships/customXml" Target="../customXml/item2.xml"/><Relationship Id="rId16" Type="http://schemas.openxmlformats.org/officeDocument/2006/relationships/hyperlink" Target="https://www.genderequalitycommission.vic.gov.au/insights-report-pay-g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wgea.gov.au/sites/default/files/documents/Women%27s_economic_security_in_retirement.pdf" TargetMode="External"/><Relationship Id="rId13" Type="http://schemas.openxmlformats.org/officeDocument/2006/relationships/hyperlink" Target="https://scholarship.law.bu.edu/cgi/viewcontent.cgi?article=2137&amp;context=faculty_scholarship" TargetMode="External"/><Relationship Id="rId3" Type="http://schemas.openxmlformats.org/officeDocument/2006/relationships/hyperlink" Target="https://www.vic.gov.au/sites/default/files/2025-02/our-equal-state-victorias-gender-equality-strategy-and-action-plan-2023-2027.pdf" TargetMode="External"/><Relationship Id="rId7" Type="http://schemas.openxmlformats.org/officeDocument/2006/relationships/hyperlink" Target="https://www.superannuation.asn.au/wp-content/uploads/2024/01/2311_An_update_on_superannuation_account_balances_Paper_V2.pdf" TargetMode="External"/><Relationship Id="rId12" Type="http://schemas.openxmlformats.org/officeDocument/2006/relationships/hyperlink" Target="https://www.wgea.gov.au/publications/fourth-edition-of-the-shes-pricedless-report-released" TargetMode="External"/><Relationship Id="rId2" Type="http://schemas.openxmlformats.org/officeDocument/2006/relationships/hyperlink" Target="https://www.wgea.gov.au/publications/fourth-edition-of-the-shes-pricedless-report-released" TargetMode="External"/><Relationship Id="rId1" Type="http://schemas.openxmlformats.org/officeDocument/2006/relationships/hyperlink" Target="https://www.vpsc.vic.gov.au/workforce-data-state-of-the-public-sector/employee-and-executive-pay-leave-and-work-arrangements/executive-pay-and-gender-pay/" TargetMode="External"/><Relationship Id="rId6" Type="http://schemas.openxmlformats.org/officeDocument/2006/relationships/hyperlink" Target="https://www.wgea.gov.au/sites/default/files/documents/Women%27s_economic_security_in_retirement.pdf" TargetMode="External"/><Relationship Id="rId11" Type="http://schemas.openxmlformats.org/officeDocument/2006/relationships/hyperlink" Target="https://www.wgea.gov.au/publications/fourth-edition-of-the-shes-pricedless-report-released" TargetMode="External"/><Relationship Id="rId5" Type="http://schemas.openxmlformats.org/officeDocument/2006/relationships/hyperlink" Target="https://www.sciencedirect.com/science/article/pii/S0313592617300425" TargetMode="External"/><Relationship Id="rId10" Type="http://schemas.openxmlformats.org/officeDocument/2006/relationships/hyperlink" Target="https://www.vpsc.vic.gov.au/workforce-data-state-of-the-public-sector/employee-and-executive-pay-leave-and-work-arrangements/employee-pay-and-gender-pay/" TargetMode="External"/><Relationship Id="rId4" Type="http://schemas.openxmlformats.org/officeDocument/2006/relationships/hyperlink" Target="https://cew.org.au/research-resources/research" TargetMode="External"/><Relationship Id="rId9" Type="http://schemas.openxmlformats.org/officeDocument/2006/relationships/hyperlink" Target="https://www.vpsc.vic.gov.au/workforce-data-state-of-the-public-sector/employee-diversity-and-inclusion/age-gender-and-sexuality/" TargetMode="External"/><Relationship Id="rId14" Type="http://schemas.openxmlformats.org/officeDocument/2006/relationships/hyperlink" Target="https://www.hrdive.com/news/salary-history-ban-states-list/516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Props1.xml><?xml version="1.0" encoding="utf-8"?>
<ds:datastoreItem xmlns:ds="http://schemas.openxmlformats.org/officeDocument/2006/customXml" ds:itemID="{7C7AD06A-0CD3-454C-8E0B-BDBFBB41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27cb37dd-16a1-4d7b-8276-5c0e4168f63b"/>
    <ds:schemaRef ds:uri="5ce0f2b5-5be5-4508-bce9-d7011ece0659"/>
    <ds:schemaRef ds:uri="50f00e27-c35f-46eb-9301-c9e2bd24673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2544</Words>
  <Characters>14506</Characters>
  <Application>Microsoft Office Word</Application>
  <DocSecurity>2</DocSecurity>
  <Lines>120</Lines>
  <Paragraphs>34</Paragraphs>
  <ScaleCrop>false</ScaleCrop>
  <HeadingPairs>
    <vt:vector size="2" baseType="variant">
      <vt:variant>
        <vt:lpstr>Title</vt:lpstr>
      </vt:variant>
      <vt:variant>
        <vt:i4>1</vt:i4>
      </vt:variant>
    </vt:vector>
  </HeadingPairs>
  <TitlesOfParts>
    <vt:vector size="1" baseType="lpstr">
      <vt:lpstr>Commissioner submission - Adjusting VPS executive remuneration bands</vt:lpstr>
    </vt:vector>
  </TitlesOfParts>
  <Company>Victoria State Government, Commission for Gender Equality in the Public Sector</Company>
  <LinksUpToDate>false</LinksUpToDate>
  <CharactersWithSpaces>17016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Adjusting VPS executive remuneration bands</dc:title>
  <dc:subject>Commissioner submission: Adjusting VPS executive remuneration bands</dc:subject>
  <dc:creator>Commission for Gender Equality in the Public Sector</dc:creator>
  <cp:keywords>submission, commissioner, gender equality, VPS, victorian public sector, executive, remuneration</cp:keywords>
  <cp:lastModifiedBy>Andrew Elkson (CGEPS)</cp:lastModifiedBy>
  <cp:revision>2</cp:revision>
  <cp:lastPrinted>2025-09-08T00:56:00Z</cp:lastPrinted>
  <dcterms:created xsi:type="dcterms:W3CDTF">2026-01-08T22:37:00Z</dcterms:created>
  <dcterms:modified xsi:type="dcterms:W3CDTF">2026-01-08T22:37:00Z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240525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0x010100555DF7B4C3396B4DA0F821E47AA844D3</vt:lpwstr>
  </property>
  <property fmtid="{D5CDD505-2E9C-101B-9397-08002B2CF9AE}" pid="24" name="MediaServiceImageTags">
    <vt:lpwstr/>
  </property>
</Properties>
</file>