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1106C46" w:rsidR="0074696E" w:rsidRPr="00280C4B" w:rsidRDefault="00571E78" w:rsidP="00280C4B">
      <w:pPr>
        <w:pStyle w:val="Sectionbreakfirstpage"/>
      </w:pPr>
      <w:r>
        <w:drawing>
          <wp:anchor distT="0" distB="0" distL="114300" distR="114300" simplePos="0" relativeHeight="251658240" behindDoc="1" locked="1" layoutInCell="1" allowOverlap="1" wp14:anchorId="2E168E2D" wp14:editId="3327D411">
            <wp:simplePos x="0" y="0"/>
            <wp:positionH relativeFrom="page">
              <wp:posOffset>-2540</wp:posOffset>
            </wp:positionH>
            <wp:positionV relativeFrom="page">
              <wp:posOffset>-68580</wp:posOffset>
            </wp:positionV>
            <wp:extent cx="1620000" cy="1620000"/>
            <wp:effectExtent l="0" t="0" r="0" b="0"/>
            <wp:wrapNone/>
            <wp:docPr id="60696872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68729"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620000" cy="1620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p w14:paraId="0E779FFC" w14:textId="64610CD8" w:rsidR="006A2F78" w:rsidRPr="0009050A" w:rsidRDefault="00FF614A" w:rsidP="00546E6E">
      <w:pPr>
        <w:pStyle w:val="Documenttitle"/>
        <w:ind w:left="1843"/>
      </w:pPr>
      <w:bookmarkStart w:id="0" w:name="_Hlk202962683"/>
      <w:r>
        <w:t xml:space="preserve">Submission to </w:t>
      </w:r>
      <w:r w:rsidR="007D0A06">
        <w:t>the</w:t>
      </w:r>
      <w:r w:rsidR="00EA530B">
        <w:t xml:space="preserve"> IOC</w:t>
      </w:r>
      <w:r w:rsidR="007D0A06">
        <w:t xml:space="preserve"> </w:t>
      </w:r>
      <w:r w:rsidR="00EA530B" w:rsidRPr="00EA530B">
        <w:t xml:space="preserve">Inquiry into the Adequacy of the Legislative Framework for the </w:t>
      </w:r>
      <w:r w:rsidR="00EA530B">
        <w:t>IBAC</w:t>
      </w:r>
    </w:p>
    <w:bookmarkEnd w:id="0"/>
    <w:p w14:paraId="1E413F1F" w14:textId="59F893CE" w:rsidR="006A2F78" w:rsidRPr="0016037B" w:rsidRDefault="006A2F78" w:rsidP="00EB4276">
      <w:pPr>
        <w:pStyle w:val="Documentsubtitle"/>
        <w:ind w:left="2268"/>
      </w:pPr>
      <w:r w:rsidRPr="0016037B">
        <w:t>D</w:t>
      </w:r>
      <w:r w:rsidR="00321A89">
        <w:t xml:space="preserve">r Niki Vincent, Public Sector Gender Equality Commissioner </w:t>
      </w:r>
      <w:r>
        <w:t xml:space="preserve"> </w:t>
      </w:r>
    </w:p>
    <w:p w14:paraId="481F410F" w14:textId="77777777" w:rsidR="006A2F78" w:rsidRPr="00250DC4" w:rsidRDefault="006A2F78" w:rsidP="0002285C">
      <w:pPr>
        <w:pStyle w:val="Bannermarking"/>
        <w:ind w:left="33"/>
      </w:pPr>
    </w:p>
    <w:p w14:paraId="2AF78354" w14:textId="77777777" w:rsidR="0002285C" w:rsidRDefault="0002285C" w:rsidP="0038129A">
      <w:pPr>
        <w:pStyle w:val="TOCheadingfactsheet"/>
        <w:sectPr w:rsidR="0002285C" w:rsidSect="006A5FE9">
          <w:headerReference w:type="default" r:id="rId14"/>
          <w:footerReference w:type="default" r:id="rId15"/>
          <w:type w:val="continuous"/>
          <w:pgSz w:w="11906" w:h="16838" w:code="9"/>
          <w:pgMar w:top="851" w:right="851" w:bottom="851" w:left="851" w:header="851" w:footer="567" w:gutter="0"/>
          <w:cols w:space="340"/>
          <w:titlePg/>
          <w:docGrid w:linePitch="360"/>
        </w:sectPr>
      </w:pPr>
    </w:p>
    <w:p w14:paraId="2B29CD62" w14:textId="77777777" w:rsidR="00FC64CB" w:rsidRDefault="00FC64CB" w:rsidP="0038129A">
      <w:pPr>
        <w:pStyle w:val="TOCheadingfactsheet"/>
      </w:pPr>
    </w:p>
    <w:p w14:paraId="0CBF5D9A" w14:textId="06955D52" w:rsidR="00AD784C" w:rsidRPr="00917A07" w:rsidRDefault="00AD784C" w:rsidP="0038129A">
      <w:pPr>
        <w:pStyle w:val="TOCheadingfactsheet"/>
      </w:pPr>
      <w:r w:rsidRPr="00917A07">
        <w:t>Contents</w:t>
      </w:r>
    </w:p>
    <w:p w14:paraId="1F1D8D39" w14:textId="583DAB12" w:rsidR="00306A1A" w:rsidRDefault="00AD784C">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2965309" w:history="1">
        <w:r w:rsidR="00306A1A" w:rsidRPr="00885ACF">
          <w:rPr>
            <w:rStyle w:val="Hyperlink"/>
          </w:rPr>
          <w:t>1.</w:t>
        </w:r>
        <w:r w:rsidR="00306A1A">
          <w:rPr>
            <w:rFonts w:asciiTheme="minorHAnsi" w:eastAsiaTheme="minorEastAsia" w:hAnsiTheme="minorHAnsi" w:cstheme="minorBidi"/>
            <w:b w:val="0"/>
            <w:kern w:val="2"/>
            <w:sz w:val="24"/>
            <w:szCs w:val="24"/>
            <w:lang w:eastAsia="en-AU"/>
            <w14:ligatures w14:val="standardContextual"/>
          </w:rPr>
          <w:tab/>
        </w:r>
        <w:r w:rsidR="00306A1A" w:rsidRPr="00885ACF">
          <w:rPr>
            <w:rStyle w:val="Hyperlink"/>
          </w:rPr>
          <w:t>Introduction</w:t>
        </w:r>
        <w:r w:rsidR="00306A1A">
          <w:rPr>
            <w:webHidden/>
          </w:rPr>
          <w:tab/>
        </w:r>
        <w:r w:rsidR="00306A1A">
          <w:rPr>
            <w:webHidden/>
          </w:rPr>
          <w:fldChar w:fldCharType="begin"/>
        </w:r>
        <w:r w:rsidR="00306A1A">
          <w:rPr>
            <w:webHidden/>
          </w:rPr>
          <w:instrText xml:space="preserve"> PAGEREF _Toc202965309 \h </w:instrText>
        </w:r>
        <w:r w:rsidR="00306A1A">
          <w:rPr>
            <w:webHidden/>
          </w:rPr>
        </w:r>
        <w:r w:rsidR="00306A1A">
          <w:rPr>
            <w:webHidden/>
          </w:rPr>
          <w:fldChar w:fldCharType="separate"/>
        </w:r>
        <w:r w:rsidR="00306A1A">
          <w:rPr>
            <w:webHidden/>
          </w:rPr>
          <w:t>1</w:t>
        </w:r>
        <w:r w:rsidR="00306A1A">
          <w:rPr>
            <w:webHidden/>
          </w:rPr>
          <w:fldChar w:fldCharType="end"/>
        </w:r>
      </w:hyperlink>
    </w:p>
    <w:p w14:paraId="4BBF7DC7" w14:textId="4B74D4EA" w:rsidR="00306A1A" w:rsidRDefault="00306A1A">
      <w:pPr>
        <w:pStyle w:val="TOC2"/>
        <w:rPr>
          <w:rFonts w:asciiTheme="minorHAnsi" w:eastAsiaTheme="minorEastAsia" w:hAnsiTheme="minorHAnsi" w:cstheme="minorBidi"/>
          <w:kern w:val="2"/>
          <w:sz w:val="24"/>
          <w:szCs w:val="24"/>
          <w:lang w:eastAsia="en-AU"/>
          <w14:ligatures w14:val="standardContextual"/>
        </w:rPr>
      </w:pPr>
      <w:hyperlink w:anchor="_Toc202965310" w:history="1">
        <w:r w:rsidRPr="00885ACF">
          <w:rPr>
            <w:rStyle w:val="Hyperlink"/>
          </w:rPr>
          <w:t>The GE Act and the intersection of gender and corruption</w:t>
        </w:r>
        <w:r>
          <w:rPr>
            <w:webHidden/>
          </w:rPr>
          <w:tab/>
        </w:r>
        <w:r>
          <w:rPr>
            <w:webHidden/>
          </w:rPr>
          <w:fldChar w:fldCharType="begin"/>
        </w:r>
        <w:r>
          <w:rPr>
            <w:webHidden/>
          </w:rPr>
          <w:instrText xml:space="preserve"> PAGEREF _Toc202965310 \h </w:instrText>
        </w:r>
        <w:r>
          <w:rPr>
            <w:webHidden/>
          </w:rPr>
        </w:r>
        <w:r>
          <w:rPr>
            <w:webHidden/>
          </w:rPr>
          <w:fldChar w:fldCharType="separate"/>
        </w:r>
        <w:r>
          <w:rPr>
            <w:webHidden/>
          </w:rPr>
          <w:t>1</w:t>
        </w:r>
        <w:r>
          <w:rPr>
            <w:webHidden/>
          </w:rPr>
          <w:fldChar w:fldCharType="end"/>
        </w:r>
      </w:hyperlink>
    </w:p>
    <w:p w14:paraId="0C490C5E" w14:textId="7A3BF096" w:rsidR="00306A1A" w:rsidRDefault="00306A1A">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965311" w:history="1">
        <w:r w:rsidRPr="00885ACF">
          <w:rPr>
            <w:rStyle w:val="Hyperlink"/>
          </w:rPr>
          <w:t>2.</w:t>
        </w:r>
        <w:r>
          <w:rPr>
            <w:rFonts w:asciiTheme="minorHAnsi" w:eastAsiaTheme="minorEastAsia" w:hAnsiTheme="minorHAnsi" w:cstheme="minorBidi"/>
            <w:b w:val="0"/>
            <w:kern w:val="2"/>
            <w:sz w:val="24"/>
            <w:szCs w:val="24"/>
            <w:lang w:eastAsia="en-AU"/>
            <w14:ligatures w14:val="standardContextual"/>
          </w:rPr>
          <w:tab/>
        </w:r>
        <w:r w:rsidRPr="00885ACF">
          <w:rPr>
            <w:rStyle w:val="Hyperlink"/>
          </w:rPr>
          <w:t>Submission</w:t>
        </w:r>
        <w:r>
          <w:rPr>
            <w:webHidden/>
          </w:rPr>
          <w:tab/>
        </w:r>
        <w:r>
          <w:rPr>
            <w:webHidden/>
          </w:rPr>
          <w:fldChar w:fldCharType="begin"/>
        </w:r>
        <w:r>
          <w:rPr>
            <w:webHidden/>
          </w:rPr>
          <w:instrText xml:space="preserve"> PAGEREF _Toc202965311 \h </w:instrText>
        </w:r>
        <w:r>
          <w:rPr>
            <w:webHidden/>
          </w:rPr>
        </w:r>
        <w:r>
          <w:rPr>
            <w:webHidden/>
          </w:rPr>
          <w:fldChar w:fldCharType="separate"/>
        </w:r>
        <w:r>
          <w:rPr>
            <w:webHidden/>
          </w:rPr>
          <w:t>3</w:t>
        </w:r>
        <w:r>
          <w:rPr>
            <w:webHidden/>
          </w:rPr>
          <w:fldChar w:fldCharType="end"/>
        </w:r>
      </w:hyperlink>
    </w:p>
    <w:p w14:paraId="696C3A27" w14:textId="6D696F19" w:rsidR="00306A1A" w:rsidRDefault="00306A1A">
      <w:pPr>
        <w:pStyle w:val="TOC2"/>
        <w:rPr>
          <w:rFonts w:asciiTheme="minorHAnsi" w:eastAsiaTheme="minorEastAsia" w:hAnsiTheme="minorHAnsi" w:cstheme="minorBidi"/>
          <w:kern w:val="2"/>
          <w:sz w:val="24"/>
          <w:szCs w:val="24"/>
          <w:lang w:eastAsia="en-AU"/>
          <w14:ligatures w14:val="standardContextual"/>
        </w:rPr>
      </w:pPr>
      <w:hyperlink w:anchor="_Toc202965312" w:history="1">
        <w:r w:rsidRPr="00885ACF">
          <w:rPr>
            <w:rStyle w:val="Hyperlink"/>
          </w:rPr>
          <w:t>The definition of ‘corrupt conduct’ in the Act</w:t>
        </w:r>
        <w:r>
          <w:rPr>
            <w:webHidden/>
          </w:rPr>
          <w:tab/>
        </w:r>
        <w:r>
          <w:rPr>
            <w:webHidden/>
          </w:rPr>
          <w:fldChar w:fldCharType="begin"/>
        </w:r>
        <w:r>
          <w:rPr>
            <w:webHidden/>
          </w:rPr>
          <w:instrText xml:space="preserve"> PAGEREF _Toc202965312 \h </w:instrText>
        </w:r>
        <w:r>
          <w:rPr>
            <w:webHidden/>
          </w:rPr>
        </w:r>
        <w:r>
          <w:rPr>
            <w:webHidden/>
          </w:rPr>
          <w:fldChar w:fldCharType="separate"/>
        </w:r>
        <w:r>
          <w:rPr>
            <w:webHidden/>
          </w:rPr>
          <w:t>3</w:t>
        </w:r>
        <w:r>
          <w:rPr>
            <w:webHidden/>
          </w:rPr>
          <w:fldChar w:fldCharType="end"/>
        </w:r>
      </w:hyperlink>
    </w:p>
    <w:p w14:paraId="77FFD95C" w14:textId="4E23E4FD" w:rsidR="00306A1A" w:rsidRDefault="00306A1A">
      <w:pPr>
        <w:pStyle w:val="TOC2"/>
        <w:rPr>
          <w:rFonts w:asciiTheme="minorHAnsi" w:eastAsiaTheme="minorEastAsia" w:hAnsiTheme="minorHAnsi" w:cstheme="minorBidi"/>
          <w:kern w:val="2"/>
          <w:sz w:val="24"/>
          <w:szCs w:val="24"/>
          <w:lang w:eastAsia="en-AU"/>
          <w14:ligatures w14:val="standardContextual"/>
        </w:rPr>
      </w:pPr>
      <w:hyperlink w:anchor="_Toc202965313" w:history="1">
        <w:r w:rsidRPr="00885ACF">
          <w:rPr>
            <w:rStyle w:val="Hyperlink"/>
            <w:rFonts w:eastAsia="MS Gothic"/>
          </w:rPr>
          <w:t>The threshold for investigating alleged corrupt conduct</w:t>
        </w:r>
        <w:r>
          <w:rPr>
            <w:webHidden/>
          </w:rPr>
          <w:tab/>
        </w:r>
        <w:r>
          <w:rPr>
            <w:webHidden/>
          </w:rPr>
          <w:fldChar w:fldCharType="begin"/>
        </w:r>
        <w:r>
          <w:rPr>
            <w:webHidden/>
          </w:rPr>
          <w:instrText xml:space="preserve"> PAGEREF _Toc202965313 \h </w:instrText>
        </w:r>
        <w:r>
          <w:rPr>
            <w:webHidden/>
          </w:rPr>
        </w:r>
        <w:r>
          <w:rPr>
            <w:webHidden/>
          </w:rPr>
          <w:fldChar w:fldCharType="separate"/>
        </w:r>
        <w:r>
          <w:rPr>
            <w:webHidden/>
          </w:rPr>
          <w:t>3</w:t>
        </w:r>
        <w:r>
          <w:rPr>
            <w:webHidden/>
          </w:rPr>
          <w:fldChar w:fldCharType="end"/>
        </w:r>
      </w:hyperlink>
    </w:p>
    <w:p w14:paraId="2D428D8B" w14:textId="11C8B871" w:rsidR="00306A1A" w:rsidRDefault="00306A1A">
      <w:pPr>
        <w:pStyle w:val="TOC2"/>
        <w:rPr>
          <w:rFonts w:asciiTheme="minorHAnsi" w:eastAsiaTheme="minorEastAsia" w:hAnsiTheme="minorHAnsi" w:cstheme="minorBidi"/>
          <w:kern w:val="2"/>
          <w:sz w:val="24"/>
          <w:szCs w:val="24"/>
          <w:lang w:eastAsia="en-AU"/>
          <w14:ligatures w14:val="standardContextual"/>
        </w:rPr>
      </w:pPr>
      <w:hyperlink w:anchor="_Toc202965314" w:history="1">
        <w:r w:rsidRPr="00885ACF">
          <w:rPr>
            <w:rStyle w:val="Hyperlink"/>
          </w:rPr>
          <w:t>The threshold for holding public hearings</w:t>
        </w:r>
        <w:r>
          <w:rPr>
            <w:webHidden/>
          </w:rPr>
          <w:tab/>
        </w:r>
        <w:r>
          <w:rPr>
            <w:webHidden/>
          </w:rPr>
          <w:fldChar w:fldCharType="begin"/>
        </w:r>
        <w:r>
          <w:rPr>
            <w:webHidden/>
          </w:rPr>
          <w:instrText xml:space="preserve"> PAGEREF _Toc202965314 \h </w:instrText>
        </w:r>
        <w:r>
          <w:rPr>
            <w:webHidden/>
          </w:rPr>
        </w:r>
        <w:r>
          <w:rPr>
            <w:webHidden/>
          </w:rPr>
          <w:fldChar w:fldCharType="separate"/>
        </w:r>
        <w:r>
          <w:rPr>
            <w:webHidden/>
          </w:rPr>
          <w:t>4</w:t>
        </w:r>
        <w:r>
          <w:rPr>
            <w:webHidden/>
          </w:rPr>
          <w:fldChar w:fldCharType="end"/>
        </w:r>
      </w:hyperlink>
    </w:p>
    <w:p w14:paraId="6D3CCF5B" w14:textId="74A115C5" w:rsidR="00306A1A" w:rsidRDefault="00306A1A">
      <w:pPr>
        <w:pStyle w:val="TOC2"/>
        <w:rPr>
          <w:rFonts w:asciiTheme="minorHAnsi" w:eastAsiaTheme="minorEastAsia" w:hAnsiTheme="minorHAnsi" w:cstheme="minorBidi"/>
          <w:kern w:val="2"/>
          <w:sz w:val="24"/>
          <w:szCs w:val="24"/>
          <w:lang w:eastAsia="en-AU"/>
          <w14:ligatures w14:val="standardContextual"/>
        </w:rPr>
      </w:pPr>
      <w:hyperlink w:anchor="_Toc202965315" w:history="1">
        <w:r w:rsidRPr="00885ACF">
          <w:rPr>
            <w:rStyle w:val="Hyperlink"/>
            <w:rFonts w:eastAsia="Times"/>
          </w:rPr>
          <w:t>Information-security and confidentiality provisions and practices</w:t>
        </w:r>
        <w:r>
          <w:rPr>
            <w:webHidden/>
          </w:rPr>
          <w:tab/>
        </w:r>
        <w:r>
          <w:rPr>
            <w:webHidden/>
          </w:rPr>
          <w:fldChar w:fldCharType="begin"/>
        </w:r>
        <w:r>
          <w:rPr>
            <w:webHidden/>
          </w:rPr>
          <w:instrText xml:space="preserve"> PAGEREF _Toc202965315 \h </w:instrText>
        </w:r>
        <w:r>
          <w:rPr>
            <w:webHidden/>
          </w:rPr>
        </w:r>
        <w:r>
          <w:rPr>
            <w:webHidden/>
          </w:rPr>
          <w:fldChar w:fldCharType="separate"/>
        </w:r>
        <w:r>
          <w:rPr>
            <w:webHidden/>
          </w:rPr>
          <w:t>4</w:t>
        </w:r>
        <w:r>
          <w:rPr>
            <w:webHidden/>
          </w:rPr>
          <w:fldChar w:fldCharType="end"/>
        </w:r>
      </w:hyperlink>
    </w:p>
    <w:p w14:paraId="50EBC94C" w14:textId="1E762AC8" w:rsidR="00306A1A" w:rsidRDefault="00306A1A">
      <w:pPr>
        <w:pStyle w:val="TOC2"/>
        <w:rPr>
          <w:rFonts w:asciiTheme="minorHAnsi" w:eastAsiaTheme="minorEastAsia" w:hAnsiTheme="minorHAnsi" w:cstheme="minorBidi"/>
          <w:kern w:val="2"/>
          <w:sz w:val="24"/>
          <w:szCs w:val="24"/>
          <w:lang w:eastAsia="en-AU"/>
          <w14:ligatures w14:val="standardContextual"/>
        </w:rPr>
      </w:pPr>
      <w:hyperlink w:anchor="_Toc202965316" w:history="1">
        <w:r w:rsidRPr="00885ACF">
          <w:rPr>
            <w:rStyle w:val="Hyperlink"/>
            <w:rFonts w:eastAsia="Times"/>
          </w:rPr>
          <w:t>Other matters that may limit IBAC’s ability to identify, investigate and expose corrupt conduct.</w:t>
        </w:r>
        <w:r>
          <w:rPr>
            <w:webHidden/>
          </w:rPr>
          <w:tab/>
        </w:r>
        <w:r>
          <w:rPr>
            <w:webHidden/>
          </w:rPr>
          <w:fldChar w:fldCharType="begin"/>
        </w:r>
        <w:r>
          <w:rPr>
            <w:webHidden/>
          </w:rPr>
          <w:instrText xml:space="preserve"> PAGEREF _Toc202965316 \h </w:instrText>
        </w:r>
        <w:r>
          <w:rPr>
            <w:webHidden/>
          </w:rPr>
        </w:r>
        <w:r>
          <w:rPr>
            <w:webHidden/>
          </w:rPr>
          <w:fldChar w:fldCharType="separate"/>
        </w:r>
        <w:r>
          <w:rPr>
            <w:webHidden/>
          </w:rPr>
          <w:t>5</w:t>
        </w:r>
        <w:r>
          <w:rPr>
            <w:webHidden/>
          </w:rPr>
          <w:fldChar w:fldCharType="end"/>
        </w:r>
      </w:hyperlink>
    </w:p>
    <w:p w14:paraId="0096508A" w14:textId="6136C4C3" w:rsidR="00306A1A" w:rsidRDefault="00306A1A">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2965317" w:history="1">
        <w:r w:rsidRPr="00885ACF">
          <w:rPr>
            <w:rStyle w:val="Hyperlink"/>
          </w:rPr>
          <w:t>3.</w:t>
        </w:r>
        <w:r>
          <w:rPr>
            <w:rFonts w:asciiTheme="minorHAnsi" w:eastAsiaTheme="minorEastAsia" w:hAnsiTheme="minorHAnsi" w:cstheme="minorBidi"/>
            <w:b w:val="0"/>
            <w:kern w:val="2"/>
            <w:sz w:val="24"/>
            <w:szCs w:val="24"/>
            <w:lang w:eastAsia="en-AU"/>
            <w14:ligatures w14:val="standardContextual"/>
          </w:rPr>
          <w:tab/>
        </w:r>
        <w:r w:rsidRPr="00885ACF">
          <w:rPr>
            <w:rStyle w:val="Hyperlink"/>
          </w:rPr>
          <w:t>Conclusion</w:t>
        </w:r>
        <w:r>
          <w:rPr>
            <w:webHidden/>
          </w:rPr>
          <w:tab/>
        </w:r>
        <w:r>
          <w:rPr>
            <w:webHidden/>
          </w:rPr>
          <w:fldChar w:fldCharType="begin"/>
        </w:r>
        <w:r>
          <w:rPr>
            <w:webHidden/>
          </w:rPr>
          <w:instrText xml:space="preserve"> PAGEREF _Toc202965317 \h </w:instrText>
        </w:r>
        <w:r>
          <w:rPr>
            <w:webHidden/>
          </w:rPr>
        </w:r>
        <w:r>
          <w:rPr>
            <w:webHidden/>
          </w:rPr>
          <w:fldChar w:fldCharType="separate"/>
        </w:r>
        <w:r>
          <w:rPr>
            <w:webHidden/>
          </w:rPr>
          <w:t>5</w:t>
        </w:r>
        <w:r>
          <w:rPr>
            <w:webHidden/>
          </w:rPr>
          <w:fldChar w:fldCharType="end"/>
        </w:r>
      </w:hyperlink>
    </w:p>
    <w:p w14:paraId="13445742" w14:textId="219C6F23" w:rsidR="00580394" w:rsidRPr="00B519CD" w:rsidRDefault="00AD784C" w:rsidP="007173CA">
      <w:pPr>
        <w:pStyle w:val="Body"/>
        <w:sectPr w:rsidR="00580394" w:rsidRPr="00B519CD" w:rsidSect="006A5FE9">
          <w:type w:val="continuous"/>
          <w:pgSz w:w="11906" w:h="16838" w:code="9"/>
          <w:pgMar w:top="851" w:right="851" w:bottom="851" w:left="851" w:header="851" w:footer="567" w:gutter="0"/>
          <w:cols w:space="340"/>
          <w:titlePg/>
          <w:docGrid w:linePitch="360"/>
        </w:sectPr>
      </w:pPr>
      <w:r>
        <w:fldChar w:fldCharType="end"/>
      </w:r>
    </w:p>
    <w:p w14:paraId="3FD43261" w14:textId="77777777" w:rsidR="00F32368" w:rsidRPr="00F32368" w:rsidRDefault="00F32368" w:rsidP="00F32368">
      <w:pPr>
        <w:pStyle w:val="Body"/>
      </w:pPr>
      <w:bookmarkStart w:id="1" w:name="_Hlk41913885"/>
    </w:p>
    <w:p w14:paraId="6500107F" w14:textId="2A6B9414" w:rsidR="008A5D60" w:rsidRPr="00C44141" w:rsidRDefault="00EB4276" w:rsidP="00E46B7F">
      <w:pPr>
        <w:pStyle w:val="Heading1"/>
        <w:numPr>
          <w:ilvl w:val="0"/>
          <w:numId w:val="12"/>
        </w:numPr>
        <w:spacing w:line="280" w:lineRule="atLeast"/>
      </w:pPr>
      <w:bookmarkStart w:id="2" w:name="_Toc202965309"/>
      <w:bookmarkEnd w:id="1"/>
      <w:r>
        <w:t>Introduction</w:t>
      </w:r>
      <w:bookmarkEnd w:id="2"/>
    </w:p>
    <w:p w14:paraId="1616F991" w14:textId="77777777" w:rsidR="009D49D2" w:rsidRPr="009D49D2" w:rsidRDefault="009D49D2" w:rsidP="0095254D">
      <w:pPr>
        <w:spacing w:before="120"/>
        <w:rPr>
          <w:rFonts w:eastAsiaTheme="minorHAnsi" w:cs="Arial"/>
        </w:rPr>
      </w:pPr>
      <w:r w:rsidRPr="009D49D2">
        <w:rPr>
          <w:rFonts w:eastAsiaTheme="minorHAnsi" w:cs="Arial"/>
        </w:rPr>
        <w:t xml:space="preserve">As Victoria’s Public Sector Gender Equality Commissioner, I welcome the opportunity to make this submission to the Integrity and Oversight Committee into the adequacy of the legislative framework for the Independent Broad-based Anti-corruption Commission (IBAC). </w:t>
      </w:r>
    </w:p>
    <w:p w14:paraId="0A70F67D" w14:textId="78017EEF" w:rsidR="009D49D2" w:rsidRPr="009D49D2" w:rsidRDefault="009D49D2" w:rsidP="0095254D">
      <w:pPr>
        <w:spacing w:before="120"/>
        <w:rPr>
          <w:rFonts w:eastAsiaTheme="minorHAnsi" w:cs="Arial"/>
        </w:rPr>
      </w:pPr>
      <w:r w:rsidRPr="009D49D2">
        <w:rPr>
          <w:rFonts w:eastAsiaTheme="minorHAnsi" w:cs="Arial"/>
        </w:rPr>
        <w:t xml:space="preserve">As the Commissioner, I am responsible for the implementation of the nation-leading </w:t>
      </w:r>
      <w:r w:rsidRPr="009D49D2">
        <w:rPr>
          <w:rFonts w:eastAsiaTheme="minorHAnsi" w:cs="Arial"/>
          <w:i/>
          <w:iCs/>
        </w:rPr>
        <w:t xml:space="preserve">Gender Equality Act 2020 </w:t>
      </w:r>
      <w:r w:rsidRPr="009D49D2">
        <w:rPr>
          <w:rFonts w:eastAsiaTheme="minorHAnsi" w:cs="Arial"/>
        </w:rPr>
        <w:t xml:space="preserve">(Vic) (GE Act) </w:t>
      </w:r>
      <w:r w:rsidRPr="009D49D2">
        <w:rPr>
          <w:rFonts w:cs="Arial"/>
        </w:rPr>
        <w:t>and for promoting gender equality across public sector workplaces and in the broader Victorian community.</w:t>
      </w:r>
    </w:p>
    <w:p w14:paraId="5406CEF7" w14:textId="122C0E00" w:rsidR="003D7E30" w:rsidRDefault="00394E4B" w:rsidP="0095254D">
      <w:pPr>
        <w:pStyle w:val="Heading2"/>
        <w:spacing w:line="280" w:lineRule="atLeast"/>
      </w:pPr>
      <w:bookmarkStart w:id="3" w:name="_Toc202965310"/>
      <w:r>
        <w:t xml:space="preserve">The </w:t>
      </w:r>
      <w:r w:rsidR="00050E0E">
        <w:t>GE Act</w:t>
      </w:r>
      <w:r w:rsidR="00046F02">
        <w:t xml:space="preserve"> and the intersection of gender and corruption</w:t>
      </w:r>
      <w:bookmarkEnd w:id="3"/>
    </w:p>
    <w:p w14:paraId="627C9E47" w14:textId="77777777" w:rsidR="00050E0E" w:rsidRDefault="00050E0E" w:rsidP="0095254D">
      <w:pPr>
        <w:pStyle w:val="LetterText"/>
        <w:spacing w:before="120" w:after="120" w:line="280" w:lineRule="atLeast"/>
        <w:rPr>
          <w:rFonts w:ascii="Arial" w:hAnsi="Arial" w:cs="Arial"/>
        </w:rPr>
      </w:pPr>
      <w:r>
        <w:rPr>
          <w:rFonts w:ascii="Arial" w:hAnsi="Arial" w:cs="Arial"/>
        </w:rPr>
        <w:t>The GE Act covers approximately 300 Victorian public sector organisations, universities and local councils that are required to make gender equality progress in their workplaces and public-facing policies, programs and services. In particular, duty holders are required to:</w:t>
      </w:r>
    </w:p>
    <w:p w14:paraId="61D0E79A" w14:textId="77777777" w:rsidR="00050E0E" w:rsidRDefault="00050E0E" w:rsidP="0095254D">
      <w:pPr>
        <w:pStyle w:val="LetterText"/>
        <w:numPr>
          <w:ilvl w:val="0"/>
          <w:numId w:val="15"/>
        </w:numPr>
        <w:spacing w:before="120" w:after="120" w:line="280" w:lineRule="atLeast"/>
        <w:rPr>
          <w:rFonts w:ascii="Arial" w:hAnsi="Arial" w:cs="Arial"/>
        </w:rPr>
      </w:pPr>
      <w:r>
        <w:rPr>
          <w:rFonts w:ascii="Arial" w:hAnsi="Arial" w:cs="Arial"/>
        </w:rPr>
        <w:t xml:space="preserve">conduct a workplace gender audit and develop a Gender Equality Action Plan (GEAP) every four years; </w:t>
      </w:r>
    </w:p>
    <w:p w14:paraId="2651E8AC" w14:textId="77777777" w:rsidR="00050E0E" w:rsidRDefault="00050E0E" w:rsidP="0095254D">
      <w:pPr>
        <w:pStyle w:val="LetterText"/>
        <w:numPr>
          <w:ilvl w:val="0"/>
          <w:numId w:val="15"/>
        </w:numPr>
        <w:spacing w:before="120" w:after="120" w:line="280" w:lineRule="atLeast"/>
        <w:rPr>
          <w:rFonts w:ascii="Arial" w:hAnsi="Arial" w:cs="Arial"/>
        </w:rPr>
      </w:pPr>
      <w:r>
        <w:rPr>
          <w:rFonts w:ascii="Arial" w:hAnsi="Arial" w:cs="Arial"/>
        </w:rPr>
        <w:t>make reasonable and material progress in relation to the seven workplace gender equality indicators and their GEAP strategies and measures, and report on this progress every two years;</w:t>
      </w:r>
    </w:p>
    <w:p w14:paraId="2F57CD47" w14:textId="77777777" w:rsidR="00050E0E" w:rsidRDefault="00050E0E" w:rsidP="0095254D">
      <w:pPr>
        <w:pStyle w:val="LetterText"/>
        <w:numPr>
          <w:ilvl w:val="0"/>
          <w:numId w:val="15"/>
        </w:numPr>
        <w:spacing w:before="120" w:after="120" w:line="280" w:lineRule="atLeast"/>
        <w:rPr>
          <w:rFonts w:ascii="Arial" w:hAnsi="Arial" w:cs="Arial"/>
        </w:rPr>
      </w:pPr>
      <w:r>
        <w:rPr>
          <w:rFonts w:ascii="Arial" w:hAnsi="Arial" w:cs="Arial"/>
        </w:rPr>
        <w:t>undertake a gender impact assessment (GIA) when developing or reviewing policies, programs and services that have a direct and significant impact on the public, and report on these GIAs in their progress reports; and</w:t>
      </w:r>
    </w:p>
    <w:p w14:paraId="566AD883" w14:textId="77777777" w:rsidR="00050E0E" w:rsidRDefault="00050E0E" w:rsidP="0095254D">
      <w:pPr>
        <w:pStyle w:val="LetterText"/>
        <w:numPr>
          <w:ilvl w:val="0"/>
          <w:numId w:val="15"/>
        </w:numPr>
        <w:spacing w:before="120" w:after="120" w:line="280" w:lineRule="atLeast"/>
        <w:rPr>
          <w:rFonts w:ascii="Arial" w:hAnsi="Arial" w:cs="Arial"/>
        </w:rPr>
      </w:pPr>
      <w:r>
        <w:rPr>
          <w:rFonts w:ascii="Arial" w:hAnsi="Arial" w:cs="Arial"/>
        </w:rPr>
        <w:lastRenderedPageBreak/>
        <w:t>consider and promote gender equality and take necessary and proportionate action towards achieving workplace gender equality.</w:t>
      </w:r>
    </w:p>
    <w:p w14:paraId="5C00EA83" w14:textId="77777777" w:rsidR="00050E0E" w:rsidRDefault="00050E0E" w:rsidP="0095254D">
      <w:pPr>
        <w:pStyle w:val="Bullet1"/>
        <w:numPr>
          <w:ilvl w:val="0"/>
          <w:numId w:val="0"/>
        </w:numPr>
        <w:spacing w:before="120" w:after="120"/>
        <w:rPr>
          <w:rFonts w:cs="Arial"/>
        </w:rPr>
      </w:pPr>
      <w:r w:rsidRPr="3997CF01">
        <w:rPr>
          <w:rFonts w:cs="Arial"/>
        </w:rPr>
        <w:t>As you</w:t>
      </w:r>
      <w:r>
        <w:rPr>
          <w:rFonts w:cs="Arial"/>
        </w:rPr>
        <w:t xml:space="preserve"> may be</w:t>
      </w:r>
      <w:r w:rsidRPr="3997CF01">
        <w:rPr>
          <w:rFonts w:cs="Arial"/>
        </w:rPr>
        <w:t xml:space="preserve"> aware, </w:t>
      </w:r>
      <w:r>
        <w:rPr>
          <w:rFonts w:cs="Arial"/>
        </w:rPr>
        <w:t xml:space="preserve">the GE Act is ground-breaking in its recognition that gender inequality may be compounded by other forms of disadvantage or discrimination that a person may experience on the basis of their Aboriginality, age, disability, ethnicity, gender identity, race, religion, sexual orientation, and other attributes. </w:t>
      </w:r>
    </w:p>
    <w:p w14:paraId="2A318406" w14:textId="77777777" w:rsidR="00050E0E" w:rsidRDefault="00050E0E" w:rsidP="0095254D">
      <w:pPr>
        <w:pStyle w:val="Bullet1"/>
        <w:numPr>
          <w:ilvl w:val="0"/>
          <w:numId w:val="0"/>
        </w:numPr>
        <w:spacing w:before="120" w:after="120"/>
        <w:rPr>
          <w:rFonts w:cs="Arial"/>
        </w:rPr>
      </w:pPr>
      <w:r w:rsidRPr="1AB081F0">
        <w:rPr>
          <w:rFonts w:cs="Arial"/>
        </w:rPr>
        <w:t>As part of fulfilling their requirements under the</w:t>
      </w:r>
      <w:r>
        <w:rPr>
          <w:rFonts w:cs="Arial"/>
        </w:rPr>
        <w:t xml:space="preserve"> GE</w:t>
      </w:r>
      <w:r w:rsidRPr="1AB081F0">
        <w:rPr>
          <w:rFonts w:cs="Arial"/>
        </w:rPr>
        <w:t xml:space="preserve"> Act</w:t>
      </w:r>
      <w:r>
        <w:rPr>
          <w:rFonts w:cs="Arial"/>
        </w:rPr>
        <w:t xml:space="preserve">, duty holders are required to consider intersectionality when conducting their workplace gender audits, in the development of their GEAPs, and where practicable, when undertaking GIAs. </w:t>
      </w:r>
    </w:p>
    <w:p w14:paraId="48A2AB40" w14:textId="77777777" w:rsidR="00050E0E" w:rsidRDefault="00050E0E" w:rsidP="0095254D">
      <w:pPr>
        <w:pStyle w:val="Bullet1"/>
        <w:numPr>
          <w:ilvl w:val="0"/>
          <w:numId w:val="0"/>
        </w:numPr>
        <w:spacing w:before="120" w:after="120"/>
        <w:rPr>
          <w:rFonts w:cs="Arial"/>
        </w:rPr>
      </w:pPr>
      <w:r>
        <w:rPr>
          <w:rFonts w:cs="Arial"/>
        </w:rPr>
        <w:t xml:space="preserve">Relevantly, the objects of the GE Act include: the promotion, encouragement and facilitation of the achievement of gender equality; supporting the identification and elimination of systemic causes of gender inequality; and to redress </w:t>
      </w:r>
      <w:r w:rsidRPr="006C66B2">
        <w:rPr>
          <w:rFonts w:cs="Arial"/>
        </w:rPr>
        <w:t>disadvantage, address stigma, stereotyping, prejudice and violence, and accommodate persons of different genders by way of structural change</w:t>
      </w:r>
      <w:r>
        <w:rPr>
          <w:rFonts w:cs="Arial"/>
        </w:rPr>
        <w:t xml:space="preserve">. </w:t>
      </w:r>
    </w:p>
    <w:p w14:paraId="2390A49F" w14:textId="2BC96DB8" w:rsidR="00050E0E" w:rsidRPr="009C5AFF" w:rsidRDefault="00050E0E" w:rsidP="0095254D">
      <w:pPr>
        <w:pStyle w:val="Bullet1"/>
        <w:numPr>
          <w:ilvl w:val="0"/>
          <w:numId w:val="0"/>
        </w:numPr>
        <w:spacing w:before="120" w:after="120"/>
        <w:rPr>
          <w:rFonts w:cs="Arial"/>
          <w:szCs w:val="22"/>
        </w:rPr>
      </w:pPr>
      <w:r>
        <w:rPr>
          <w:rFonts w:cs="Arial"/>
        </w:rPr>
        <w:t>Research demonstrates that compounded forms of gender inequality shape peoples’ experiences with public officials.</w:t>
      </w:r>
      <w:r>
        <w:rPr>
          <w:rStyle w:val="FootnoteReference"/>
          <w:rFonts w:cs="Arial"/>
        </w:rPr>
        <w:footnoteReference w:id="2"/>
      </w:r>
      <w:r>
        <w:rPr>
          <w:rFonts w:cs="Arial"/>
        </w:rPr>
        <w:t xml:space="preserve"> In particular, we know that </w:t>
      </w:r>
      <w:r w:rsidRPr="00895AFE">
        <w:rPr>
          <w:rFonts w:cs="Arial"/>
        </w:rPr>
        <w:t>marginalised women – including women with disabilities, Aboriginal women</w:t>
      </w:r>
      <w:r w:rsidR="00F24C88">
        <w:rPr>
          <w:rFonts w:cs="Arial"/>
        </w:rPr>
        <w:t>,</w:t>
      </w:r>
      <w:r w:rsidRPr="00895AFE">
        <w:rPr>
          <w:rFonts w:cs="Arial"/>
        </w:rPr>
        <w:t xml:space="preserve"> and Culturally and Linguistically Diverse women – </w:t>
      </w:r>
      <w:r>
        <w:rPr>
          <w:rFonts w:cs="Arial"/>
        </w:rPr>
        <w:t xml:space="preserve">and gender diverse people </w:t>
      </w:r>
      <w:r w:rsidRPr="00895AFE">
        <w:rPr>
          <w:rFonts w:cs="Arial"/>
        </w:rPr>
        <w:t>are ‘</w:t>
      </w:r>
      <w:r w:rsidRPr="009A2493">
        <w:rPr>
          <w:color w:val="287E84"/>
          <w:sz w:val="22"/>
          <w:szCs w:val="18"/>
        </w:rPr>
        <w:t>uniquely vulnerable to corruption</w:t>
      </w:r>
      <w:r w:rsidR="009A2493">
        <w:rPr>
          <w:color w:val="287E84"/>
          <w:sz w:val="22"/>
          <w:szCs w:val="18"/>
        </w:rPr>
        <w:t>,</w:t>
      </w:r>
      <w:r w:rsidRPr="009A2493">
        <w:rPr>
          <w:color w:val="287E84"/>
          <w:sz w:val="22"/>
          <w:szCs w:val="18"/>
        </w:rPr>
        <w:t xml:space="preserve"> and disproportionately impacted by’</w:t>
      </w:r>
      <w:r w:rsidR="00F24C88" w:rsidRPr="00895AFE">
        <w:rPr>
          <w:rFonts w:cs="Arial"/>
          <w:vertAlign w:val="superscript"/>
        </w:rPr>
        <w:footnoteReference w:id="3"/>
      </w:r>
      <w:r w:rsidR="00F24C88">
        <w:rPr>
          <w:rFonts w:cs="Arial"/>
        </w:rPr>
        <w:t xml:space="preserve"> </w:t>
      </w:r>
      <w:r w:rsidRPr="00895AFE">
        <w:rPr>
          <w:rFonts w:cs="Arial"/>
        </w:rPr>
        <w:t>its negative effects.</w:t>
      </w:r>
      <w:r>
        <w:rPr>
          <w:rFonts w:cs="Arial"/>
        </w:rPr>
        <w:t xml:space="preserve"> We also know that specific forms of corrupt conduct exist at the intersection of sexually abusive conduct and corruption, the most common of which is </w:t>
      </w:r>
      <w:r>
        <w:rPr>
          <w:rFonts w:cs="Arial"/>
          <w:szCs w:val="22"/>
        </w:rPr>
        <w:t>‘sextortion’.</w:t>
      </w:r>
      <w:r>
        <w:rPr>
          <w:rStyle w:val="FootnoteReference"/>
          <w:rFonts w:cs="Arial"/>
          <w:szCs w:val="22"/>
        </w:rPr>
        <w:footnoteReference w:id="4"/>
      </w:r>
    </w:p>
    <w:p w14:paraId="51D4E035" w14:textId="1028D99D" w:rsidR="00050E0E" w:rsidRPr="00050E0E" w:rsidRDefault="00050E0E" w:rsidP="0095254D">
      <w:pPr>
        <w:pStyle w:val="Bullet1"/>
        <w:numPr>
          <w:ilvl w:val="0"/>
          <w:numId w:val="0"/>
        </w:numPr>
        <w:spacing w:before="120" w:after="120"/>
        <w:rPr>
          <w:rFonts w:cs="Arial"/>
          <w:szCs w:val="22"/>
        </w:rPr>
      </w:pPr>
      <w:r>
        <w:rPr>
          <w:rFonts w:cs="Arial"/>
        </w:rPr>
        <w:t xml:space="preserve">The review of the </w:t>
      </w:r>
      <w:r w:rsidRPr="00B72740">
        <w:rPr>
          <w:rFonts w:cs="Arial"/>
          <w:i/>
          <w:iCs/>
          <w:szCs w:val="22"/>
        </w:rPr>
        <w:t xml:space="preserve">Independent Broad-based Anti-corruption Commission Act 2011 </w:t>
      </w:r>
      <w:r w:rsidRPr="00B72740">
        <w:rPr>
          <w:rFonts w:cs="Arial"/>
          <w:szCs w:val="22"/>
        </w:rPr>
        <w:t>(Vic)</w:t>
      </w:r>
      <w:r>
        <w:rPr>
          <w:rFonts w:cs="Arial"/>
          <w:szCs w:val="22"/>
        </w:rPr>
        <w:t xml:space="preserve"> (the Act) must therefore incorporate a sophisticated understanding of the systemic and structural causes of compounded gender inequality and the ways in which gender inequality can both mask and constitute corrupt conduct. This will ensure that the Act is able to meet its objectives in assisting in the prevention of corrupt conduct and in improving the capacity of the public sector to prevent corrupt conduct. It will also ensure that the IBAC can achieve its vision of a public sector and police that acts with integrity for </w:t>
      </w:r>
      <w:r w:rsidRPr="00BC0847">
        <w:rPr>
          <w:rFonts w:cs="Arial"/>
          <w:i/>
          <w:iCs/>
          <w:szCs w:val="22"/>
        </w:rPr>
        <w:t xml:space="preserve">all </w:t>
      </w:r>
      <w:r>
        <w:rPr>
          <w:rFonts w:cs="Arial"/>
          <w:szCs w:val="22"/>
        </w:rPr>
        <w:t>Victorians.</w:t>
      </w:r>
    </w:p>
    <w:p w14:paraId="25021E72" w14:textId="0DA234DE" w:rsidR="00F653FA" w:rsidRPr="00C44141" w:rsidRDefault="00F653FA" w:rsidP="0095254D">
      <w:pPr>
        <w:pStyle w:val="Heading1"/>
        <w:numPr>
          <w:ilvl w:val="0"/>
          <w:numId w:val="12"/>
        </w:numPr>
        <w:spacing w:line="280" w:lineRule="atLeast"/>
        <w:ind w:left="284" w:hanging="284"/>
      </w:pPr>
      <w:bookmarkStart w:id="4" w:name="_Toc202965311"/>
      <w:r>
        <w:lastRenderedPageBreak/>
        <w:t>Submission</w:t>
      </w:r>
      <w:bookmarkEnd w:id="4"/>
    </w:p>
    <w:p w14:paraId="7E012603" w14:textId="77777777" w:rsidR="00747E2A" w:rsidRDefault="00B16710" w:rsidP="0095254D">
      <w:pPr>
        <w:pStyle w:val="Heading2"/>
        <w:spacing w:line="280" w:lineRule="atLeast"/>
      </w:pPr>
      <w:bookmarkStart w:id="5" w:name="_Toc202965312"/>
      <w:r w:rsidRPr="00B16710">
        <w:t>The definition of ‘corrupt conduct’ in the Act</w:t>
      </w:r>
      <w:bookmarkEnd w:id="5"/>
    </w:p>
    <w:p w14:paraId="3C9C911A" w14:textId="643140D6" w:rsidR="00747E2A" w:rsidRPr="00747E2A" w:rsidRDefault="00747E2A" w:rsidP="0095254D">
      <w:pPr>
        <w:spacing w:before="120"/>
        <w:rPr>
          <w:b/>
          <w:color w:val="7030A0"/>
          <w:sz w:val="32"/>
          <w:szCs w:val="28"/>
        </w:rPr>
      </w:pPr>
      <w:r w:rsidRPr="00747E2A">
        <w:t>The current definition of ‘corrupt conduct’ in the Act is notionally broad enough to capture abuses of public authority to sexually exploit someone, including conduct such as predatory behaviour and sextortion.</w:t>
      </w:r>
      <w:r w:rsidR="00B108E8">
        <w:rPr>
          <w:rStyle w:val="FootnoteReference"/>
        </w:rPr>
        <w:footnoteReference w:id="5"/>
      </w:r>
    </w:p>
    <w:p w14:paraId="5D776889" w14:textId="1DFD13B2" w:rsidR="00747E2A" w:rsidRPr="00747E2A" w:rsidRDefault="00747E2A" w:rsidP="0095254D">
      <w:pPr>
        <w:pStyle w:val="Body"/>
      </w:pPr>
      <w:r w:rsidRPr="00747E2A">
        <w:t>However, the lack of public awareness about the occurrence of sextortion in public bodies and by public officers, in addition to the lack of related IBAC prosecutions, suggests that there is an opportunity to make the Act more explicit in its coverage of such conduct.</w:t>
      </w:r>
      <w:r w:rsidR="00B563F4">
        <w:rPr>
          <w:rStyle w:val="FootnoteReference"/>
        </w:rPr>
        <w:footnoteReference w:id="6"/>
      </w:r>
      <w:r w:rsidRPr="00747E2A">
        <w:t xml:space="preserve"> For example, section 25 of the Tanzanian Prevention and Combating of Corruption Act (2022) makes it an offence for ‘</w:t>
      </w:r>
      <w:r w:rsidRPr="008833DF">
        <w:rPr>
          <w:color w:val="287E84"/>
          <w:sz w:val="22"/>
          <w:szCs w:val="18"/>
        </w:rPr>
        <w:t>any person being in a position of power or authority, who in the exercise of his authority, demands or imposes sexual favours</w:t>
      </w:r>
      <w:r w:rsidRPr="00747E2A">
        <w:t>’.</w:t>
      </w:r>
      <w:r w:rsidR="00B563F4">
        <w:rPr>
          <w:rStyle w:val="FootnoteReference"/>
        </w:rPr>
        <w:footnoteReference w:id="7"/>
      </w:r>
      <w:r w:rsidRPr="00747E2A">
        <w:t xml:space="preserve"> Similar legislative prohibitions exist in Peru, Chile, Brazil, India, and the United States of America.</w:t>
      </w:r>
      <w:r w:rsidR="00B563F4">
        <w:rPr>
          <w:rStyle w:val="FootnoteReference"/>
        </w:rPr>
        <w:footnoteReference w:id="8"/>
      </w:r>
    </w:p>
    <w:p w14:paraId="48F244A8" w14:textId="7AAE7C4F" w:rsidR="00747E2A" w:rsidRPr="00747E2A" w:rsidRDefault="00747E2A" w:rsidP="0095254D">
      <w:pPr>
        <w:pStyle w:val="Body"/>
      </w:pPr>
      <w:r w:rsidRPr="00747E2A">
        <w:t>Express inclusion of abuses of power for sexual benefit, including sextortion, within the IBAC Act (and related IBAC guidance materials) will ensure that such conduct is appropriately categorised as a form of corruption, rather than being minimised as a code of conduct issue or subsumed within the category of ‘criminal behaviour, drugs, and activities’.</w:t>
      </w:r>
      <w:r w:rsidR="008524AC">
        <w:rPr>
          <w:rStyle w:val="FootnoteReference"/>
        </w:rPr>
        <w:footnoteReference w:id="9"/>
      </w:r>
      <w:r w:rsidRPr="00747E2A">
        <w:t xml:space="preserve"> This is important, as incidences of sextortion and other forms of sexual corruption have been found to be widespread in public offices yet are significantly understudied and underreported.</w:t>
      </w:r>
      <w:r w:rsidR="00A72880">
        <w:rPr>
          <w:rStyle w:val="FootnoteReference"/>
        </w:rPr>
        <w:footnoteReference w:id="10"/>
      </w:r>
      <w:r w:rsidRPr="00747E2A">
        <w:t xml:space="preserve"> Where an individual is unaware that such conduct amounts to ‘corrupt conduct’, they are unlikely to report it. </w:t>
      </w:r>
    </w:p>
    <w:p w14:paraId="1140C8A9" w14:textId="568F61D3" w:rsidR="00747E2A" w:rsidRPr="00747E2A" w:rsidRDefault="00747E2A" w:rsidP="0095254D">
      <w:pPr>
        <w:pStyle w:val="Body"/>
      </w:pPr>
      <w:r w:rsidRPr="00747E2A">
        <w:t>Accurately labelling and addressing this conduct will assist the IBAC to: 1) identify, investigate, and understand the true nature, extent and impact of this conduct; and 2) displace deeply entrenched gender-blind stereotypes and attitudes that view corruption as a solely as an economic phenomenon.</w:t>
      </w:r>
      <w:r w:rsidR="00A72880">
        <w:rPr>
          <w:rStyle w:val="FootnoteReference"/>
        </w:rPr>
        <w:footnoteReference w:id="11"/>
      </w:r>
      <w:r w:rsidRPr="00747E2A">
        <w:t xml:space="preserve">   </w:t>
      </w:r>
    </w:p>
    <w:p w14:paraId="4918127B" w14:textId="0B805F5A" w:rsidR="00747E2A" w:rsidRDefault="00747E2A" w:rsidP="0095254D">
      <w:pPr>
        <w:pStyle w:val="Body"/>
        <w:rPr>
          <w:b/>
        </w:rPr>
      </w:pPr>
      <w:r w:rsidRPr="00747E2A">
        <w:t>It would also send an unequivocal message that such conduct is not tolerated in the Victorian public sector. This is critical, as international research has demonstrated that a strong legal framework that explicitly prohibits this conduct and spreads awareness that this conduct is punishable is key to combatting sexual forms of corruption.</w:t>
      </w:r>
      <w:r w:rsidR="00C40BDF">
        <w:rPr>
          <w:rStyle w:val="FootnoteReference"/>
        </w:rPr>
        <w:footnoteReference w:id="12"/>
      </w:r>
      <w:r w:rsidRPr="00747E2A">
        <w:t xml:space="preserve"> </w:t>
      </w:r>
    </w:p>
    <w:p w14:paraId="6123D80B" w14:textId="79296EFA" w:rsidR="00E153AC" w:rsidRPr="00130735" w:rsidRDefault="00824DDC" w:rsidP="0095254D">
      <w:pPr>
        <w:pStyle w:val="Heading2"/>
        <w:spacing w:before="120" w:line="280" w:lineRule="atLeast"/>
        <w:rPr>
          <w:rFonts w:eastAsia="MS Gothic"/>
        </w:rPr>
      </w:pPr>
      <w:bookmarkStart w:id="6" w:name="_Toc202965313"/>
      <w:r>
        <w:rPr>
          <w:rFonts w:eastAsia="MS Gothic"/>
        </w:rPr>
        <w:t>The threshold for investigating alleged corrupt conduct</w:t>
      </w:r>
      <w:bookmarkEnd w:id="6"/>
    </w:p>
    <w:p w14:paraId="286EE251" w14:textId="77777777" w:rsidR="00097928" w:rsidRDefault="00097928" w:rsidP="0095254D">
      <w:pPr>
        <w:pStyle w:val="Bullet1"/>
        <w:numPr>
          <w:ilvl w:val="0"/>
          <w:numId w:val="0"/>
        </w:numPr>
        <w:spacing w:before="120" w:after="120"/>
        <w:rPr>
          <w:rFonts w:cs="Arial"/>
        </w:rPr>
      </w:pPr>
      <w:r>
        <w:rPr>
          <w:rFonts w:cs="Arial"/>
        </w:rPr>
        <w:t>As you are aware, the 2016 amendments to the IBAC Act lowered the threshold for IBAC to conduct an investigation from where it suspected on reasonable grounds that the conduct constitutes ‘serious corrupt conduct’, to ‘corrupt conduct’.</w:t>
      </w:r>
      <w:r>
        <w:rPr>
          <w:rStyle w:val="FootnoteReference"/>
          <w:rFonts w:cs="Arial"/>
        </w:rPr>
        <w:footnoteReference w:id="13"/>
      </w:r>
      <w:r>
        <w:rPr>
          <w:rFonts w:cs="Arial"/>
        </w:rPr>
        <w:t xml:space="preserve"> This was a critical step towards ensuring that gendered forms of corruption can be identified and investigated by the IBAC.</w:t>
      </w:r>
    </w:p>
    <w:p w14:paraId="40ED038F" w14:textId="77777777" w:rsidR="00097928" w:rsidRPr="00907A8D" w:rsidRDefault="00097928" w:rsidP="0095254D">
      <w:pPr>
        <w:pStyle w:val="Bullet1"/>
        <w:numPr>
          <w:ilvl w:val="0"/>
          <w:numId w:val="0"/>
        </w:numPr>
        <w:spacing w:before="120" w:after="120"/>
        <w:rPr>
          <w:rFonts w:cs="Arial"/>
        </w:rPr>
      </w:pPr>
      <w:r>
        <w:rPr>
          <w:rFonts w:cs="Arial"/>
        </w:rPr>
        <w:lastRenderedPageBreak/>
        <w:t xml:space="preserve">To ensure that the threshold for investigating alleged corrupt conduct extends to gendered forms of corrupt conduct, including sextortion, the Act should be amended to explicitly include these forms of conduct within the definition of corrupt conduct, as discussed above. </w:t>
      </w:r>
    </w:p>
    <w:p w14:paraId="5FAE5F63" w14:textId="77777777" w:rsidR="00097928" w:rsidRPr="00EF3833" w:rsidRDefault="00097928" w:rsidP="0095254D">
      <w:pPr>
        <w:pStyle w:val="Heading2"/>
        <w:spacing w:line="280" w:lineRule="atLeast"/>
      </w:pPr>
      <w:bookmarkStart w:id="7" w:name="_Toc202965314"/>
      <w:r w:rsidRPr="00EF3833">
        <w:t>The threshold for holding public hearings</w:t>
      </w:r>
      <w:bookmarkEnd w:id="7"/>
    </w:p>
    <w:p w14:paraId="3F8E3C05" w14:textId="77777777" w:rsidR="00097928" w:rsidRPr="005B683B" w:rsidRDefault="00097928" w:rsidP="0095254D">
      <w:pPr>
        <w:pStyle w:val="LetterText"/>
        <w:spacing w:before="120" w:after="120" w:line="280" w:lineRule="atLeast"/>
        <w:rPr>
          <w:rFonts w:ascii="Arial" w:hAnsi="Arial" w:cs="Arial"/>
          <w:sz w:val="21"/>
          <w:szCs w:val="21"/>
        </w:rPr>
      </w:pPr>
      <w:r w:rsidRPr="005B683B">
        <w:rPr>
          <w:rFonts w:ascii="Arial" w:hAnsi="Arial" w:cs="Arial"/>
          <w:sz w:val="21"/>
          <w:szCs w:val="21"/>
        </w:rPr>
        <w:t>The multi-faceted criteria that must be met for the IBAC to hold a public hearing, particularly the requirement for ‘exceptional circumstances’, sets a significantly higher threshold than that under equivalent legislation in other Australian jurisdictions.</w:t>
      </w:r>
      <w:r w:rsidRPr="005B683B">
        <w:rPr>
          <w:rStyle w:val="FootnoteReference"/>
          <w:rFonts w:ascii="Arial" w:hAnsi="Arial" w:cs="Arial"/>
          <w:sz w:val="21"/>
          <w:szCs w:val="21"/>
        </w:rPr>
        <w:footnoteReference w:id="14"/>
      </w:r>
      <w:r w:rsidRPr="005B683B">
        <w:rPr>
          <w:rFonts w:ascii="Arial" w:hAnsi="Arial" w:cs="Arial"/>
          <w:sz w:val="21"/>
          <w:szCs w:val="21"/>
        </w:rPr>
        <w:t xml:space="preserve"> When we apply a gendered lens to these criteria, it is clear that they have the capacity to inadvertently protect patriarchal power structures and obscure systemic forms of gendered corruption (and its harms). </w:t>
      </w:r>
    </w:p>
    <w:p w14:paraId="4EA16A9A" w14:textId="01AD123C" w:rsidR="00097928" w:rsidRPr="005B683B" w:rsidRDefault="00097928" w:rsidP="0095254D">
      <w:pPr>
        <w:pStyle w:val="LetterText"/>
        <w:spacing w:before="120" w:after="120" w:line="280" w:lineRule="atLeast"/>
        <w:rPr>
          <w:rFonts w:ascii="Arial" w:hAnsi="Arial" w:cs="Arial"/>
          <w:sz w:val="21"/>
          <w:szCs w:val="21"/>
        </w:rPr>
      </w:pPr>
      <w:r w:rsidRPr="005B683B">
        <w:rPr>
          <w:rFonts w:ascii="Arial" w:hAnsi="Arial" w:cs="Arial"/>
          <w:sz w:val="21"/>
          <w:szCs w:val="21"/>
        </w:rPr>
        <w:t>In particular, the requirement that the hearing ‘</w:t>
      </w:r>
      <w:r w:rsidRPr="009A2493">
        <w:rPr>
          <w:rFonts w:ascii="Arial" w:eastAsia="Times" w:hAnsi="Arial" w:cs="Times New Roman"/>
          <w:color w:val="287E84"/>
          <w:szCs w:val="18"/>
        </w:rPr>
        <w:t>can be held without causing unreasonable damage to a person’s reputation</w:t>
      </w:r>
      <w:r w:rsidRPr="005B683B">
        <w:rPr>
          <w:rFonts w:ascii="Arial" w:hAnsi="Arial" w:cs="Arial"/>
          <w:sz w:val="21"/>
          <w:szCs w:val="21"/>
        </w:rPr>
        <w:t>’</w:t>
      </w:r>
      <w:r w:rsidRPr="005B683B">
        <w:rPr>
          <w:rStyle w:val="FootnoteReference"/>
          <w:rFonts w:ascii="Arial" w:hAnsi="Arial" w:cs="Arial"/>
          <w:sz w:val="21"/>
          <w:szCs w:val="21"/>
        </w:rPr>
        <w:footnoteReference w:id="15"/>
      </w:r>
      <w:r w:rsidRPr="005B683B">
        <w:rPr>
          <w:rFonts w:ascii="Arial" w:hAnsi="Arial" w:cs="Arial"/>
          <w:sz w:val="21"/>
          <w:szCs w:val="21"/>
        </w:rPr>
        <w:t xml:space="preserve"> may function as a shield for alleged offenders (who are disproportionately men, necessarily holding a position of power)</w:t>
      </w:r>
      <w:r w:rsidRPr="005B683B">
        <w:rPr>
          <w:rStyle w:val="FootnoteReference"/>
          <w:rFonts w:ascii="Arial" w:hAnsi="Arial" w:cs="Arial"/>
          <w:sz w:val="21"/>
          <w:szCs w:val="21"/>
        </w:rPr>
        <w:footnoteReference w:id="16"/>
      </w:r>
      <w:r w:rsidRPr="005B683B">
        <w:rPr>
          <w:rFonts w:ascii="Arial" w:hAnsi="Arial" w:cs="Arial"/>
          <w:sz w:val="21"/>
          <w:szCs w:val="21"/>
        </w:rPr>
        <w:t xml:space="preserve"> and implicitly weighs the potential damage to their standing in society more heavily than the harms to victims in these circumstances (who, as discussed above, are more likely to be marginalised women and gender diverse people). The ‘exceptional circumstances’ criterion sets an exceptionally high bar that</w:t>
      </w:r>
      <w:r w:rsidR="00BF407F" w:rsidRPr="005B683B">
        <w:rPr>
          <w:rFonts w:ascii="Arial" w:hAnsi="Arial" w:cs="Arial"/>
          <w:sz w:val="21"/>
          <w:szCs w:val="21"/>
        </w:rPr>
        <w:t xml:space="preserve"> </w:t>
      </w:r>
      <w:r w:rsidRPr="005B683B">
        <w:rPr>
          <w:rFonts w:ascii="Arial" w:hAnsi="Arial" w:cs="Arial"/>
          <w:sz w:val="21"/>
          <w:szCs w:val="21"/>
        </w:rPr>
        <w:t xml:space="preserve">may prohibit the IBAC from using its public platform to expose systemic cultures of predatory behaviour. Examinations of this nature are, in my view, </w:t>
      </w:r>
      <w:r w:rsidR="00BF407F" w:rsidRPr="005B683B">
        <w:rPr>
          <w:rFonts w:ascii="Arial" w:hAnsi="Arial" w:cs="Arial"/>
          <w:sz w:val="21"/>
          <w:szCs w:val="21"/>
        </w:rPr>
        <w:t>i</w:t>
      </w:r>
      <w:r w:rsidRPr="005B683B">
        <w:rPr>
          <w:rFonts w:ascii="Arial" w:hAnsi="Arial" w:cs="Arial"/>
          <w:sz w:val="21"/>
          <w:szCs w:val="21"/>
        </w:rPr>
        <w:t xml:space="preserve">nherently in the public interest without needing to prove exceptional circumstances.   </w:t>
      </w:r>
    </w:p>
    <w:p w14:paraId="2183672B" w14:textId="77777777" w:rsidR="00097928" w:rsidRPr="005B683B" w:rsidRDefault="00097928" w:rsidP="0095254D">
      <w:pPr>
        <w:pStyle w:val="LetterText"/>
        <w:spacing w:before="120" w:after="120" w:line="280" w:lineRule="atLeast"/>
        <w:rPr>
          <w:rFonts w:ascii="Arial" w:hAnsi="Arial" w:cs="Arial"/>
          <w:sz w:val="21"/>
          <w:szCs w:val="21"/>
        </w:rPr>
      </w:pPr>
      <w:r w:rsidRPr="005B683B">
        <w:rPr>
          <w:rFonts w:ascii="Arial" w:hAnsi="Arial" w:cs="Arial"/>
          <w:sz w:val="21"/>
          <w:szCs w:val="21"/>
        </w:rPr>
        <w:t xml:space="preserve">However, any reform to the threshold for holding public hearings must be coupled with enhanced protections for victim-survivors, acknowledging the immense pressure a public hearing may place on victim-survivors of gendered corrupt conduct. While a hearing can offer public validation and break the silence around gendered corruption, it can also expose the victim to public scrutiny and condemnation, re-traumatisation, and potentially confronting cross-examination. </w:t>
      </w:r>
    </w:p>
    <w:p w14:paraId="22AA3E8C" w14:textId="77777777" w:rsidR="00EA0012" w:rsidRPr="00EA0012" w:rsidRDefault="00EA0012" w:rsidP="0095254D">
      <w:pPr>
        <w:pStyle w:val="Heading2"/>
        <w:spacing w:line="280" w:lineRule="atLeast"/>
        <w:rPr>
          <w:rFonts w:eastAsia="Times"/>
        </w:rPr>
      </w:pPr>
      <w:bookmarkStart w:id="8" w:name="_Toc202965315"/>
      <w:r w:rsidRPr="00EA0012">
        <w:rPr>
          <w:rFonts w:eastAsia="Times"/>
        </w:rPr>
        <w:t>Information-security and confidentiality provisions and practices</w:t>
      </w:r>
      <w:bookmarkEnd w:id="8"/>
    </w:p>
    <w:p w14:paraId="782E33F5" w14:textId="337A510B" w:rsidR="00EA0012" w:rsidRPr="00EA0012" w:rsidRDefault="00EA0012" w:rsidP="0095254D">
      <w:pPr>
        <w:spacing w:before="120"/>
        <w:rPr>
          <w:rFonts w:eastAsia="Times"/>
          <w:szCs w:val="21"/>
        </w:rPr>
      </w:pPr>
      <w:r w:rsidRPr="00EA0012">
        <w:rPr>
          <w:rFonts w:eastAsia="Times"/>
          <w:szCs w:val="21"/>
        </w:rPr>
        <w:t>The IBAC Act contains strong mechanisms for controlling the flow of personal and confidential information – including the ability to issue confidentiality notices to prohibit the disclosure of ‘restricted matters’ likely to prejudice an investigation, the safety or reputation of a person, or the fair trial of a person.</w:t>
      </w:r>
      <w:r w:rsidR="00B910EB">
        <w:rPr>
          <w:rStyle w:val="FootnoteReference"/>
          <w:rFonts w:eastAsia="Times"/>
          <w:szCs w:val="21"/>
        </w:rPr>
        <w:footnoteReference w:id="17"/>
      </w:r>
      <w:r w:rsidRPr="00EA0012">
        <w:rPr>
          <w:rFonts w:eastAsia="Times"/>
          <w:szCs w:val="21"/>
        </w:rPr>
        <w:t xml:space="preserve"> </w:t>
      </w:r>
    </w:p>
    <w:p w14:paraId="1F8C3990" w14:textId="6C9DE50F" w:rsidR="00EA0012" w:rsidRPr="00EA0012" w:rsidRDefault="00EA0012" w:rsidP="0095254D">
      <w:pPr>
        <w:spacing w:before="120"/>
        <w:rPr>
          <w:rFonts w:eastAsia="Times"/>
          <w:szCs w:val="21"/>
        </w:rPr>
      </w:pPr>
      <w:r w:rsidRPr="00EA0012">
        <w:rPr>
          <w:rFonts w:eastAsia="Times"/>
          <w:szCs w:val="21"/>
        </w:rPr>
        <w:t>The need for robust information-security and confidentiality provisions is amplified when considering complaints and investigations related to gendered forms of corrupt conduct, where complainants and victim–survivors are disproportionately women and marginalised individuals. As the IBAC itself has noted, ‘</w:t>
      </w:r>
      <w:r w:rsidRPr="007C3A74">
        <w:rPr>
          <w:rFonts w:eastAsia="Times"/>
          <w:color w:val="287E84"/>
          <w:sz w:val="22"/>
          <w:szCs w:val="18"/>
        </w:rPr>
        <w:t>unauthorised access and disclosure of information are key enablers of other corrupt behaviour</w:t>
      </w:r>
      <w:r w:rsidRPr="00EA0012">
        <w:rPr>
          <w:rFonts w:eastAsia="Times"/>
          <w:szCs w:val="21"/>
        </w:rPr>
        <w:t>’,</w:t>
      </w:r>
      <w:r w:rsidR="006B4107">
        <w:rPr>
          <w:rStyle w:val="FootnoteReference"/>
          <w:rFonts w:eastAsia="Times"/>
          <w:szCs w:val="21"/>
        </w:rPr>
        <w:footnoteReference w:id="18"/>
      </w:r>
      <w:r w:rsidRPr="00EA0012">
        <w:rPr>
          <w:rFonts w:eastAsia="Times"/>
          <w:szCs w:val="21"/>
        </w:rPr>
        <w:t xml:space="preserve"> such as harassment, stalking, or other forms of gender-based harm. This is evidenced by the numerous concerns raised about confidentiality breaches in police-perpetrated family violence cases.</w:t>
      </w:r>
      <w:r w:rsidR="008C28B9">
        <w:rPr>
          <w:rStyle w:val="FootnoteReference"/>
          <w:rFonts w:eastAsia="Times"/>
          <w:szCs w:val="21"/>
        </w:rPr>
        <w:footnoteReference w:id="19"/>
      </w:r>
      <w:r w:rsidRPr="00EA0012">
        <w:rPr>
          <w:rFonts w:eastAsia="Times"/>
          <w:szCs w:val="21"/>
        </w:rPr>
        <w:t xml:space="preserve"> The Committee should ensure that embedded within any of its recommendations related to the IBAC Act’s information security and confidentiality provisions is a commitment to nuanced, gender-sensitive development and implementation.</w:t>
      </w:r>
    </w:p>
    <w:p w14:paraId="61891104" w14:textId="3ED9C4B2" w:rsidR="00EA0012" w:rsidRPr="00EA0012" w:rsidRDefault="00EA0012" w:rsidP="0095254D">
      <w:pPr>
        <w:spacing w:before="120"/>
        <w:rPr>
          <w:rFonts w:eastAsia="Times"/>
          <w:szCs w:val="21"/>
        </w:rPr>
      </w:pPr>
      <w:r w:rsidRPr="00EA0012">
        <w:rPr>
          <w:rFonts w:eastAsia="Times"/>
          <w:szCs w:val="21"/>
        </w:rPr>
        <w:t>While the IBAC’s ‘Information privacy statement’ confirms that all IBAC officers ‘</w:t>
      </w:r>
      <w:r w:rsidRPr="00F073B2">
        <w:rPr>
          <w:rFonts w:eastAsia="Times"/>
          <w:color w:val="287E84"/>
          <w:sz w:val="22"/>
          <w:szCs w:val="18"/>
        </w:rPr>
        <w:t>complete training to increase their understanding of human rights and cultural and gender diversity</w:t>
      </w:r>
      <w:r w:rsidRPr="00EA0012">
        <w:rPr>
          <w:rFonts w:eastAsia="Times"/>
          <w:szCs w:val="21"/>
        </w:rPr>
        <w:t>’,</w:t>
      </w:r>
      <w:r w:rsidR="00887A0D">
        <w:rPr>
          <w:rStyle w:val="FootnoteReference"/>
          <w:rFonts w:eastAsia="Times"/>
          <w:szCs w:val="21"/>
        </w:rPr>
        <w:footnoteReference w:id="20"/>
      </w:r>
      <w:r w:rsidRPr="00EA0012">
        <w:rPr>
          <w:rFonts w:eastAsia="Times"/>
          <w:szCs w:val="21"/>
        </w:rPr>
        <w:t xml:space="preserve"> ongoing training and </w:t>
      </w:r>
      <w:r w:rsidRPr="00EA0012">
        <w:rPr>
          <w:rFonts w:eastAsia="Times"/>
          <w:szCs w:val="21"/>
        </w:rPr>
        <w:lastRenderedPageBreak/>
        <w:t>policy development should specifically address the unique privacy and safety concerns of individuals due to their experiences of compounded based on their Aboriginality, ethnicity, sexual orientation, gender identity, disability and/or age.</w:t>
      </w:r>
    </w:p>
    <w:p w14:paraId="625EC023" w14:textId="77777777" w:rsidR="00EA0012" w:rsidRPr="00EA0012" w:rsidRDefault="00EA0012" w:rsidP="00CF4565">
      <w:pPr>
        <w:pStyle w:val="Heading2"/>
        <w:rPr>
          <w:rFonts w:eastAsia="Times"/>
        </w:rPr>
      </w:pPr>
      <w:bookmarkStart w:id="9" w:name="_Toc202965316"/>
      <w:r w:rsidRPr="00EA0012">
        <w:rPr>
          <w:rFonts w:eastAsia="Times"/>
        </w:rPr>
        <w:t>Other matters that may limit IBAC’s ability to identify, investigate and expose corrupt conduct.</w:t>
      </w:r>
      <w:bookmarkEnd w:id="9"/>
    </w:p>
    <w:p w14:paraId="67FDD7F4" w14:textId="77777777" w:rsidR="00EA0012" w:rsidRPr="00EA0012" w:rsidRDefault="00EA0012" w:rsidP="0095254D">
      <w:pPr>
        <w:spacing w:before="120"/>
        <w:rPr>
          <w:rFonts w:eastAsia="Times"/>
          <w:szCs w:val="21"/>
        </w:rPr>
      </w:pPr>
      <w:r w:rsidRPr="00EA0012">
        <w:rPr>
          <w:rFonts w:eastAsia="Times"/>
          <w:szCs w:val="21"/>
        </w:rPr>
        <w:t xml:space="preserve">As noted above, sextortion and other forms of sexual corruption are pervasive yet underreported. While some of the reasons for this are common across non-sexual forms of corruption, many reflect the unique gendered nature of sextortion including: </w:t>
      </w:r>
    </w:p>
    <w:p w14:paraId="1052924C" w14:textId="5FCE119C" w:rsidR="00EA0012" w:rsidRPr="00EA0012" w:rsidRDefault="00EA0012" w:rsidP="0095254D">
      <w:pPr>
        <w:pStyle w:val="Bullet1"/>
      </w:pPr>
      <w:r w:rsidRPr="00EA0012">
        <w:t>shame and fear of stigmatisation, dismissal or reprisal associated with sexual offenses, which compound the difficulty of victims coming forward;</w:t>
      </w:r>
      <w:r w:rsidR="00CF4565">
        <w:rPr>
          <w:rStyle w:val="FootnoteReference"/>
        </w:rPr>
        <w:footnoteReference w:id="21"/>
      </w:r>
      <w:r w:rsidRPr="00EA0012">
        <w:t xml:space="preserve"> </w:t>
      </w:r>
    </w:p>
    <w:p w14:paraId="4AC31B3E" w14:textId="18D1DDC5" w:rsidR="00EA0012" w:rsidRPr="00EA0012" w:rsidRDefault="00EA0012" w:rsidP="0095254D">
      <w:pPr>
        <w:pStyle w:val="Bullet1"/>
      </w:pPr>
      <w:r w:rsidRPr="00EA0012">
        <w:t>distrust of public officials and public bodies responsible for handling reports and the perceived unlikelihood that action will be taken in response to a report;</w:t>
      </w:r>
      <w:r w:rsidR="00CF4565">
        <w:rPr>
          <w:rStyle w:val="FootnoteReference"/>
        </w:rPr>
        <w:footnoteReference w:id="22"/>
      </w:r>
      <w:r w:rsidRPr="00EA0012">
        <w:t xml:space="preserve"> </w:t>
      </w:r>
    </w:p>
    <w:p w14:paraId="39F8E4C1" w14:textId="72D02CE5" w:rsidR="00EA0012" w:rsidRPr="00EA0012" w:rsidRDefault="00EA0012" w:rsidP="0095254D">
      <w:pPr>
        <w:pStyle w:val="Bullet1"/>
      </w:pPr>
      <w:r w:rsidRPr="00EA0012">
        <w:t>ignorance that experiences of sextortion or sexual abuse amounts to corruption within the relevant legislative framework;</w:t>
      </w:r>
      <w:r w:rsidR="00CF4565">
        <w:rPr>
          <w:rStyle w:val="FootnoteReference"/>
        </w:rPr>
        <w:footnoteReference w:id="23"/>
      </w:r>
    </w:p>
    <w:p w14:paraId="1C6C81AE" w14:textId="23E6A23C" w:rsidR="00EA0012" w:rsidRPr="00EA0012" w:rsidRDefault="00EA0012" w:rsidP="0095254D">
      <w:pPr>
        <w:pStyle w:val="Bullet1"/>
      </w:pPr>
      <w:r w:rsidRPr="00EA0012">
        <w:t>gendered norms, including those relating to chastity, sexual modesty, passivity and not speaking out, undermine reporting;</w:t>
      </w:r>
      <w:r w:rsidR="00CF4565">
        <w:rPr>
          <w:rStyle w:val="FootnoteReference"/>
        </w:rPr>
        <w:footnoteReference w:id="24"/>
      </w:r>
      <w:r w:rsidR="005B683B">
        <w:t xml:space="preserve"> </w:t>
      </w:r>
      <w:r w:rsidRPr="00EA0012">
        <w:t>and</w:t>
      </w:r>
    </w:p>
    <w:p w14:paraId="09B7A138" w14:textId="29C17E42" w:rsidR="00EA0012" w:rsidRPr="00EA0012" w:rsidRDefault="00EA0012" w:rsidP="0095254D">
      <w:pPr>
        <w:pStyle w:val="Bullet1"/>
      </w:pPr>
      <w:r w:rsidRPr="00EA0012">
        <w:t>difficulties related to proving that sexual acts were coerced.</w:t>
      </w:r>
      <w:r w:rsidR="00EA3555">
        <w:rPr>
          <w:rStyle w:val="FootnoteReference"/>
        </w:rPr>
        <w:footnoteReference w:id="25"/>
      </w:r>
      <w:r w:rsidRPr="00EA0012">
        <w:t xml:space="preserve"> </w:t>
      </w:r>
    </w:p>
    <w:p w14:paraId="64B08CE0" w14:textId="77777777" w:rsidR="00EA0012" w:rsidRPr="00EA0012" w:rsidRDefault="00EA0012" w:rsidP="0095254D">
      <w:pPr>
        <w:spacing w:before="120"/>
        <w:rPr>
          <w:rFonts w:eastAsia="Times"/>
          <w:szCs w:val="21"/>
        </w:rPr>
      </w:pPr>
      <w:r w:rsidRPr="00EA0012">
        <w:rPr>
          <w:rFonts w:eastAsia="Times"/>
          <w:szCs w:val="21"/>
        </w:rPr>
        <w:t xml:space="preserve">It is therefore crucial that the review of the IBAC Act examines the adequacy of the IBAC’s complaint and investigation mechanisms (and the IBAC’s relevant legislated powers and functions) to ensure they are gender-sensitive, person-centred, trauma-informed and culturally safe. This includes the IBAC’s legislative powers related to the protection of witnesses and complainants. </w:t>
      </w:r>
    </w:p>
    <w:p w14:paraId="64195BAB" w14:textId="2DDC9EE4" w:rsidR="00EA0012" w:rsidRPr="00EA0012" w:rsidRDefault="00EA0012" w:rsidP="0095254D">
      <w:pPr>
        <w:spacing w:before="120"/>
        <w:rPr>
          <w:rFonts w:eastAsia="Times"/>
          <w:szCs w:val="21"/>
        </w:rPr>
      </w:pPr>
      <w:r w:rsidRPr="00EA0012">
        <w:rPr>
          <w:rFonts w:eastAsia="Times"/>
          <w:szCs w:val="21"/>
        </w:rPr>
        <w:t>In this regard, international research suggests that reporting sextortion should prompt the types of support, and mirror best practice reporting mechanisms, relevant to other forms of sexual abuse.</w:t>
      </w:r>
      <w:r w:rsidR="00E92385">
        <w:rPr>
          <w:rStyle w:val="FootnoteReference"/>
          <w:rFonts w:eastAsia="Times"/>
          <w:szCs w:val="21"/>
        </w:rPr>
        <w:footnoteReference w:id="26"/>
      </w:r>
      <w:r w:rsidRPr="00EA0012">
        <w:rPr>
          <w:rFonts w:eastAsia="Times"/>
          <w:szCs w:val="21"/>
        </w:rPr>
        <w:t xml:space="preserve"> For example, in handling a complaint or undertaking an investigation in relation to sextortion, the IBAC should be required to consider and address barriers to reporting experienced due to intersecting inequalities based on Aboriginality, ethnicity, sexual orientation, gender identity, disability and age. </w:t>
      </w:r>
    </w:p>
    <w:p w14:paraId="3BDE9759" w14:textId="2118F06C" w:rsidR="00EA0012" w:rsidRPr="00EA0012" w:rsidRDefault="00EA0012" w:rsidP="0095254D">
      <w:pPr>
        <w:pStyle w:val="Heading1"/>
        <w:numPr>
          <w:ilvl w:val="0"/>
          <w:numId w:val="12"/>
        </w:numPr>
        <w:spacing w:line="280" w:lineRule="atLeast"/>
      </w:pPr>
      <w:bookmarkStart w:id="10" w:name="_Toc202965317"/>
      <w:r w:rsidRPr="00EA0012">
        <w:t>Conclusion</w:t>
      </w:r>
      <w:bookmarkEnd w:id="10"/>
    </w:p>
    <w:p w14:paraId="6560FE35" w14:textId="71B3B5FD" w:rsidR="00EA0012" w:rsidRPr="00EA0012" w:rsidRDefault="00EA0012" w:rsidP="0095254D">
      <w:pPr>
        <w:spacing w:before="120"/>
        <w:rPr>
          <w:rFonts w:eastAsia="Times"/>
          <w:szCs w:val="21"/>
        </w:rPr>
      </w:pPr>
      <w:r w:rsidRPr="00EA0012">
        <w:rPr>
          <w:rFonts w:eastAsia="Times"/>
          <w:szCs w:val="21"/>
        </w:rPr>
        <w:t>A legislative framework that is blind to gendered power dynamics cannot adequately identify and address the full spectrum of corrupt conduct that exists in the Victorian public sector, nor can it ensure that the IBAC’s reporting and investigation processes are safe and accessible for all Victorians, regardless of their gender. As the International Bar Association has suggested:</w:t>
      </w:r>
    </w:p>
    <w:p w14:paraId="55051F07" w14:textId="2022CC9D" w:rsidR="00EA0012" w:rsidRPr="00EA0012" w:rsidRDefault="00EA0012" w:rsidP="005B1C76">
      <w:pPr>
        <w:spacing w:before="120"/>
        <w:ind w:left="720"/>
        <w:rPr>
          <w:rFonts w:eastAsia="Times"/>
          <w:szCs w:val="21"/>
        </w:rPr>
      </w:pPr>
      <w:r w:rsidRPr="00891A83">
        <w:rPr>
          <w:rFonts w:eastAsia="Times"/>
          <w:color w:val="287E84"/>
          <w:sz w:val="22"/>
          <w:szCs w:val="18"/>
        </w:rPr>
        <w:t>When gender is not part of the discussion, we do not ask the right questions, gather the correct information or even see the true nature and scope of the impact corruption has on everyday lives. Nor can we develop effective strategies for combating corruption when we are operating with flawed or incomplete information</w:t>
      </w:r>
      <w:r w:rsidRPr="00EA0012">
        <w:rPr>
          <w:rFonts w:eastAsia="Times"/>
          <w:szCs w:val="21"/>
        </w:rPr>
        <w:t>.</w:t>
      </w:r>
      <w:r w:rsidR="005B1C76">
        <w:rPr>
          <w:rStyle w:val="FootnoteReference"/>
          <w:rFonts w:eastAsia="Times"/>
          <w:szCs w:val="21"/>
        </w:rPr>
        <w:footnoteReference w:id="27"/>
      </w:r>
      <w:r w:rsidRPr="00EA0012">
        <w:rPr>
          <w:rFonts w:eastAsia="Times"/>
          <w:szCs w:val="21"/>
        </w:rPr>
        <w:t xml:space="preserve"> </w:t>
      </w:r>
    </w:p>
    <w:p w14:paraId="5DC74B36" w14:textId="77777777" w:rsidR="00667951" w:rsidRDefault="00EA0012" w:rsidP="0095254D">
      <w:pPr>
        <w:spacing w:before="120"/>
        <w:rPr>
          <w:rFonts w:eastAsia="Times"/>
          <w:szCs w:val="21"/>
        </w:rPr>
      </w:pPr>
      <w:r w:rsidRPr="00EA0012">
        <w:rPr>
          <w:rFonts w:eastAsia="Times"/>
          <w:szCs w:val="21"/>
        </w:rPr>
        <w:lastRenderedPageBreak/>
        <w:t xml:space="preserve">I would like to acknowledge the work of Monique Failla, Senior Policy Adviser at the Commission for her work in preparing the advice provided in this letter. </w:t>
      </w:r>
    </w:p>
    <w:p w14:paraId="40843F56" w14:textId="68D8BC93" w:rsidR="00EA0012" w:rsidRPr="00EA0012" w:rsidRDefault="00EA0012" w:rsidP="0095254D">
      <w:pPr>
        <w:spacing w:before="120"/>
        <w:rPr>
          <w:rFonts w:eastAsia="Times"/>
          <w:szCs w:val="21"/>
        </w:rPr>
      </w:pPr>
      <w:r w:rsidRPr="00EA0012">
        <w:rPr>
          <w:rFonts w:eastAsia="Times"/>
          <w:szCs w:val="21"/>
        </w:rPr>
        <w:t xml:space="preserve">In the first instance please contact Monique if the Commission requires any further assistance (monique.failla@genderequalitycommission.vic.gov.au). </w:t>
      </w:r>
    </w:p>
    <w:p w14:paraId="2C7EA062" w14:textId="77777777" w:rsidR="00EA0012" w:rsidRPr="00EA0012" w:rsidRDefault="00EA0012" w:rsidP="0095254D">
      <w:pPr>
        <w:spacing w:before="120"/>
        <w:rPr>
          <w:rFonts w:eastAsia="Times"/>
          <w:szCs w:val="21"/>
        </w:rPr>
      </w:pPr>
    </w:p>
    <w:p w14:paraId="10DB96C9" w14:textId="7C015125" w:rsidR="00EA0012" w:rsidRPr="00EA0012" w:rsidRDefault="00EA0012" w:rsidP="1F1491E4">
      <w:pPr>
        <w:spacing w:before="120"/>
        <w:rPr>
          <w:rFonts w:eastAsia="Times"/>
        </w:rPr>
      </w:pPr>
      <w:r w:rsidRPr="1F1491E4">
        <w:rPr>
          <w:rFonts w:eastAsia="Times"/>
        </w:rPr>
        <w:t>Yours sincerely</w:t>
      </w:r>
    </w:p>
    <w:p w14:paraId="3EF1E00E" w14:textId="15122C25" w:rsidR="1F1491E4" w:rsidRDefault="1F1491E4" w:rsidP="1F1491E4">
      <w:pPr>
        <w:spacing w:before="120"/>
        <w:rPr>
          <w:rFonts w:eastAsia="Times"/>
        </w:rPr>
      </w:pPr>
    </w:p>
    <w:p w14:paraId="547FC0D2" w14:textId="77777777" w:rsidR="00EA0012" w:rsidRDefault="00EA0012" w:rsidP="0095254D">
      <w:pPr>
        <w:spacing w:before="120"/>
        <w:rPr>
          <w:rFonts w:eastAsia="Times"/>
          <w:szCs w:val="21"/>
        </w:rPr>
      </w:pPr>
    </w:p>
    <w:p w14:paraId="4FDA5F43" w14:textId="77777777" w:rsidR="005E2F03" w:rsidRPr="00EA0012" w:rsidRDefault="005E2F03" w:rsidP="0095254D">
      <w:pPr>
        <w:spacing w:before="120"/>
        <w:rPr>
          <w:rFonts w:eastAsia="Times"/>
          <w:szCs w:val="21"/>
        </w:rPr>
      </w:pPr>
    </w:p>
    <w:p w14:paraId="441528D5" w14:textId="77777777" w:rsidR="00EA0012" w:rsidRPr="005E2F03" w:rsidRDefault="00EA0012" w:rsidP="0095254D">
      <w:pPr>
        <w:spacing w:before="120"/>
        <w:rPr>
          <w:rFonts w:eastAsia="Times"/>
          <w:b/>
          <w:bCs/>
          <w:szCs w:val="21"/>
        </w:rPr>
      </w:pPr>
      <w:r w:rsidRPr="005E2F03">
        <w:rPr>
          <w:rFonts w:eastAsia="Times"/>
          <w:b/>
          <w:bCs/>
          <w:szCs w:val="21"/>
        </w:rPr>
        <w:t>Dr. Niki Vincent</w:t>
      </w:r>
    </w:p>
    <w:p w14:paraId="3CE73D82" w14:textId="56BAB79F" w:rsidR="00F066CE" w:rsidRDefault="00EA0012" w:rsidP="1F1491E4">
      <w:pPr>
        <w:spacing w:before="120"/>
        <w:rPr>
          <w:rFonts w:eastAsia="Times"/>
        </w:rPr>
      </w:pPr>
      <w:r w:rsidRPr="1F1491E4">
        <w:rPr>
          <w:rFonts w:eastAsia="Times"/>
        </w:rPr>
        <w:t>Public Sector Gender Equality Commissioner</w:t>
      </w:r>
    </w:p>
    <w:p w14:paraId="4ED625EB" w14:textId="77777777" w:rsidR="00F066CE" w:rsidRDefault="00F066CE" w:rsidP="00E46B7F">
      <w:pPr>
        <w:spacing w:before="120"/>
        <w:rPr>
          <w:rFonts w:eastAsia="Times"/>
          <w:szCs w:val="21"/>
        </w:rPr>
      </w:pPr>
    </w:p>
    <w:p w14:paraId="36D5F6B0" w14:textId="77777777" w:rsidR="00F066CE" w:rsidRDefault="00F066CE" w:rsidP="00E46B7F">
      <w:pPr>
        <w:spacing w:before="120"/>
        <w:rPr>
          <w:rFonts w:eastAsia="Times"/>
          <w:szCs w:val="21"/>
        </w:rPr>
      </w:pPr>
    </w:p>
    <w:p w14:paraId="5A11F83D" w14:textId="77777777" w:rsidR="00F066CE" w:rsidRPr="00E153AC" w:rsidRDefault="00F066CE" w:rsidP="00E46B7F">
      <w:pPr>
        <w:spacing w:before="120"/>
        <w:rPr>
          <w:rFonts w:eastAsia="Times"/>
          <w:szCs w:val="21"/>
        </w:rPr>
      </w:pPr>
    </w:p>
    <w:p w14:paraId="116B193F" w14:textId="77777777" w:rsidR="00091E22" w:rsidRDefault="00091E22" w:rsidP="00C46CC8">
      <w:pPr>
        <w:spacing w:before="120" w:line="240" w:lineRule="auto"/>
        <w:rPr>
          <w:rFonts w:eastAsia="Times"/>
          <w:sz w:val="24"/>
          <w:szCs w:val="19"/>
        </w:rPr>
      </w:pPr>
    </w:p>
    <w:p w14:paraId="7EEEEFDD" w14:textId="77777777" w:rsidR="00E92385" w:rsidRDefault="00E92385" w:rsidP="00C46CC8">
      <w:pPr>
        <w:spacing w:before="120" w:line="240" w:lineRule="auto"/>
        <w:rPr>
          <w:rFonts w:eastAsia="Times"/>
          <w:sz w:val="24"/>
          <w:szCs w:val="19"/>
        </w:rPr>
      </w:pPr>
    </w:p>
    <w:p w14:paraId="34FC532D" w14:textId="77777777" w:rsidR="00E92385" w:rsidRDefault="00E92385" w:rsidP="00C46CC8">
      <w:pPr>
        <w:spacing w:before="120" w:line="240" w:lineRule="auto"/>
        <w:rPr>
          <w:rFonts w:eastAsia="Times"/>
          <w:sz w:val="24"/>
          <w:szCs w:val="19"/>
        </w:rPr>
      </w:pPr>
    </w:p>
    <w:p w14:paraId="2685EFE2" w14:textId="77777777" w:rsidR="00E92385" w:rsidRDefault="00E92385" w:rsidP="00C46CC8">
      <w:pPr>
        <w:spacing w:before="120" w:line="240" w:lineRule="auto"/>
        <w:rPr>
          <w:rFonts w:eastAsia="Times"/>
          <w:sz w:val="24"/>
          <w:szCs w:val="19"/>
        </w:rPr>
      </w:pPr>
    </w:p>
    <w:p w14:paraId="5A20460B" w14:textId="77777777" w:rsidR="00E92385" w:rsidRDefault="00E92385" w:rsidP="00C46CC8">
      <w:pPr>
        <w:spacing w:before="120" w:line="240" w:lineRule="auto"/>
        <w:rPr>
          <w:rFonts w:eastAsia="Times"/>
          <w:sz w:val="24"/>
          <w:szCs w:val="19"/>
        </w:rPr>
      </w:pPr>
    </w:p>
    <w:p w14:paraId="68F3A988" w14:textId="77777777" w:rsidR="00E92385" w:rsidRDefault="00E92385" w:rsidP="00C46CC8">
      <w:pPr>
        <w:spacing w:before="120" w:line="240" w:lineRule="auto"/>
        <w:rPr>
          <w:rFonts w:eastAsia="Times"/>
          <w:sz w:val="24"/>
          <w:szCs w:val="19"/>
        </w:rPr>
      </w:pPr>
    </w:p>
    <w:p w14:paraId="48BFCE62" w14:textId="77777777" w:rsidR="00E92385" w:rsidRDefault="00E92385" w:rsidP="00C46CC8">
      <w:pPr>
        <w:spacing w:before="120" w:line="240" w:lineRule="auto"/>
        <w:rPr>
          <w:rFonts w:eastAsia="Times"/>
          <w:sz w:val="24"/>
          <w:szCs w:val="19"/>
        </w:rPr>
      </w:pPr>
    </w:p>
    <w:p w14:paraId="77767476" w14:textId="77777777" w:rsidR="00E92385" w:rsidRDefault="00E92385" w:rsidP="00C46CC8">
      <w:pPr>
        <w:spacing w:before="120" w:line="240" w:lineRule="auto"/>
        <w:rPr>
          <w:rFonts w:eastAsia="Times"/>
          <w:sz w:val="24"/>
          <w:szCs w:val="19"/>
        </w:rPr>
      </w:pPr>
    </w:p>
    <w:p w14:paraId="3528FBCC" w14:textId="77777777" w:rsidR="00E92385" w:rsidRDefault="00E92385" w:rsidP="00C46CC8">
      <w:pPr>
        <w:spacing w:before="120" w:line="240" w:lineRule="auto"/>
        <w:rPr>
          <w:rFonts w:eastAsia="Times"/>
          <w:sz w:val="24"/>
          <w:szCs w:val="19"/>
        </w:rPr>
      </w:pPr>
    </w:p>
    <w:p w14:paraId="60278D23" w14:textId="77777777" w:rsidR="00CB4254" w:rsidRDefault="00CB4254" w:rsidP="00C46CC8">
      <w:pPr>
        <w:spacing w:before="120" w:line="240" w:lineRule="auto"/>
        <w:rPr>
          <w:rFonts w:eastAsia="Times"/>
          <w:sz w:val="24"/>
          <w:szCs w:val="19"/>
        </w:rPr>
      </w:pPr>
    </w:p>
    <w:p w14:paraId="05D8C159" w14:textId="77777777" w:rsidR="00CB4254" w:rsidRDefault="00CB4254" w:rsidP="00C46CC8">
      <w:pPr>
        <w:spacing w:before="120" w:line="240" w:lineRule="auto"/>
        <w:rPr>
          <w:rFonts w:eastAsia="Times"/>
          <w:sz w:val="24"/>
          <w:szCs w:val="19"/>
        </w:rPr>
      </w:pPr>
    </w:p>
    <w:p w14:paraId="6D19AB14" w14:textId="77777777" w:rsidR="00CB4254" w:rsidRDefault="00CB4254" w:rsidP="00C46CC8">
      <w:pPr>
        <w:spacing w:before="120" w:line="240" w:lineRule="auto"/>
        <w:rPr>
          <w:rFonts w:eastAsia="Times"/>
          <w:sz w:val="24"/>
          <w:szCs w:val="19"/>
        </w:rPr>
      </w:pPr>
    </w:p>
    <w:p w14:paraId="7C43ABFB" w14:textId="77777777" w:rsidR="00CB4254" w:rsidRDefault="00CB4254" w:rsidP="00C46CC8">
      <w:pPr>
        <w:spacing w:before="120" w:line="240" w:lineRule="auto"/>
        <w:rPr>
          <w:rFonts w:eastAsia="Times"/>
          <w:sz w:val="24"/>
          <w:szCs w:val="19"/>
        </w:rPr>
      </w:pPr>
    </w:p>
    <w:p w14:paraId="1C71C506" w14:textId="77777777" w:rsidR="00CB4254" w:rsidRDefault="00CB4254" w:rsidP="00C46CC8">
      <w:pPr>
        <w:spacing w:before="120" w:line="240" w:lineRule="auto"/>
        <w:rPr>
          <w:rFonts w:eastAsia="Times"/>
          <w:sz w:val="24"/>
          <w:szCs w:val="19"/>
        </w:rPr>
      </w:pPr>
    </w:p>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7DD0" w14:textId="77777777" w:rsidR="00681935" w:rsidRDefault="00681935">
      <w:r>
        <w:separator/>
      </w:r>
    </w:p>
    <w:p w14:paraId="783D80FB" w14:textId="77777777" w:rsidR="00681935" w:rsidRDefault="00681935"/>
  </w:endnote>
  <w:endnote w:type="continuationSeparator" w:id="0">
    <w:p w14:paraId="4EA1DBC7" w14:textId="77777777" w:rsidR="00681935" w:rsidRDefault="00681935">
      <w:r>
        <w:continuationSeparator/>
      </w:r>
    </w:p>
    <w:p w14:paraId="32794DA4" w14:textId="77777777" w:rsidR="00681935" w:rsidRDefault="00681935"/>
  </w:endnote>
  <w:endnote w:type="continuationNotice" w:id="1">
    <w:p w14:paraId="25FA3F91" w14:textId="77777777" w:rsidR="00681935" w:rsidRDefault="00681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C25" w14:textId="783CD13B" w:rsidR="001159FE" w:rsidRDefault="009B3493">
    <w:pPr>
      <w:pStyle w:val="Footer"/>
    </w:pPr>
    <w:r w:rsidRPr="00A964EC">
      <w:rPr>
        <w:rFonts w:ascii="VIC Medium" w:hAnsi="VIC Medium"/>
        <w:noProof/>
      </w:rPr>
      <w:drawing>
        <wp:anchor distT="0" distB="0" distL="114300" distR="114300" simplePos="0" relativeHeight="251658243" behindDoc="0" locked="0" layoutInCell="1" allowOverlap="1" wp14:anchorId="5415C2FA" wp14:editId="4BC637C0">
          <wp:simplePos x="0" y="0"/>
          <wp:positionH relativeFrom="column">
            <wp:posOffset>83127</wp:posOffset>
          </wp:positionH>
          <wp:positionV relativeFrom="paragraph">
            <wp:posOffset>-240995</wp:posOffset>
          </wp:positionV>
          <wp:extent cx="2073275" cy="359410"/>
          <wp:effectExtent l="0" t="0" r="3175" b="2540"/>
          <wp:wrapNone/>
          <wp:docPr id="41442014" name="Picture 11" descr="Commission for Gender Equality in the Public Sector">
            <a:extLst xmlns:a="http://schemas.openxmlformats.org/drawingml/2006/main">
              <a:ext uri="{FF2B5EF4-FFF2-40B4-BE49-F238E27FC236}">
                <a16:creationId xmlns:a16="http://schemas.microsoft.com/office/drawing/2014/main" id="{2A3339B6-50FA-4BC5-9E25-2FDAAF813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Commission for Gender Equality in the Public Sector">
                    <a:extLst>
                      <a:ext uri="{FF2B5EF4-FFF2-40B4-BE49-F238E27FC236}">
                        <a16:creationId xmlns:a16="http://schemas.microsoft.com/office/drawing/2014/main" id="{2A3339B6-50FA-4BC5-9E25-2FDAAF813AB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3275" cy="359410"/>
                  </a:xfrm>
                  <a:prstGeom prst="rect">
                    <a:avLst/>
                  </a:prstGeom>
                </pic:spPr>
              </pic:pic>
            </a:graphicData>
          </a:graphic>
        </wp:anchor>
      </w:drawing>
    </w:r>
    <w:r w:rsidRPr="00A964EC">
      <w:rPr>
        <w:rFonts w:ascii="VIC Medium" w:hAnsi="VIC Medium"/>
        <w:noProof/>
      </w:rPr>
      <w:drawing>
        <wp:anchor distT="0" distB="0" distL="114300" distR="114300" simplePos="0" relativeHeight="251658244" behindDoc="0" locked="0" layoutInCell="1" allowOverlap="1" wp14:anchorId="2FC1C5B8" wp14:editId="58827BA0">
          <wp:simplePos x="0" y="0"/>
          <wp:positionH relativeFrom="column">
            <wp:posOffset>5648903</wp:posOffset>
          </wp:positionH>
          <wp:positionV relativeFrom="paragraph">
            <wp:posOffset>-285968</wp:posOffset>
          </wp:positionV>
          <wp:extent cx="792480" cy="453390"/>
          <wp:effectExtent l="0" t="0" r="7620" b="3810"/>
          <wp:wrapNone/>
          <wp:docPr id="253715333" name="Picture 9" descr="Victoria State Government">
            <a:extLst xmlns:a="http://schemas.openxmlformats.org/drawingml/2006/main">
              <a:ext uri="{FF2B5EF4-FFF2-40B4-BE49-F238E27FC236}">
                <a16:creationId xmlns:a16="http://schemas.microsoft.com/office/drawing/2014/main" id="{062AE031-A7B9-44AA-9D02-D85723C90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37124" name="Picture 9" descr="Victoria State Government">
                    <a:extLst>
                      <a:ext uri="{FF2B5EF4-FFF2-40B4-BE49-F238E27FC236}">
                        <a16:creationId xmlns:a16="http://schemas.microsoft.com/office/drawing/2014/main" id="{062AE031-A7B9-44AA-9D02-D85723C9007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92480" cy="4533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2" behindDoc="0" locked="0" layoutInCell="0" allowOverlap="1" wp14:anchorId="36861015" wp14:editId="560D3EE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BF191EE"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F8CB" w14:textId="77777777" w:rsidR="00681935" w:rsidRDefault="00681935" w:rsidP="00207717">
      <w:pPr>
        <w:spacing w:before="120"/>
      </w:pPr>
      <w:r>
        <w:separator/>
      </w:r>
    </w:p>
  </w:footnote>
  <w:footnote w:type="continuationSeparator" w:id="0">
    <w:p w14:paraId="748EAC7F" w14:textId="77777777" w:rsidR="00681935" w:rsidRDefault="00681935">
      <w:r>
        <w:continuationSeparator/>
      </w:r>
    </w:p>
    <w:p w14:paraId="207C7C66" w14:textId="77777777" w:rsidR="00681935" w:rsidRDefault="00681935"/>
  </w:footnote>
  <w:footnote w:type="continuationNotice" w:id="1">
    <w:p w14:paraId="0C10B7A5" w14:textId="77777777" w:rsidR="00681935" w:rsidRDefault="00681935">
      <w:pPr>
        <w:spacing w:after="0" w:line="240" w:lineRule="auto"/>
      </w:pPr>
    </w:p>
  </w:footnote>
  <w:footnote w:id="2">
    <w:p w14:paraId="783CFFF9" w14:textId="77777777" w:rsidR="00050E0E" w:rsidRPr="00694BC1" w:rsidRDefault="00050E0E" w:rsidP="00050E0E">
      <w:pPr>
        <w:pStyle w:val="FootnoteText"/>
      </w:pPr>
      <w:r w:rsidRPr="00317109">
        <w:rPr>
          <w:rStyle w:val="FootnoteReference"/>
        </w:rPr>
        <w:footnoteRef/>
      </w:r>
      <w:r w:rsidRPr="00317109">
        <w:t xml:space="preserve"> Peiffer, C (2023), </w:t>
      </w:r>
      <w:hyperlink r:id="rId1" w:history="1">
        <w:r w:rsidRPr="00317109">
          <w:rPr>
            <w:rStyle w:val="Hyperlink"/>
          </w:rPr>
          <w:t>Corruption Through a Gendered Lens: Asia and the Pacific</w:t>
        </w:r>
      </w:hyperlink>
      <w:r w:rsidRPr="00317109">
        <w:t>, Transparency International; International Association of Women Judges</w:t>
      </w:r>
      <w:r>
        <w:t xml:space="preserve"> (IAWJ)</w:t>
      </w:r>
      <w:r w:rsidRPr="00317109">
        <w:t xml:space="preserve"> (2017), </w:t>
      </w:r>
      <w:hyperlink r:id="rId2" w:history="1">
        <w:r w:rsidRPr="00317109">
          <w:rPr>
            <w:rStyle w:val="Hyperlink"/>
          </w:rPr>
          <w:t>Combatting Sextortion: a Comparative Study of Laws to Prosecute Corruption Involving Sexual Exploitation</w:t>
        </w:r>
      </w:hyperlink>
      <w:r w:rsidRPr="00317109">
        <w:t>, Thomson Reuters Foundation</w:t>
      </w:r>
      <w:r>
        <w:t xml:space="preserve">; </w:t>
      </w:r>
      <w:r w:rsidRPr="00694BC1">
        <w:t xml:space="preserve">Peiffer, C (2025) </w:t>
      </w:r>
      <w:hyperlink r:id="rId3" w:history="1">
        <w:r w:rsidRPr="00C2785A">
          <w:rPr>
            <w:rStyle w:val="Hyperlink"/>
          </w:rPr>
          <w:t>Gendered Corruption: How Gender Norms Underpin Experiences of Corruption in Asian and Pacific Countries</w:t>
        </w:r>
      </w:hyperlink>
      <w:r w:rsidRPr="00694BC1">
        <w:t xml:space="preserve">, </w:t>
      </w:r>
      <w:r w:rsidRPr="00DF23A4">
        <w:rPr>
          <w:i/>
          <w:iCs/>
        </w:rPr>
        <w:t>Asia &amp; the Pacific Policy Studies</w:t>
      </w:r>
      <w:r w:rsidRPr="00694BC1">
        <w:t xml:space="preserve"> </w:t>
      </w:r>
      <w:r w:rsidRPr="00C2785A">
        <w:t>12</w:t>
      </w:r>
      <w:r>
        <w:t>(</w:t>
      </w:r>
      <w:r w:rsidRPr="00694BC1">
        <w:t>e70010</w:t>
      </w:r>
      <w:r>
        <w:t>).</w:t>
      </w:r>
    </w:p>
  </w:footnote>
  <w:footnote w:id="3">
    <w:p w14:paraId="3D907FCA" w14:textId="77777777" w:rsidR="00F24C88" w:rsidRPr="00694BC1" w:rsidRDefault="00F24C88" w:rsidP="00F24C88">
      <w:pPr>
        <w:pStyle w:val="FootnoteText"/>
      </w:pPr>
      <w:r w:rsidRPr="00694BC1">
        <w:rPr>
          <w:rStyle w:val="FootnoteReference"/>
        </w:rPr>
        <w:footnoteRef/>
      </w:r>
      <w:r w:rsidRPr="00694BC1">
        <w:t xml:space="preserve"> Peiffer, C (2023), </w:t>
      </w:r>
      <w:r>
        <w:t>above n 1,</w:t>
      </w:r>
      <w:r w:rsidRPr="00694BC1">
        <w:t xml:space="preserve"> p 4</w:t>
      </w:r>
      <w:r>
        <w:t xml:space="preserve">; </w:t>
      </w:r>
      <w:r w:rsidRPr="0028048E">
        <w:t xml:space="preserve">Bicker </w:t>
      </w:r>
      <w:proofErr w:type="spellStart"/>
      <w:r w:rsidRPr="0028048E">
        <w:t>Caarten</w:t>
      </w:r>
      <w:proofErr w:type="spellEnd"/>
      <w:r w:rsidRPr="0028048E">
        <w:t xml:space="preserve">, A, van </w:t>
      </w:r>
      <w:proofErr w:type="spellStart"/>
      <w:r w:rsidRPr="0028048E">
        <w:t>Heugten</w:t>
      </w:r>
      <w:proofErr w:type="spellEnd"/>
      <w:r w:rsidRPr="0028048E">
        <w:t>,</w:t>
      </w:r>
      <w:r>
        <w:t xml:space="preserve"> L</w:t>
      </w:r>
      <w:r w:rsidRPr="0028048E">
        <w:t xml:space="preserve"> and Merkle</w:t>
      </w:r>
      <w:r>
        <w:t>, O (</w:t>
      </w:r>
      <w:r w:rsidRPr="0028048E">
        <w:t>2022</w:t>
      </w:r>
      <w:r>
        <w:t>)</w:t>
      </w:r>
      <w:r w:rsidRPr="0028048E">
        <w:t xml:space="preserve"> </w:t>
      </w:r>
      <w:hyperlink r:id="rId4" w:history="1">
        <w:r w:rsidRPr="006E4520">
          <w:rPr>
            <w:rStyle w:val="Hyperlink"/>
          </w:rPr>
          <w:t>The Intersection of Corruption and Gender-Based Violence: Examining the Gendered Experiences of Sextortion During Migration to South Africa</w:t>
        </w:r>
      </w:hyperlink>
      <w:r>
        <w:t>,</w:t>
      </w:r>
      <w:r w:rsidRPr="0028048E">
        <w:t xml:space="preserve"> </w:t>
      </w:r>
      <w:r w:rsidRPr="00FC5231">
        <w:rPr>
          <w:i/>
          <w:iCs/>
        </w:rPr>
        <w:t>African Journal of Reproductive Health</w:t>
      </w:r>
      <w:r w:rsidRPr="0028048E">
        <w:t xml:space="preserve"> 26(6)</w:t>
      </w:r>
      <w:r>
        <w:t>, pp</w:t>
      </w:r>
      <w:r w:rsidRPr="0028048E">
        <w:t xml:space="preserve"> 45–54</w:t>
      </w:r>
      <w:r>
        <w:t xml:space="preserve">; </w:t>
      </w:r>
      <w:proofErr w:type="spellStart"/>
      <w:r w:rsidRPr="003933AB">
        <w:t>Feigenblatt</w:t>
      </w:r>
      <w:proofErr w:type="spellEnd"/>
      <w:r w:rsidRPr="003933AB">
        <w:t>, H</w:t>
      </w:r>
      <w:r>
        <w:t xml:space="preserve"> </w:t>
      </w:r>
      <w:r w:rsidRPr="003933AB">
        <w:t xml:space="preserve">(2020) </w:t>
      </w:r>
      <w:hyperlink r:id="rId5" w:history="1">
        <w:r w:rsidRPr="00DB50AD">
          <w:rPr>
            <w:rStyle w:val="Hyperlink"/>
          </w:rPr>
          <w:t>Breaking the silence around sextortion: the links between power, sex and corruption</w:t>
        </w:r>
      </w:hyperlink>
      <w:r>
        <w:t>,</w:t>
      </w:r>
      <w:r w:rsidRPr="003933AB">
        <w:t xml:space="preserve"> Transparency International</w:t>
      </w:r>
      <w:r>
        <w:t xml:space="preserve">; </w:t>
      </w:r>
      <w:r w:rsidRPr="00FF4BC1">
        <w:t>Lindberg, H and Stensöta, H (2018)</w:t>
      </w:r>
      <w:r>
        <w:t xml:space="preserve"> ‘</w:t>
      </w:r>
      <w:r w:rsidRPr="00FF4BC1">
        <w:t xml:space="preserve">Corruption as exploitation: Feminist exchange theories and the link between </w:t>
      </w:r>
      <w:r>
        <w:t>G</w:t>
      </w:r>
      <w:r w:rsidRPr="00FF4BC1">
        <w:t xml:space="preserve">ender and </w:t>
      </w:r>
      <w:r>
        <w:t>C</w:t>
      </w:r>
      <w:r w:rsidRPr="00FF4BC1">
        <w:t>orruption</w:t>
      </w:r>
      <w:r>
        <w:t xml:space="preserve">’, pp 237 – 256, in </w:t>
      </w:r>
      <w:hyperlink r:id="rId6" w:history="1">
        <w:r w:rsidRPr="00CA5ACC">
          <w:rPr>
            <w:rStyle w:val="Hyperlink"/>
            <w:i/>
            <w:iCs/>
          </w:rPr>
          <w:t>Gender and Corruption: Historical Roots and New Avenues for Research</w:t>
        </w:r>
      </w:hyperlink>
      <w:r>
        <w:t xml:space="preserve">, Springer Nature, Switzerland.   </w:t>
      </w:r>
    </w:p>
  </w:footnote>
  <w:footnote w:id="4">
    <w:p w14:paraId="21DC9587" w14:textId="77777777" w:rsidR="00050E0E" w:rsidRPr="00694BC1" w:rsidRDefault="00050E0E" w:rsidP="00050E0E">
      <w:pPr>
        <w:pStyle w:val="FootnoteText"/>
      </w:pPr>
      <w:r w:rsidRPr="00694BC1">
        <w:rPr>
          <w:rStyle w:val="FootnoteReference"/>
        </w:rPr>
        <w:footnoteRef/>
      </w:r>
      <w:r w:rsidRPr="00694BC1">
        <w:t xml:space="preserve"> </w:t>
      </w:r>
      <w:r>
        <w:rPr>
          <w:szCs w:val="22"/>
        </w:rPr>
        <w:t xml:space="preserve">Sextortion has been defined in the following terms: </w:t>
      </w:r>
      <w:r w:rsidRPr="009C5AFF">
        <w:rPr>
          <w:szCs w:val="22"/>
        </w:rPr>
        <w:t>‘[A] form of sexual exploitation and corruption that occurs when people in positions of authority whether government officials, judges, educators, law enforcement personnel, or employers seek to extort sexual favours in exchange for something within their power to grant or withhold. In effect, sextortion is a form of corruption in which sex, rather than money, is the currency of the bribe.</w:t>
      </w:r>
      <w:r>
        <w:rPr>
          <w:szCs w:val="22"/>
        </w:rPr>
        <w:t xml:space="preserve">’: </w:t>
      </w:r>
      <w:r w:rsidRPr="00FE53F1">
        <w:rPr>
          <w:szCs w:val="22"/>
        </w:rPr>
        <w:t>IAWJ</w:t>
      </w:r>
      <w:r>
        <w:rPr>
          <w:szCs w:val="22"/>
        </w:rPr>
        <w:t xml:space="preserve"> (2016)</w:t>
      </w:r>
      <w:r w:rsidRPr="00FE53F1">
        <w:rPr>
          <w:szCs w:val="22"/>
        </w:rPr>
        <w:t xml:space="preserve"> Twenty Five Years of Judging for Equality</w:t>
      </w:r>
      <w:r>
        <w:rPr>
          <w:szCs w:val="22"/>
        </w:rPr>
        <w:t>, p.</w:t>
      </w:r>
      <w:r w:rsidRPr="00FE53F1">
        <w:rPr>
          <w:szCs w:val="22"/>
        </w:rPr>
        <w:t xml:space="preserve"> 179</w:t>
      </w:r>
      <w:r>
        <w:rPr>
          <w:szCs w:val="22"/>
        </w:rPr>
        <w:t xml:space="preserve">; </w:t>
      </w:r>
      <w:r w:rsidRPr="00694BC1">
        <w:t xml:space="preserve">IAWJ (2012), </w:t>
      </w:r>
      <w:hyperlink r:id="rId7" w:history="1">
        <w:r w:rsidRPr="00063BB2">
          <w:rPr>
            <w:rStyle w:val="Hyperlink"/>
          </w:rPr>
          <w:t>Stopping the Abuse of Power through Sexual Exploitation: Naming, Shaming and Ending Sextortion (Toolkit)</w:t>
        </w:r>
      </w:hyperlink>
      <w:r>
        <w:t>, IAWJ.</w:t>
      </w:r>
      <w:r w:rsidRPr="00694BC1">
        <w:t xml:space="preserve"> </w:t>
      </w:r>
    </w:p>
  </w:footnote>
  <w:footnote w:id="5">
    <w:p w14:paraId="509145BB" w14:textId="5F29A6D2" w:rsidR="00B108E8" w:rsidRDefault="00B108E8">
      <w:pPr>
        <w:pStyle w:val="FootnoteText"/>
      </w:pPr>
      <w:r>
        <w:rPr>
          <w:rStyle w:val="FootnoteReference"/>
        </w:rPr>
        <w:footnoteRef/>
      </w:r>
      <w:r>
        <w:t xml:space="preserve"> </w:t>
      </w:r>
      <w:r w:rsidR="00B563F4" w:rsidRPr="00B563F4">
        <w:t>Davids, C and McMahon, M (2014) Police Misconduct as a Breach of Public Trust: The Offence of Misconduct in Public Office, Deakin Law Review 19(1), pp 89 – 121; IAWJ (2017) above n 1</w:t>
      </w:r>
      <w:r w:rsidR="00B563F4">
        <w:t>.</w:t>
      </w:r>
    </w:p>
  </w:footnote>
  <w:footnote w:id="6">
    <w:p w14:paraId="24A4AF63" w14:textId="1C155ED2" w:rsidR="00B563F4" w:rsidRDefault="00B563F4">
      <w:pPr>
        <w:pStyle w:val="FootnoteText"/>
      </w:pPr>
      <w:r>
        <w:rPr>
          <w:rStyle w:val="FootnoteReference"/>
        </w:rPr>
        <w:footnoteRef/>
      </w:r>
      <w:r>
        <w:t xml:space="preserve"> </w:t>
      </w:r>
      <w:r w:rsidR="00C26460" w:rsidRPr="00BE141A">
        <w:t>IAWJ (2017) above n 1.</w:t>
      </w:r>
    </w:p>
  </w:footnote>
  <w:footnote w:id="7">
    <w:p w14:paraId="13D412A4" w14:textId="17023196" w:rsidR="00B563F4" w:rsidRDefault="00B563F4">
      <w:pPr>
        <w:pStyle w:val="FootnoteText"/>
      </w:pPr>
      <w:r>
        <w:rPr>
          <w:rStyle w:val="FootnoteReference"/>
        </w:rPr>
        <w:footnoteRef/>
      </w:r>
      <w:r>
        <w:t xml:space="preserve"> </w:t>
      </w:r>
      <w:r w:rsidR="00CA0063" w:rsidRPr="00BE141A">
        <w:rPr>
          <w:szCs w:val="22"/>
        </w:rPr>
        <w:t>[CAP. 329 R.E. 2022].</w:t>
      </w:r>
    </w:p>
  </w:footnote>
  <w:footnote w:id="8">
    <w:p w14:paraId="10E96005" w14:textId="11307836" w:rsidR="00B563F4" w:rsidRDefault="00B563F4">
      <w:pPr>
        <w:pStyle w:val="FootnoteText"/>
      </w:pPr>
      <w:r>
        <w:rPr>
          <w:rStyle w:val="FootnoteReference"/>
        </w:rPr>
        <w:footnoteRef/>
      </w:r>
      <w:r>
        <w:t xml:space="preserve"> </w:t>
      </w:r>
      <w:r w:rsidR="00C40BDF" w:rsidRPr="00BE141A">
        <w:t xml:space="preserve">France, G (2022) </w:t>
      </w:r>
      <w:hyperlink r:id="rId8" w:history="1">
        <w:r w:rsidR="00C40BDF" w:rsidRPr="00BE141A">
          <w:rPr>
            <w:rStyle w:val="Hyperlink"/>
          </w:rPr>
          <w:t>Criminalising sextortion: challenges and alternatives</w:t>
        </w:r>
      </w:hyperlink>
      <w:r w:rsidR="00C40BDF" w:rsidRPr="00BE141A">
        <w:t xml:space="preserve">, Transparency International, pp 14-15; </w:t>
      </w:r>
      <w:proofErr w:type="spellStart"/>
      <w:r w:rsidR="00C40BDF" w:rsidRPr="00BE141A">
        <w:t>Feigenblatt</w:t>
      </w:r>
      <w:proofErr w:type="spellEnd"/>
      <w:r w:rsidR="00C40BDF" w:rsidRPr="00BE141A">
        <w:t>, H (2020), above n 2.</w:t>
      </w:r>
    </w:p>
  </w:footnote>
  <w:footnote w:id="9">
    <w:p w14:paraId="6F320F72" w14:textId="6CE324E5" w:rsidR="008524AC" w:rsidRDefault="008524AC">
      <w:pPr>
        <w:pStyle w:val="FootnoteText"/>
      </w:pPr>
      <w:r>
        <w:rPr>
          <w:rStyle w:val="FootnoteReference"/>
        </w:rPr>
        <w:footnoteRef/>
      </w:r>
      <w:r>
        <w:t xml:space="preserve"> </w:t>
      </w:r>
      <w:r w:rsidR="00C4446E" w:rsidRPr="00C4446E">
        <w:t>At present, the IBAC’s glossary for corruption and police misconduct allegations lists ‘committing sexual harassment or sexual offences’ under the ‘criminal behaviour, drugs and activities’ category. The ‘Extortion’ category is silent as to sextortion: IBAC, ‘Glossary for corruption and police misconduct allegations’ (web page), 17 June 2023</w:t>
      </w:r>
      <w:r w:rsidR="00C4446E">
        <w:t>.</w:t>
      </w:r>
    </w:p>
  </w:footnote>
  <w:footnote w:id="10">
    <w:p w14:paraId="12E3D352" w14:textId="29EB2D16" w:rsidR="00A72880" w:rsidRDefault="00A72880">
      <w:pPr>
        <w:pStyle w:val="FootnoteText"/>
      </w:pPr>
      <w:r>
        <w:rPr>
          <w:rStyle w:val="FootnoteReference"/>
        </w:rPr>
        <w:footnoteRef/>
      </w:r>
      <w:r>
        <w:t xml:space="preserve"> </w:t>
      </w:r>
      <w:r w:rsidR="005120B8" w:rsidRPr="00BE141A">
        <w:t xml:space="preserve">Pring, C and </w:t>
      </w:r>
      <w:proofErr w:type="spellStart"/>
      <w:r w:rsidR="005120B8" w:rsidRPr="00BE141A">
        <w:t>Vrushi</w:t>
      </w:r>
      <w:proofErr w:type="spellEnd"/>
      <w:r w:rsidR="005120B8" w:rsidRPr="00BE141A">
        <w:t xml:space="preserve">, J (2019) </w:t>
      </w:r>
      <w:hyperlink r:id="rId9" w:history="1">
        <w:r w:rsidR="005120B8" w:rsidRPr="00BE141A">
          <w:rPr>
            <w:rStyle w:val="Hyperlink"/>
          </w:rPr>
          <w:t>Global Corruption Barometer Latin America &amp; The Caribbean 2019: Citizens’ Views and Experiences of Corruption</w:t>
        </w:r>
      </w:hyperlink>
      <w:r w:rsidR="005120B8" w:rsidRPr="00BE141A">
        <w:t xml:space="preserve">, Transparency International; France, G (2022) above n 7; </w:t>
      </w:r>
      <w:proofErr w:type="spellStart"/>
      <w:r w:rsidR="005120B8" w:rsidRPr="00BE141A">
        <w:t>Feigenblatt</w:t>
      </w:r>
      <w:proofErr w:type="spellEnd"/>
      <w:r w:rsidR="005120B8" w:rsidRPr="00BE141A">
        <w:t>, H (2020) above n 2.</w:t>
      </w:r>
    </w:p>
  </w:footnote>
  <w:footnote w:id="11">
    <w:p w14:paraId="55A8D1BD" w14:textId="1589ADB6" w:rsidR="00A72880" w:rsidRDefault="00A72880">
      <w:pPr>
        <w:pStyle w:val="FootnoteText"/>
      </w:pPr>
      <w:r>
        <w:rPr>
          <w:rStyle w:val="FootnoteReference"/>
        </w:rPr>
        <w:footnoteRef/>
      </w:r>
      <w:r>
        <w:t xml:space="preserve"> </w:t>
      </w:r>
      <w:r w:rsidR="004F12F4" w:rsidRPr="00BE141A">
        <w:t xml:space="preserve">Carnegie, S (2019) </w:t>
      </w:r>
      <w:hyperlink r:id="rId10" w:history="1">
        <w:r w:rsidR="004F12F4" w:rsidRPr="004561ED">
          <w:rPr>
            <w:rStyle w:val="Hyperlink"/>
          </w:rPr>
          <w:t>Sextortion: A crime of corruption and sexual exploitation</w:t>
        </w:r>
      </w:hyperlink>
      <w:r w:rsidR="004F12F4" w:rsidRPr="00BE141A">
        <w:t>, International Bar Association.</w:t>
      </w:r>
    </w:p>
  </w:footnote>
  <w:footnote w:id="12">
    <w:p w14:paraId="56D6A7DB" w14:textId="4FDCD0E3" w:rsidR="00C40BDF" w:rsidRDefault="00C40BDF">
      <w:pPr>
        <w:pStyle w:val="FootnoteText"/>
      </w:pPr>
      <w:r>
        <w:rPr>
          <w:rStyle w:val="FootnoteReference"/>
        </w:rPr>
        <w:footnoteRef/>
      </w:r>
      <w:r>
        <w:t xml:space="preserve"> </w:t>
      </w:r>
      <w:r w:rsidR="00C902FF" w:rsidRPr="00BE141A">
        <w:t xml:space="preserve">IAWJ (2012) above n </w:t>
      </w:r>
      <w:r w:rsidR="00C902FF">
        <w:t>3</w:t>
      </w:r>
      <w:r w:rsidR="00C902FF" w:rsidRPr="00BE141A">
        <w:t>.</w:t>
      </w:r>
    </w:p>
  </w:footnote>
  <w:footnote w:id="13">
    <w:p w14:paraId="4919B290" w14:textId="05CAA33F" w:rsidR="00097928" w:rsidRDefault="00097928" w:rsidP="00097928">
      <w:pPr>
        <w:pStyle w:val="FootnoteText"/>
      </w:pPr>
      <w:r>
        <w:rPr>
          <w:rStyle w:val="FootnoteReference"/>
        </w:rPr>
        <w:footnoteRef/>
      </w:r>
      <w:r>
        <w:t xml:space="preserve"> </w:t>
      </w:r>
      <w:r w:rsidR="00412B3D" w:rsidRPr="00412B3D">
        <w:rPr>
          <w:i/>
          <w:iCs/>
        </w:rPr>
        <w:t>Integrity and Accountability Legislation Amendment (A Stronger System) Act 2016 </w:t>
      </w:r>
      <w:r w:rsidR="00412B3D" w:rsidRPr="00412B3D">
        <w:t>(Vic)</w:t>
      </w:r>
      <w:r w:rsidR="00412B3D">
        <w:t>.</w:t>
      </w:r>
    </w:p>
  </w:footnote>
  <w:footnote w:id="14">
    <w:p w14:paraId="40766B35" w14:textId="191545D3" w:rsidR="00097928" w:rsidRPr="0095254D" w:rsidRDefault="00097928" w:rsidP="00097928">
      <w:pPr>
        <w:pStyle w:val="FootnoteText"/>
        <w:rPr>
          <w:i/>
          <w:iCs/>
        </w:rPr>
      </w:pPr>
      <w:r w:rsidRPr="00EF3833">
        <w:rPr>
          <w:rStyle w:val="FootnoteReference"/>
        </w:rPr>
        <w:footnoteRef/>
      </w:r>
      <w:r w:rsidRPr="00EF3833">
        <w:t xml:space="preserve"> The IBAC Act, section 117. </w:t>
      </w:r>
      <w:proofErr w:type="gramStart"/>
      <w:r w:rsidRPr="00EF3833">
        <w:t xml:space="preserve">In particular, </w:t>
      </w:r>
      <w:r w:rsidRPr="00017265">
        <w:t>see</w:t>
      </w:r>
      <w:proofErr w:type="gramEnd"/>
      <w:r w:rsidRPr="00017265">
        <w:t xml:space="preserve"> </w:t>
      </w:r>
      <w:r w:rsidRPr="00EF3833">
        <w:rPr>
          <w:i/>
          <w:iCs/>
        </w:rPr>
        <w:t>Independent Commission Against Corruption</w:t>
      </w:r>
      <w:r w:rsidR="0095254D">
        <w:rPr>
          <w:i/>
          <w:iCs/>
        </w:rPr>
        <w:t xml:space="preserve"> </w:t>
      </w:r>
      <w:r w:rsidRPr="00EF3833">
        <w:rPr>
          <w:i/>
          <w:iCs/>
        </w:rPr>
        <w:t>Act 1988</w:t>
      </w:r>
      <w:r w:rsidRPr="00017265">
        <w:t xml:space="preserve"> (NSW), section 31; </w:t>
      </w:r>
      <w:r w:rsidRPr="00017265">
        <w:rPr>
          <w:i/>
          <w:iCs/>
        </w:rPr>
        <w:t xml:space="preserve">Crime Corruption and Misconduct Act 2003 </w:t>
      </w:r>
      <w:r w:rsidRPr="00EF3833">
        <w:t>(WA), section 140</w:t>
      </w:r>
      <w:r w:rsidR="0095254D">
        <w:t>.</w:t>
      </w:r>
    </w:p>
  </w:footnote>
  <w:footnote w:id="15">
    <w:p w14:paraId="19FBB170" w14:textId="6024600F" w:rsidR="00097928" w:rsidRPr="00EF3833" w:rsidRDefault="00097928" w:rsidP="00097928">
      <w:pPr>
        <w:pStyle w:val="FootnoteText"/>
      </w:pPr>
      <w:r w:rsidRPr="00EF3833">
        <w:rPr>
          <w:rStyle w:val="FootnoteReference"/>
        </w:rPr>
        <w:footnoteRef/>
      </w:r>
      <w:r w:rsidRPr="00EF3833">
        <w:t xml:space="preserve"> The IBAC Act, section 117(1)(c)</w:t>
      </w:r>
      <w:r w:rsidR="0095254D">
        <w:t>.</w:t>
      </w:r>
    </w:p>
  </w:footnote>
  <w:footnote w:id="16">
    <w:p w14:paraId="67D2DFB7" w14:textId="77777777" w:rsidR="00097928" w:rsidRPr="00EF3833" w:rsidRDefault="00097928" w:rsidP="00097928">
      <w:pPr>
        <w:pStyle w:val="FootnoteText"/>
      </w:pPr>
      <w:r w:rsidRPr="00EF3833">
        <w:rPr>
          <w:rStyle w:val="FootnoteReference"/>
        </w:rPr>
        <w:footnoteRef/>
      </w:r>
      <w:r w:rsidRPr="00EF3833">
        <w:t xml:space="preserve"> </w:t>
      </w:r>
      <w:r w:rsidRPr="00017265">
        <w:t>Feigenblatt, H (2020), above n 2.</w:t>
      </w:r>
    </w:p>
  </w:footnote>
  <w:footnote w:id="17">
    <w:p w14:paraId="7683DEF8" w14:textId="7D847CDC" w:rsidR="00B910EB" w:rsidRDefault="00B910EB">
      <w:pPr>
        <w:pStyle w:val="FootnoteText"/>
      </w:pPr>
      <w:r>
        <w:rPr>
          <w:rStyle w:val="FootnoteReference"/>
        </w:rPr>
        <w:footnoteRef/>
      </w:r>
      <w:r>
        <w:t xml:space="preserve"> </w:t>
      </w:r>
      <w:r w:rsidR="006B4107" w:rsidRPr="00EF3833">
        <w:t>The IBAC Act, section 42</w:t>
      </w:r>
      <w:r w:rsidR="006B4107" w:rsidRPr="00017265">
        <w:t>.</w:t>
      </w:r>
    </w:p>
  </w:footnote>
  <w:footnote w:id="18">
    <w:p w14:paraId="6B446CFB" w14:textId="2B967C08" w:rsidR="006B4107" w:rsidRDefault="006B4107">
      <w:pPr>
        <w:pStyle w:val="FootnoteText"/>
      </w:pPr>
      <w:r>
        <w:rPr>
          <w:rStyle w:val="FootnoteReference"/>
        </w:rPr>
        <w:footnoteRef/>
      </w:r>
      <w:r>
        <w:t xml:space="preserve"> </w:t>
      </w:r>
      <w:r w:rsidR="008C28B9" w:rsidRPr="00EF3833">
        <w:t xml:space="preserve">IBAC, </w:t>
      </w:r>
      <w:hyperlink r:id="rId11" w:history="1">
        <w:r w:rsidR="008C28B9" w:rsidRPr="00EF3833">
          <w:rPr>
            <w:rStyle w:val="Hyperlink"/>
          </w:rPr>
          <w:t>IBAC Insights (newsletter), Information misuse</w:t>
        </w:r>
      </w:hyperlink>
      <w:r w:rsidR="008C28B9" w:rsidRPr="00EF3833">
        <w:t>, 1 April 2025.</w:t>
      </w:r>
    </w:p>
  </w:footnote>
  <w:footnote w:id="19">
    <w:p w14:paraId="00696604" w14:textId="65670DE6" w:rsidR="008C28B9" w:rsidRDefault="008C28B9">
      <w:pPr>
        <w:pStyle w:val="FootnoteText"/>
      </w:pPr>
      <w:r>
        <w:rPr>
          <w:rStyle w:val="FootnoteReference"/>
        </w:rPr>
        <w:footnoteRef/>
      </w:r>
      <w:r>
        <w:t xml:space="preserve"> </w:t>
      </w:r>
      <w:r w:rsidR="00887A0D" w:rsidRPr="00EF3833">
        <w:t>Flat</w:t>
      </w:r>
      <w:r w:rsidR="00887A0D" w:rsidRPr="00017265">
        <w:t xml:space="preserve"> O</w:t>
      </w:r>
      <w:r w:rsidR="00887A0D" w:rsidRPr="00EF3833">
        <w:t>ut, Integrity and Oversight Committee’s review of the performance of Victorian integrity agencies in 2022/23:</w:t>
      </w:r>
      <w:r w:rsidR="00887A0D" w:rsidRPr="00017265">
        <w:t xml:space="preserve"> </w:t>
      </w:r>
      <w:hyperlink r:id="rId12" w:history="1">
        <w:r w:rsidR="00887A0D" w:rsidRPr="00017265">
          <w:rPr>
            <w:rStyle w:val="Hyperlink"/>
          </w:rPr>
          <w:t>Response to</w:t>
        </w:r>
        <w:r w:rsidR="00887A0D" w:rsidRPr="00EF3833">
          <w:rPr>
            <w:rStyle w:val="Hyperlink"/>
          </w:rPr>
          <w:t xml:space="preserve"> Questions on Notice</w:t>
        </w:r>
      </w:hyperlink>
      <w:r w:rsidR="00887A0D" w:rsidRPr="00EF3833">
        <w:t>, Public Hearing</w:t>
      </w:r>
      <w:r w:rsidR="00887A0D" w:rsidRPr="00017265">
        <w:t>,</w:t>
      </w:r>
      <w:r w:rsidR="00887A0D" w:rsidRPr="00EF3833">
        <w:t xml:space="preserve"> 25 November 2024</w:t>
      </w:r>
      <w:r w:rsidR="00887A0D" w:rsidRPr="00017265">
        <w:t>.</w:t>
      </w:r>
    </w:p>
  </w:footnote>
  <w:footnote w:id="20">
    <w:p w14:paraId="435BBACE" w14:textId="7251EA45" w:rsidR="00887A0D" w:rsidRDefault="00887A0D">
      <w:pPr>
        <w:pStyle w:val="FootnoteText"/>
      </w:pPr>
      <w:r>
        <w:rPr>
          <w:rStyle w:val="FootnoteReference"/>
        </w:rPr>
        <w:footnoteRef/>
      </w:r>
      <w:r>
        <w:t xml:space="preserve"> </w:t>
      </w:r>
      <w:r w:rsidR="00CF4565" w:rsidRPr="00EF3833">
        <w:t xml:space="preserve">IBAC, </w:t>
      </w:r>
      <w:hyperlink r:id="rId13" w:history="1">
        <w:r w:rsidR="00CF4565" w:rsidRPr="00EF3833">
          <w:rPr>
            <w:rStyle w:val="Hyperlink"/>
          </w:rPr>
          <w:t>Information privacy statement</w:t>
        </w:r>
      </w:hyperlink>
      <w:r w:rsidR="00CF4565" w:rsidRPr="00EF3833">
        <w:t xml:space="preserve"> (webpage).</w:t>
      </w:r>
    </w:p>
  </w:footnote>
  <w:footnote w:id="21">
    <w:p w14:paraId="7F86694E" w14:textId="5B9B35ED" w:rsidR="00CF4565" w:rsidRDefault="00CF4565">
      <w:pPr>
        <w:pStyle w:val="FootnoteText"/>
      </w:pPr>
      <w:r>
        <w:rPr>
          <w:rStyle w:val="FootnoteReference"/>
        </w:rPr>
        <w:footnoteRef/>
      </w:r>
      <w:r>
        <w:t xml:space="preserve"> </w:t>
      </w:r>
      <w:r w:rsidR="00421B8A" w:rsidRPr="00B70813">
        <w:t>Peiffer, C (2023) above n 1; Peiffer, C (2025) above n 1.</w:t>
      </w:r>
    </w:p>
  </w:footnote>
  <w:footnote w:id="22">
    <w:p w14:paraId="46358A49" w14:textId="7793A8FA" w:rsidR="00CF4565" w:rsidRDefault="00CF4565">
      <w:pPr>
        <w:pStyle w:val="FootnoteText"/>
      </w:pPr>
      <w:r>
        <w:rPr>
          <w:rStyle w:val="FootnoteReference"/>
        </w:rPr>
        <w:footnoteRef/>
      </w:r>
      <w:r>
        <w:t xml:space="preserve"> </w:t>
      </w:r>
      <w:r w:rsidR="0002387C" w:rsidRPr="00B70813">
        <w:t>Feigenblatt, H (2020) above n 2.</w:t>
      </w:r>
    </w:p>
  </w:footnote>
  <w:footnote w:id="23">
    <w:p w14:paraId="37573C50" w14:textId="64945EB9" w:rsidR="00CF4565" w:rsidRDefault="00CF4565">
      <w:pPr>
        <w:pStyle w:val="FootnoteText"/>
      </w:pPr>
      <w:r>
        <w:rPr>
          <w:rStyle w:val="FootnoteReference"/>
        </w:rPr>
        <w:footnoteRef/>
      </w:r>
      <w:r>
        <w:t xml:space="preserve"> </w:t>
      </w:r>
      <w:r w:rsidR="005542D9" w:rsidRPr="00B70813">
        <w:t>Peiffer, C (2023) above n 1.</w:t>
      </w:r>
    </w:p>
  </w:footnote>
  <w:footnote w:id="24">
    <w:p w14:paraId="61EAA13A" w14:textId="01ECFFE8" w:rsidR="00CF4565" w:rsidRDefault="00CF4565">
      <w:pPr>
        <w:pStyle w:val="FootnoteText"/>
      </w:pPr>
      <w:r>
        <w:rPr>
          <w:rStyle w:val="FootnoteReference"/>
        </w:rPr>
        <w:footnoteRef/>
      </w:r>
      <w:r>
        <w:t xml:space="preserve"> </w:t>
      </w:r>
      <w:r w:rsidR="002D0217" w:rsidRPr="00B70813">
        <w:t xml:space="preserve">Peiffer, C (2025) above n. 9; </w:t>
      </w:r>
      <w:proofErr w:type="spellStart"/>
      <w:r w:rsidR="002D0217" w:rsidRPr="00B70813">
        <w:rPr>
          <w:rStyle w:val="author"/>
          <w:color w:val="1C1D1E"/>
          <w:shd w:val="clear" w:color="auto" w:fill="FFFFFF"/>
        </w:rPr>
        <w:t>Bjarnegård</w:t>
      </w:r>
      <w:proofErr w:type="spellEnd"/>
      <w:r w:rsidR="002D0217" w:rsidRPr="00B70813">
        <w:rPr>
          <w:rStyle w:val="author"/>
          <w:color w:val="1C1D1E"/>
          <w:shd w:val="clear" w:color="auto" w:fill="FFFFFF"/>
        </w:rPr>
        <w:t>, E.</w:t>
      </w:r>
      <w:r w:rsidR="002D0217" w:rsidRPr="00B70813">
        <w:rPr>
          <w:color w:val="1C1D1E"/>
          <w:shd w:val="clear" w:color="auto" w:fill="FFFFFF"/>
        </w:rPr>
        <w:t xml:space="preserve"> et al (</w:t>
      </w:r>
      <w:r w:rsidR="002D0217" w:rsidRPr="00B70813">
        <w:rPr>
          <w:rStyle w:val="pubyear"/>
          <w:color w:val="1C1D1E"/>
          <w:shd w:val="clear" w:color="auto" w:fill="FFFFFF"/>
        </w:rPr>
        <w:t>2022</w:t>
      </w:r>
      <w:r w:rsidR="002D0217" w:rsidRPr="00B70813">
        <w:rPr>
          <w:color w:val="1C1D1E"/>
          <w:shd w:val="clear" w:color="auto" w:fill="FFFFFF"/>
        </w:rPr>
        <w:t>) ‘</w:t>
      </w:r>
      <w:r w:rsidR="002D0217" w:rsidRPr="00B70813">
        <w:rPr>
          <w:rStyle w:val="chaptertitle"/>
          <w:color w:val="1C1D1E"/>
          <w:shd w:val="clear" w:color="auto" w:fill="FFFFFF"/>
        </w:rPr>
        <w:t>Sextortion: Corruption Shaped by Gender Norms</w:t>
      </w:r>
      <w:r w:rsidR="002D0217" w:rsidRPr="00B70813">
        <w:rPr>
          <w:color w:val="1C1D1E"/>
          <w:shd w:val="clear" w:color="auto" w:fill="FFFFFF"/>
        </w:rPr>
        <w:t xml:space="preserve">’ in </w:t>
      </w:r>
      <w:proofErr w:type="spellStart"/>
      <w:r w:rsidR="002D0217" w:rsidRPr="00B70813">
        <w:rPr>
          <w:color w:val="1C1D1E"/>
          <w:shd w:val="clear" w:color="auto" w:fill="FFFFFF"/>
        </w:rPr>
        <w:t>Kubbe</w:t>
      </w:r>
      <w:proofErr w:type="spellEnd"/>
      <w:r w:rsidR="002D0217" w:rsidRPr="00B70813">
        <w:rPr>
          <w:color w:val="1C1D1E"/>
          <w:shd w:val="clear" w:color="auto" w:fill="FFFFFF"/>
        </w:rPr>
        <w:t>, I and Merkle, O (eds) </w:t>
      </w:r>
      <w:r w:rsidR="002D0217" w:rsidRPr="00B70813">
        <w:rPr>
          <w:rStyle w:val="booktitle"/>
          <w:i/>
          <w:iCs/>
          <w:color w:val="1C1D1E"/>
          <w:shd w:val="clear" w:color="auto" w:fill="FFFFFF"/>
        </w:rPr>
        <w:t>Norms, Gender and Corruption: Understanding the Nexus</w:t>
      </w:r>
      <w:r w:rsidR="002D0217" w:rsidRPr="00B70813">
        <w:rPr>
          <w:color w:val="1C1D1E"/>
          <w:shd w:val="clear" w:color="auto" w:fill="FFFFFF"/>
        </w:rPr>
        <w:t xml:space="preserve">, p </w:t>
      </w:r>
      <w:r w:rsidR="002D0217" w:rsidRPr="00B70813">
        <w:rPr>
          <w:rStyle w:val="pagefirst"/>
          <w:color w:val="1C1D1E"/>
          <w:shd w:val="clear" w:color="auto" w:fill="FFFFFF"/>
        </w:rPr>
        <w:t>252</w:t>
      </w:r>
      <w:r w:rsidR="002D0217" w:rsidRPr="00B70813">
        <w:rPr>
          <w:color w:val="1C1D1E"/>
          <w:shd w:val="clear" w:color="auto" w:fill="FFFFFF"/>
        </w:rPr>
        <w:t>.</w:t>
      </w:r>
    </w:p>
  </w:footnote>
  <w:footnote w:id="25">
    <w:p w14:paraId="7F15665E" w14:textId="6202A709" w:rsidR="00EA3555" w:rsidRDefault="00EA3555">
      <w:pPr>
        <w:pStyle w:val="FootnoteText"/>
      </w:pPr>
      <w:r>
        <w:rPr>
          <w:rStyle w:val="FootnoteReference"/>
        </w:rPr>
        <w:footnoteRef/>
      </w:r>
      <w:r>
        <w:t xml:space="preserve"> </w:t>
      </w:r>
      <w:r w:rsidR="00E92385" w:rsidRPr="00B70813">
        <w:t xml:space="preserve">Feigenblatt, H (2020) above n 2.  </w:t>
      </w:r>
    </w:p>
  </w:footnote>
  <w:footnote w:id="26">
    <w:p w14:paraId="03C86CFF" w14:textId="09F3A057" w:rsidR="00E92385" w:rsidRDefault="00E92385">
      <w:pPr>
        <w:pStyle w:val="FootnoteText"/>
      </w:pPr>
      <w:r>
        <w:rPr>
          <w:rStyle w:val="FootnoteReference"/>
        </w:rPr>
        <w:footnoteRef/>
      </w:r>
      <w:r>
        <w:t xml:space="preserve"> </w:t>
      </w:r>
      <w:r w:rsidR="005B1C76" w:rsidRPr="00B70813">
        <w:t>Peiffer, C (2023) above n 1.</w:t>
      </w:r>
    </w:p>
  </w:footnote>
  <w:footnote w:id="27">
    <w:p w14:paraId="7210566F" w14:textId="21273213" w:rsidR="005B1C76" w:rsidRDefault="005B1C76">
      <w:pPr>
        <w:pStyle w:val="FootnoteText"/>
      </w:pPr>
      <w:r>
        <w:rPr>
          <w:rStyle w:val="FootnoteReference"/>
        </w:rPr>
        <w:footnoteRef/>
      </w:r>
      <w:r>
        <w:t xml:space="preserve"> </w:t>
      </w:r>
      <w:r w:rsidR="00B46368" w:rsidRPr="00454994">
        <w:t>Carnegie, S (2019) above n 9, p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01AFDCBB" w:rsidR="00E261B3" w:rsidRPr="0051568D" w:rsidRDefault="00AB073C" w:rsidP="00E05026">
    <w:pPr>
      <w:pStyle w:val="Header"/>
    </w:pPr>
    <w:r w:rsidRPr="00AB073C">
      <w:t>Submission to the IOC Inquiry into the Adequacy of the Legislative Framework for the IBAC</w:t>
    </w:r>
    <w:r w:rsidR="00B14B5F">
      <w:ptab w:relativeTo="margin" w:alignment="right" w:leader="none"/>
    </w:r>
    <w:r w:rsidR="00B14B5F" w:rsidRPr="00DE6C85">
      <w:rPr>
        <w:bCs/>
      </w:rPr>
      <w:fldChar w:fldCharType="begin"/>
    </w:r>
    <w:r w:rsidR="00B14B5F" w:rsidRPr="00DE6C85">
      <w:rPr>
        <w:bCs/>
      </w:rPr>
      <w:instrText xml:space="preserve"> PAGE </w:instrText>
    </w:r>
    <w:r w:rsidR="00B14B5F" w:rsidRPr="00DE6C85">
      <w:rPr>
        <w:bCs/>
      </w:rPr>
      <w:fldChar w:fldCharType="separate"/>
    </w:r>
    <w:r w:rsidR="00B14B5F" w:rsidRPr="00DE6C85">
      <w:rPr>
        <w:bCs/>
      </w:rPr>
      <w:t>2</w:t>
    </w:r>
    <w:r w:rsidR="00B14B5F" w:rsidRPr="00DE6C85">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A10A987A"/>
    <w:numStyleLink w:val="ZZNumbersloweralpha"/>
  </w:abstractNum>
  <w:abstractNum w:abstractNumId="1" w15:restartNumberingAfterBreak="0">
    <w:nsid w:val="0B8D43DB"/>
    <w:multiLevelType w:val="multilevel"/>
    <w:tmpl w:val="B4525A8A"/>
    <w:numStyleLink w:val="ZZNumbersdigit"/>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1063ED5"/>
    <w:multiLevelType w:val="multilevel"/>
    <w:tmpl w:val="56A2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F0186"/>
    <w:multiLevelType w:val="hybridMultilevel"/>
    <w:tmpl w:val="24F2A4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F161D5"/>
    <w:multiLevelType w:val="hybridMultilevel"/>
    <w:tmpl w:val="C9740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FBF05C7"/>
    <w:multiLevelType w:val="multilevel"/>
    <w:tmpl w:val="BB76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266887">
    <w:abstractNumId w:val="3"/>
  </w:num>
  <w:num w:numId="2" w16cid:durableId="1736510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156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994873">
    <w:abstractNumId w:val="9"/>
  </w:num>
  <w:num w:numId="5" w16cid:durableId="2113083680">
    <w:abstractNumId w:val="8"/>
  </w:num>
  <w:num w:numId="6" w16cid:durableId="1212838369">
    <w:abstractNumId w:val="10"/>
  </w:num>
  <w:num w:numId="7" w16cid:durableId="1752003522">
    <w:abstractNumId w:val="4"/>
  </w:num>
  <w:num w:numId="8" w16cid:durableId="1319770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6567688">
    <w:abstractNumId w:val="2"/>
  </w:num>
  <w:num w:numId="10" w16cid:durableId="1128744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6097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5157468">
    <w:abstractNumId w:val="6"/>
  </w:num>
  <w:num w:numId="13" w16cid:durableId="553397345">
    <w:abstractNumId w:val="11"/>
  </w:num>
  <w:num w:numId="14" w16cid:durableId="1072390732">
    <w:abstractNumId w:val="5"/>
  </w:num>
  <w:num w:numId="15" w16cid:durableId="164535346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559"/>
    <w:rsid w:val="00002944"/>
    <w:rsid w:val="00002D68"/>
    <w:rsid w:val="00003403"/>
    <w:rsid w:val="00004475"/>
    <w:rsid w:val="00005347"/>
    <w:rsid w:val="000072B6"/>
    <w:rsid w:val="0001021B"/>
    <w:rsid w:val="000115CC"/>
    <w:rsid w:val="00011D89"/>
    <w:rsid w:val="00013927"/>
    <w:rsid w:val="000151E2"/>
    <w:rsid w:val="000154FD"/>
    <w:rsid w:val="00022271"/>
    <w:rsid w:val="0002285C"/>
    <w:rsid w:val="000235E8"/>
    <w:rsid w:val="0002387C"/>
    <w:rsid w:val="00024D89"/>
    <w:rsid w:val="000250B6"/>
    <w:rsid w:val="00033D81"/>
    <w:rsid w:val="00033EAD"/>
    <w:rsid w:val="00037366"/>
    <w:rsid w:val="00041BF0"/>
    <w:rsid w:val="00042C8A"/>
    <w:rsid w:val="000439C2"/>
    <w:rsid w:val="0004536B"/>
    <w:rsid w:val="0004553E"/>
    <w:rsid w:val="00046B68"/>
    <w:rsid w:val="00046F02"/>
    <w:rsid w:val="00050E0E"/>
    <w:rsid w:val="00050EA4"/>
    <w:rsid w:val="000527DD"/>
    <w:rsid w:val="00056DE1"/>
    <w:rsid w:val="000578B2"/>
    <w:rsid w:val="00060959"/>
    <w:rsid w:val="00060C8F"/>
    <w:rsid w:val="0006298A"/>
    <w:rsid w:val="000643BD"/>
    <w:rsid w:val="000663CD"/>
    <w:rsid w:val="000729B1"/>
    <w:rsid w:val="000730CB"/>
    <w:rsid w:val="000733FE"/>
    <w:rsid w:val="00074219"/>
    <w:rsid w:val="00074ED5"/>
    <w:rsid w:val="00081D88"/>
    <w:rsid w:val="00083BFA"/>
    <w:rsid w:val="0008508E"/>
    <w:rsid w:val="0008627A"/>
    <w:rsid w:val="00086557"/>
    <w:rsid w:val="00087951"/>
    <w:rsid w:val="0009050A"/>
    <w:rsid w:val="0009113B"/>
    <w:rsid w:val="00091E22"/>
    <w:rsid w:val="00093402"/>
    <w:rsid w:val="00093534"/>
    <w:rsid w:val="00094DA3"/>
    <w:rsid w:val="00096CD1"/>
    <w:rsid w:val="00097928"/>
    <w:rsid w:val="000A012C"/>
    <w:rsid w:val="000A0EB9"/>
    <w:rsid w:val="000A186C"/>
    <w:rsid w:val="000A1EA4"/>
    <w:rsid w:val="000A2476"/>
    <w:rsid w:val="000A2A61"/>
    <w:rsid w:val="000A641A"/>
    <w:rsid w:val="000A6BE9"/>
    <w:rsid w:val="000B2117"/>
    <w:rsid w:val="000B3EDB"/>
    <w:rsid w:val="000B543D"/>
    <w:rsid w:val="000B55F9"/>
    <w:rsid w:val="000B5BF7"/>
    <w:rsid w:val="000B6BC8"/>
    <w:rsid w:val="000B7FAE"/>
    <w:rsid w:val="000C0303"/>
    <w:rsid w:val="000C42EA"/>
    <w:rsid w:val="000C4546"/>
    <w:rsid w:val="000C7ED3"/>
    <w:rsid w:val="000D04B8"/>
    <w:rsid w:val="000D1242"/>
    <w:rsid w:val="000D26F4"/>
    <w:rsid w:val="000E0970"/>
    <w:rsid w:val="000E0E23"/>
    <w:rsid w:val="000E3CC7"/>
    <w:rsid w:val="000E6BD4"/>
    <w:rsid w:val="000E6D6D"/>
    <w:rsid w:val="000F1F1E"/>
    <w:rsid w:val="000F2259"/>
    <w:rsid w:val="000F2DDA"/>
    <w:rsid w:val="000F2EA0"/>
    <w:rsid w:val="000F5213"/>
    <w:rsid w:val="000F5232"/>
    <w:rsid w:val="00101001"/>
    <w:rsid w:val="00103276"/>
    <w:rsid w:val="0010392D"/>
    <w:rsid w:val="0010447F"/>
    <w:rsid w:val="00104FE3"/>
    <w:rsid w:val="00105291"/>
    <w:rsid w:val="0010714F"/>
    <w:rsid w:val="001120C5"/>
    <w:rsid w:val="00114633"/>
    <w:rsid w:val="001159FE"/>
    <w:rsid w:val="00120BD3"/>
    <w:rsid w:val="00122A59"/>
    <w:rsid w:val="00122FEA"/>
    <w:rsid w:val="001232BD"/>
    <w:rsid w:val="00124AA6"/>
    <w:rsid w:val="00124ED5"/>
    <w:rsid w:val="001276FA"/>
    <w:rsid w:val="00130735"/>
    <w:rsid w:val="00133945"/>
    <w:rsid w:val="00137A09"/>
    <w:rsid w:val="0014362B"/>
    <w:rsid w:val="001447B3"/>
    <w:rsid w:val="00144E6A"/>
    <w:rsid w:val="00145665"/>
    <w:rsid w:val="00152073"/>
    <w:rsid w:val="001533DE"/>
    <w:rsid w:val="00156598"/>
    <w:rsid w:val="0016037B"/>
    <w:rsid w:val="00161939"/>
    <w:rsid w:val="00161AA0"/>
    <w:rsid w:val="00161D2E"/>
    <w:rsid w:val="00161F3E"/>
    <w:rsid w:val="00162093"/>
    <w:rsid w:val="00162CA9"/>
    <w:rsid w:val="00165459"/>
    <w:rsid w:val="00165A57"/>
    <w:rsid w:val="001712C2"/>
    <w:rsid w:val="00172BAF"/>
    <w:rsid w:val="00174730"/>
    <w:rsid w:val="001756BE"/>
    <w:rsid w:val="0017674D"/>
    <w:rsid w:val="001771DD"/>
    <w:rsid w:val="00177995"/>
    <w:rsid w:val="00177A8C"/>
    <w:rsid w:val="00182BBE"/>
    <w:rsid w:val="00182BD3"/>
    <w:rsid w:val="001860E6"/>
    <w:rsid w:val="00186B33"/>
    <w:rsid w:val="00192F9D"/>
    <w:rsid w:val="00196EB8"/>
    <w:rsid w:val="00196EFB"/>
    <w:rsid w:val="001979FF"/>
    <w:rsid w:val="00197B17"/>
    <w:rsid w:val="001A1950"/>
    <w:rsid w:val="001A1C54"/>
    <w:rsid w:val="001A202A"/>
    <w:rsid w:val="001A3ACE"/>
    <w:rsid w:val="001B058F"/>
    <w:rsid w:val="001B6B96"/>
    <w:rsid w:val="001B6F92"/>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11F"/>
    <w:rsid w:val="001E7282"/>
    <w:rsid w:val="001F3202"/>
    <w:rsid w:val="001F3826"/>
    <w:rsid w:val="001F67B9"/>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48C"/>
    <w:rsid w:val="00242378"/>
    <w:rsid w:val="002432E1"/>
    <w:rsid w:val="00246207"/>
    <w:rsid w:val="00246C5E"/>
    <w:rsid w:val="00250960"/>
    <w:rsid w:val="00250D33"/>
    <w:rsid w:val="00250DC4"/>
    <w:rsid w:val="00251343"/>
    <w:rsid w:val="002519BD"/>
    <w:rsid w:val="00253026"/>
    <w:rsid w:val="002536A4"/>
    <w:rsid w:val="00254F58"/>
    <w:rsid w:val="00261B51"/>
    <w:rsid w:val="002620BC"/>
    <w:rsid w:val="00262802"/>
    <w:rsid w:val="00263A90"/>
    <w:rsid w:val="0026408B"/>
    <w:rsid w:val="0026686D"/>
    <w:rsid w:val="00267C3E"/>
    <w:rsid w:val="002709BB"/>
    <w:rsid w:val="0027131C"/>
    <w:rsid w:val="00273BAC"/>
    <w:rsid w:val="00274E7C"/>
    <w:rsid w:val="002763B3"/>
    <w:rsid w:val="002774F2"/>
    <w:rsid w:val="002802E3"/>
    <w:rsid w:val="00280C4B"/>
    <w:rsid w:val="0028213D"/>
    <w:rsid w:val="002862F1"/>
    <w:rsid w:val="00291373"/>
    <w:rsid w:val="002932B9"/>
    <w:rsid w:val="0029597D"/>
    <w:rsid w:val="002962C3"/>
    <w:rsid w:val="0029752B"/>
    <w:rsid w:val="002A0A9C"/>
    <w:rsid w:val="002A114A"/>
    <w:rsid w:val="002A18F7"/>
    <w:rsid w:val="002A483C"/>
    <w:rsid w:val="002B0C7C"/>
    <w:rsid w:val="002B1729"/>
    <w:rsid w:val="002B36C7"/>
    <w:rsid w:val="002B3EE1"/>
    <w:rsid w:val="002B4DD4"/>
    <w:rsid w:val="002B5277"/>
    <w:rsid w:val="002B5375"/>
    <w:rsid w:val="002B6DE8"/>
    <w:rsid w:val="002B7167"/>
    <w:rsid w:val="002B77C1"/>
    <w:rsid w:val="002C0ED7"/>
    <w:rsid w:val="002C2728"/>
    <w:rsid w:val="002C51B4"/>
    <w:rsid w:val="002C5A49"/>
    <w:rsid w:val="002C5ECB"/>
    <w:rsid w:val="002D0217"/>
    <w:rsid w:val="002D1802"/>
    <w:rsid w:val="002D1E0D"/>
    <w:rsid w:val="002D3DDD"/>
    <w:rsid w:val="002D5006"/>
    <w:rsid w:val="002D6CF2"/>
    <w:rsid w:val="002E011A"/>
    <w:rsid w:val="002E01D0"/>
    <w:rsid w:val="002E161D"/>
    <w:rsid w:val="002E3100"/>
    <w:rsid w:val="002E446D"/>
    <w:rsid w:val="002E52AD"/>
    <w:rsid w:val="002E6C95"/>
    <w:rsid w:val="002E7C36"/>
    <w:rsid w:val="002F3ADF"/>
    <w:rsid w:val="002F3D32"/>
    <w:rsid w:val="002F4AA2"/>
    <w:rsid w:val="002F5F31"/>
    <w:rsid w:val="002F5F46"/>
    <w:rsid w:val="002F70D4"/>
    <w:rsid w:val="00300E54"/>
    <w:rsid w:val="00302216"/>
    <w:rsid w:val="00302827"/>
    <w:rsid w:val="00303E53"/>
    <w:rsid w:val="00305CC1"/>
    <w:rsid w:val="00306A1A"/>
    <w:rsid w:val="00306E5F"/>
    <w:rsid w:val="00307E14"/>
    <w:rsid w:val="0031063C"/>
    <w:rsid w:val="00313A09"/>
    <w:rsid w:val="00314054"/>
    <w:rsid w:val="003145CF"/>
    <w:rsid w:val="00316F27"/>
    <w:rsid w:val="003214F1"/>
    <w:rsid w:val="00321A89"/>
    <w:rsid w:val="00322903"/>
    <w:rsid w:val="00322E4B"/>
    <w:rsid w:val="00324AC7"/>
    <w:rsid w:val="003252EE"/>
    <w:rsid w:val="00326CB4"/>
    <w:rsid w:val="00327870"/>
    <w:rsid w:val="00331C32"/>
    <w:rsid w:val="0033259D"/>
    <w:rsid w:val="003333D2"/>
    <w:rsid w:val="0033352A"/>
    <w:rsid w:val="00337339"/>
    <w:rsid w:val="003406C6"/>
    <w:rsid w:val="003418CC"/>
    <w:rsid w:val="00342E91"/>
    <w:rsid w:val="00345587"/>
    <w:rsid w:val="003455BC"/>
    <w:rsid w:val="003456B1"/>
    <w:rsid w:val="003459BD"/>
    <w:rsid w:val="00350D38"/>
    <w:rsid w:val="00351405"/>
    <w:rsid w:val="00351B36"/>
    <w:rsid w:val="00351BC7"/>
    <w:rsid w:val="00353632"/>
    <w:rsid w:val="00353A79"/>
    <w:rsid w:val="00356FA4"/>
    <w:rsid w:val="00357B4E"/>
    <w:rsid w:val="0036508E"/>
    <w:rsid w:val="003661D9"/>
    <w:rsid w:val="00366917"/>
    <w:rsid w:val="0037007E"/>
    <w:rsid w:val="003716FD"/>
    <w:rsid w:val="0037204B"/>
    <w:rsid w:val="003724B1"/>
    <w:rsid w:val="00372EE8"/>
    <w:rsid w:val="003744CF"/>
    <w:rsid w:val="00374717"/>
    <w:rsid w:val="0037676C"/>
    <w:rsid w:val="0037780A"/>
    <w:rsid w:val="00377A1A"/>
    <w:rsid w:val="00381043"/>
    <w:rsid w:val="0038129A"/>
    <w:rsid w:val="003829E5"/>
    <w:rsid w:val="00386109"/>
    <w:rsid w:val="00386944"/>
    <w:rsid w:val="0039255C"/>
    <w:rsid w:val="00394E4B"/>
    <w:rsid w:val="003956CC"/>
    <w:rsid w:val="00395C9A"/>
    <w:rsid w:val="003A04E1"/>
    <w:rsid w:val="003A0853"/>
    <w:rsid w:val="003A621E"/>
    <w:rsid w:val="003A6B67"/>
    <w:rsid w:val="003B1305"/>
    <w:rsid w:val="003B13B6"/>
    <w:rsid w:val="003B14C3"/>
    <w:rsid w:val="003B15E6"/>
    <w:rsid w:val="003B1BDC"/>
    <w:rsid w:val="003B3BC6"/>
    <w:rsid w:val="003B408A"/>
    <w:rsid w:val="003B73FC"/>
    <w:rsid w:val="003C08A2"/>
    <w:rsid w:val="003C2045"/>
    <w:rsid w:val="003C2548"/>
    <w:rsid w:val="003C34E6"/>
    <w:rsid w:val="003C43A1"/>
    <w:rsid w:val="003C4FC0"/>
    <w:rsid w:val="003C55F4"/>
    <w:rsid w:val="003C576D"/>
    <w:rsid w:val="003C6978"/>
    <w:rsid w:val="003C7897"/>
    <w:rsid w:val="003C7A3F"/>
    <w:rsid w:val="003D2766"/>
    <w:rsid w:val="003D2A74"/>
    <w:rsid w:val="003D3E8F"/>
    <w:rsid w:val="003D54CD"/>
    <w:rsid w:val="003D6475"/>
    <w:rsid w:val="003D6EE6"/>
    <w:rsid w:val="003D7000"/>
    <w:rsid w:val="003D7E30"/>
    <w:rsid w:val="003E375C"/>
    <w:rsid w:val="003E4086"/>
    <w:rsid w:val="003E595F"/>
    <w:rsid w:val="003E639E"/>
    <w:rsid w:val="003E6730"/>
    <w:rsid w:val="003E71E5"/>
    <w:rsid w:val="003F0445"/>
    <w:rsid w:val="003F0CF0"/>
    <w:rsid w:val="003F0F22"/>
    <w:rsid w:val="003F14B1"/>
    <w:rsid w:val="003F2036"/>
    <w:rsid w:val="003F2B20"/>
    <w:rsid w:val="003F3289"/>
    <w:rsid w:val="003F3C62"/>
    <w:rsid w:val="003F5CB9"/>
    <w:rsid w:val="0040082F"/>
    <w:rsid w:val="004013C7"/>
    <w:rsid w:val="00401FCF"/>
    <w:rsid w:val="00406157"/>
    <w:rsid w:val="00406285"/>
    <w:rsid w:val="00407920"/>
    <w:rsid w:val="00412B3D"/>
    <w:rsid w:val="004135D6"/>
    <w:rsid w:val="004148F9"/>
    <w:rsid w:val="0042084E"/>
    <w:rsid w:val="00421B8A"/>
    <w:rsid w:val="00421EEF"/>
    <w:rsid w:val="00424D65"/>
    <w:rsid w:val="004261F2"/>
    <w:rsid w:val="00430393"/>
    <w:rsid w:val="00431806"/>
    <w:rsid w:val="00431E97"/>
    <w:rsid w:val="004347D1"/>
    <w:rsid w:val="004349E9"/>
    <w:rsid w:val="004350F9"/>
    <w:rsid w:val="00436EFE"/>
    <w:rsid w:val="00437AC5"/>
    <w:rsid w:val="00442C6C"/>
    <w:rsid w:val="00443CBE"/>
    <w:rsid w:val="00443E8A"/>
    <w:rsid w:val="004441BC"/>
    <w:rsid w:val="004442D6"/>
    <w:rsid w:val="004468B4"/>
    <w:rsid w:val="0045179E"/>
    <w:rsid w:val="0045230A"/>
    <w:rsid w:val="00454AD0"/>
    <w:rsid w:val="0045592D"/>
    <w:rsid w:val="00457337"/>
    <w:rsid w:val="00462E3D"/>
    <w:rsid w:val="0046440A"/>
    <w:rsid w:val="00466483"/>
    <w:rsid w:val="00466E79"/>
    <w:rsid w:val="004702DA"/>
    <w:rsid w:val="00470A33"/>
    <w:rsid w:val="00470D7D"/>
    <w:rsid w:val="00470FA4"/>
    <w:rsid w:val="0047372D"/>
    <w:rsid w:val="00473BA3"/>
    <w:rsid w:val="004743DD"/>
    <w:rsid w:val="00474CEA"/>
    <w:rsid w:val="00477ABA"/>
    <w:rsid w:val="00483968"/>
    <w:rsid w:val="004841BE"/>
    <w:rsid w:val="00484F86"/>
    <w:rsid w:val="0049038A"/>
    <w:rsid w:val="00490746"/>
    <w:rsid w:val="00490852"/>
    <w:rsid w:val="00491C9C"/>
    <w:rsid w:val="00492F30"/>
    <w:rsid w:val="00493B3B"/>
    <w:rsid w:val="004946F4"/>
    <w:rsid w:val="0049487E"/>
    <w:rsid w:val="00496A0E"/>
    <w:rsid w:val="004A160D"/>
    <w:rsid w:val="004A3E81"/>
    <w:rsid w:val="004A4195"/>
    <w:rsid w:val="004A599F"/>
    <w:rsid w:val="004A5C62"/>
    <w:rsid w:val="004A5CE5"/>
    <w:rsid w:val="004A608C"/>
    <w:rsid w:val="004A707D"/>
    <w:rsid w:val="004B4185"/>
    <w:rsid w:val="004B73FB"/>
    <w:rsid w:val="004C5067"/>
    <w:rsid w:val="004C5541"/>
    <w:rsid w:val="004C5A3E"/>
    <w:rsid w:val="004C6EEE"/>
    <w:rsid w:val="004C702B"/>
    <w:rsid w:val="004D0033"/>
    <w:rsid w:val="004D016B"/>
    <w:rsid w:val="004D1B22"/>
    <w:rsid w:val="004D230A"/>
    <w:rsid w:val="004D23CC"/>
    <w:rsid w:val="004D36F2"/>
    <w:rsid w:val="004D45AF"/>
    <w:rsid w:val="004D470F"/>
    <w:rsid w:val="004E1106"/>
    <w:rsid w:val="004E138F"/>
    <w:rsid w:val="004E4649"/>
    <w:rsid w:val="004E5C2B"/>
    <w:rsid w:val="004E7047"/>
    <w:rsid w:val="004F00DD"/>
    <w:rsid w:val="004F12F4"/>
    <w:rsid w:val="004F2133"/>
    <w:rsid w:val="004F5398"/>
    <w:rsid w:val="004F55F1"/>
    <w:rsid w:val="004F6936"/>
    <w:rsid w:val="004F7B35"/>
    <w:rsid w:val="00503DC6"/>
    <w:rsid w:val="0050650F"/>
    <w:rsid w:val="00506F5D"/>
    <w:rsid w:val="0050722E"/>
    <w:rsid w:val="00510B1A"/>
    <w:rsid w:val="00510C37"/>
    <w:rsid w:val="00511B91"/>
    <w:rsid w:val="005120B8"/>
    <w:rsid w:val="005126D0"/>
    <w:rsid w:val="00513109"/>
    <w:rsid w:val="00514667"/>
    <w:rsid w:val="0051568D"/>
    <w:rsid w:val="0052670B"/>
    <w:rsid w:val="00526AC7"/>
    <w:rsid w:val="00526C15"/>
    <w:rsid w:val="00532768"/>
    <w:rsid w:val="0053372A"/>
    <w:rsid w:val="00536499"/>
    <w:rsid w:val="00542A03"/>
    <w:rsid w:val="00543903"/>
    <w:rsid w:val="00543F11"/>
    <w:rsid w:val="00544988"/>
    <w:rsid w:val="005458BA"/>
    <w:rsid w:val="00546305"/>
    <w:rsid w:val="00546E6E"/>
    <w:rsid w:val="00547A95"/>
    <w:rsid w:val="0055119B"/>
    <w:rsid w:val="005542D9"/>
    <w:rsid w:val="00557392"/>
    <w:rsid w:val="00557E65"/>
    <w:rsid w:val="00561202"/>
    <w:rsid w:val="00561B73"/>
    <w:rsid w:val="0056524A"/>
    <w:rsid w:val="00566CCD"/>
    <w:rsid w:val="00567B6F"/>
    <w:rsid w:val="0057019E"/>
    <w:rsid w:val="0057058B"/>
    <w:rsid w:val="00571446"/>
    <w:rsid w:val="00571E78"/>
    <w:rsid w:val="00572031"/>
    <w:rsid w:val="00572282"/>
    <w:rsid w:val="00573CE3"/>
    <w:rsid w:val="00576E84"/>
    <w:rsid w:val="00580394"/>
    <w:rsid w:val="005809CD"/>
    <w:rsid w:val="00582B8C"/>
    <w:rsid w:val="005857DC"/>
    <w:rsid w:val="00585D42"/>
    <w:rsid w:val="00586C0F"/>
    <w:rsid w:val="0058757E"/>
    <w:rsid w:val="0059045B"/>
    <w:rsid w:val="00591188"/>
    <w:rsid w:val="00593A99"/>
    <w:rsid w:val="00596A4B"/>
    <w:rsid w:val="00597507"/>
    <w:rsid w:val="005A2AF8"/>
    <w:rsid w:val="005A479D"/>
    <w:rsid w:val="005B1C6D"/>
    <w:rsid w:val="005B1C76"/>
    <w:rsid w:val="005B21B6"/>
    <w:rsid w:val="005B3A08"/>
    <w:rsid w:val="005B4B78"/>
    <w:rsid w:val="005B5497"/>
    <w:rsid w:val="005B683B"/>
    <w:rsid w:val="005B6CAC"/>
    <w:rsid w:val="005B7A63"/>
    <w:rsid w:val="005C0955"/>
    <w:rsid w:val="005C2792"/>
    <w:rsid w:val="005C4672"/>
    <w:rsid w:val="005C49DA"/>
    <w:rsid w:val="005C50F3"/>
    <w:rsid w:val="005C54B5"/>
    <w:rsid w:val="005C5D80"/>
    <w:rsid w:val="005C5D91"/>
    <w:rsid w:val="005D07B8"/>
    <w:rsid w:val="005D1125"/>
    <w:rsid w:val="005D4C54"/>
    <w:rsid w:val="005D55CF"/>
    <w:rsid w:val="005D5A61"/>
    <w:rsid w:val="005D6597"/>
    <w:rsid w:val="005E14E7"/>
    <w:rsid w:val="005E26A3"/>
    <w:rsid w:val="005E2ECB"/>
    <w:rsid w:val="005E2F03"/>
    <w:rsid w:val="005E3A24"/>
    <w:rsid w:val="005E447E"/>
    <w:rsid w:val="005E4FD1"/>
    <w:rsid w:val="005E5FFF"/>
    <w:rsid w:val="005F0775"/>
    <w:rsid w:val="005F0CF5"/>
    <w:rsid w:val="005F10DC"/>
    <w:rsid w:val="005F141F"/>
    <w:rsid w:val="005F21EB"/>
    <w:rsid w:val="005F64CF"/>
    <w:rsid w:val="006041AD"/>
    <w:rsid w:val="0060432A"/>
    <w:rsid w:val="00605908"/>
    <w:rsid w:val="006060A7"/>
    <w:rsid w:val="00607850"/>
    <w:rsid w:val="00610D7C"/>
    <w:rsid w:val="00612F12"/>
    <w:rsid w:val="00613414"/>
    <w:rsid w:val="00614B08"/>
    <w:rsid w:val="00617D4C"/>
    <w:rsid w:val="00620154"/>
    <w:rsid w:val="0062408D"/>
    <w:rsid w:val="006240CC"/>
    <w:rsid w:val="00624940"/>
    <w:rsid w:val="006254F8"/>
    <w:rsid w:val="00627408"/>
    <w:rsid w:val="00627DA7"/>
    <w:rsid w:val="00630DA4"/>
    <w:rsid w:val="00631768"/>
    <w:rsid w:val="00631CD4"/>
    <w:rsid w:val="00632597"/>
    <w:rsid w:val="00634D13"/>
    <w:rsid w:val="006358B4"/>
    <w:rsid w:val="00641724"/>
    <w:rsid w:val="006419AA"/>
    <w:rsid w:val="00644B1F"/>
    <w:rsid w:val="00644B7E"/>
    <w:rsid w:val="006454E6"/>
    <w:rsid w:val="00646235"/>
    <w:rsid w:val="00646A68"/>
    <w:rsid w:val="00647426"/>
    <w:rsid w:val="006505BD"/>
    <w:rsid w:val="006508EA"/>
    <w:rsid w:val="0065092E"/>
    <w:rsid w:val="00650FA7"/>
    <w:rsid w:val="00651313"/>
    <w:rsid w:val="006527E4"/>
    <w:rsid w:val="006557A7"/>
    <w:rsid w:val="00656290"/>
    <w:rsid w:val="006601C9"/>
    <w:rsid w:val="006608D8"/>
    <w:rsid w:val="006621D7"/>
    <w:rsid w:val="0066302A"/>
    <w:rsid w:val="006633A7"/>
    <w:rsid w:val="0066360F"/>
    <w:rsid w:val="00667453"/>
    <w:rsid w:val="00667770"/>
    <w:rsid w:val="00667951"/>
    <w:rsid w:val="00670597"/>
    <w:rsid w:val="006706D0"/>
    <w:rsid w:val="00671803"/>
    <w:rsid w:val="00677574"/>
    <w:rsid w:val="00681935"/>
    <w:rsid w:val="00683878"/>
    <w:rsid w:val="0068454C"/>
    <w:rsid w:val="006852E7"/>
    <w:rsid w:val="006906A3"/>
    <w:rsid w:val="00691B62"/>
    <w:rsid w:val="006933B5"/>
    <w:rsid w:val="00693D14"/>
    <w:rsid w:val="00695A93"/>
    <w:rsid w:val="00696F27"/>
    <w:rsid w:val="006A18C2"/>
    <w:rsid w:val="006A21E8"/>
    <w:rsid w:val="006A2F78"/>
    <w:rsid w:val="006A3383"/>
    <w:rsid w:val="006A59BD"/>
    <w:rsid w:val="006A5FE9"/>
    <w:rsid w:val="006B077C"/>
    <w:rsid w:val="006B16AF"/>
    <w:rsid w:val="006B2CCE"/>
    <w:rsid w:val="006B4107"/>
    <w:rsid w:val="006B6803"/>
    <w:rsid w:val="006C45FE"/>
    <w:rsid w:val="006D0F16"/>
    <w:rsid w:val="006D1707"/>
    <w:rsid w:val="006D2A3F"/>
    <w:rsid w:val="006D2FBC"/>
    <w:rsid w:val="006D49EB"/>
    <w:rsid w:val="006D5CC6"/>
    <w:rsid w:val="006D7282"/>
    <w:rsid w:val="006E138B"/>
    <w:rsid w:val="006E1867"/>
    <w:rsid w:val="006E65C2"/>
    <w:rsid w:val="006E6A3F"/>
    <w:rsid w:val="006F0330"/>
    <w:rsid w:val="006F16AF"/>
    <w:rsid w:val="006F1FDC"/>
    <w:rsid w:val="006F4DC2"/>
    <w:rsid w:val="006F6B8C"/>
    <w:rsid w:val="007013EF"/>
    <w:rsid w:val="00701CD8"/>
    <w:rsid w:val="007055BD"/>
    <w:rsid w:val="007063F4"/>
    <w:rsid w:val="007066C6"/>
    <w:rsid w:val="007125FE"/>
    <w:rsid w:val="007173CA"/>
    <w:rsid w:val="00721491"/>
    <w:rsid w:val="007216AA"/>
    <w:rsid w:val="00721AB5"/>
    <w:rsid w:val="00721CFB"/>
    <w:rsid w:val="00721DEF"/>
    <w:rsid w:val="00724A43"/>
    <w:rsid w:val="007273AC"/>
    <w:rsid w:val="00730510"/>
    <w:rsid w:val="00731AD4"/>
    <w:rsid w:val="00733D2C"/>
    <w:rsid w:val="007346E4"/>
    <w:rsid w:val="00736FB9"/>
    <w:rsid w:val="00740924"/>
    <w:rsid w:val="00740F22"/>
    <w:rsid w:val="00741977"/>
    <w:rsid w:val="00741CF0"/>
    <w:rsid w:val="00741F1A"/>
    <w:rsid w:val="00743A2C"/>
    <w:rsid w:val="007447DA"/>
    <w:rsid w:val="007450F8"/>
    <w:rsid w:val="0074696E"/>
    <w:rsid w:val="0074731C"/>
    <w:rsid w:val="00747E2A"/>
    <w:rsid w:val="00750135"/>
    <w:rsid w:val="0075089F"/>
    <w:rsid w:val="00750EC2"/>
    <w:rsid w:val="00751D12"/>
    <w:rsid w:val="00752B28"/>
    <w:rsid w:val="00753017"/>
    <w:rsid w:val="007541A9"/>
    <w:rsid w:val="00754E36"/>
    <w:rsid w:val="00763139"/>
    <w:rsid w:val="00764EE9"/>
    <w:rsid w:val="00765AB9"/>
    <w:rsid w:val="00765BA7"/>
    <w:rsid w:val="00766F80"/>
    <w:rsid w:val="007708C8"/>
    <w:rsid w:val="00770F37"/>
    <w:rsid w:val="007711A0"/>
    <w:rsid w:val="007717CC"/>
    <w:rsid w:val="00772D5E"/>
    <w:rsid w:val="0077463E"/>
    <w:rsid w:val="00776928"/>
    <w:rsid w:val="00776E0F"/>
    <w:rsid w:val="007774B1"/>
    <w:rsid w:val="00777525"/>
    <w:rsid w:val="00777BE1"/>
    <w:rsid w:val="007833D8"/>
    <w:rsid w:val="00785677"/>
    <w:rsid w:val="00786F16"/>
    <w:rsid w:val="00791BD7"/>
    <w:rsid w:val="007933F7"/>
    <w:rsid w:val="007967EC"/>
    <w:rsid w:val="00796E20"/>
    <w:rsid w:val="00797C32"/>
    <w:rsid w:val="007A11E8"/>
    <w:rsid w:val="007A2325"/>
    <w:rsid w:val="007A4C52"/>
    <w:rsid w:val="007B0700"/>
    <w:rsid w:val="007B0914"/>
    <w:rsid w:val="007B1374"/>
    <w:rsid w:val="007B32E5"/>
    <w:rsid w:val="007B3B4D"/>
    <w:rsid w:val="007B3DB9"/>
    <w:rsid w:val="007B589F"/>
    <w:rsid w:val="007B5E85"/>
    <w:rsid w:val="007B6186"/>
    <w:rsid w:val="007B73BC"/>
    <w:rsid w:val="007C1838"/>
    <w:rsid w:val="007C20B9"/>
    <w:rsid w:val="007C337F"/>
    <w:rsid w:val="007C3A74"/>
    <w:rsid w:val="007C7301"/>
    <w:rsid w:val="007C7859"/>
    <w:rsid w:val="007C7F28"/>
    <w:rsid w:val="007D0A06"/>
    <w:rsid w:val="007D1466"/>
    <w:rsid w:val="007D2BDE"/>
    <w:rsid w:val="007D2FB6"/>
    <w:rsid w:val="007D49EB"/>
    <w:rsid w:val="007D5E1C"/>
    <w:rsid w:val="007D5FD6"/>
    <w:rsid w:val="007E0DE2"/>
    <w:rsid w:val="007E3B98"/>
    <w:rsid w:val="007E417A"/>
    <w:rsid w:val="007E5333"/>
    <w:rsid w:val="007F31B6"/>
    <w:rsid w:val="007F546C"/>
    <w:rsid w:val="007F625F"/>
    <w:rsid w:val="007F62C9"/>
    <w:rsid w:val="007F665E"/>
    <w:rsid w:val="007F70E7"/>
    <w:rsid w:val="00800412"/>
    <w:rsid w:val="0080587B"/>
    <w:rsid w:val="00806468"/>
    <w:rsid w:val="00806566"/>
    <w:rsid w:val="008119CA"/>
    <w:rsid w:val="00811BBF"/>
    <w:rsid w:val="008130C4"/>
    <w:rsid w:val="008140A3"/>
    <w:rsid w:val="0081544F"/>
    <w:rsid w:val="008155F0"/>
    <w:rsid w:val="00816735"/>
    <w:rsid w:val="00816F24"/>
    <w:rsid w:val="00820141"/>
    <w:rsid w:val="00820E0C"/>
    <w:rsid w:val="00823275"/>
    <w:rsid w:val="0082366F"/>
    <w:rsid w:val="00824DDC"/>
    <w:rsid w:val="00826EEC"/>
    <w:rsid w:val="008338A2"/>
    <w:rsid w:val="008361B7"/>
    <w:rsid w:val="00841AA9"/>
    <w:rsid w:val="008441AD"/>
    <w:rsid w:val="00844669"/>
    <w:rsid w:val="008474FE"/>
    <w:rsid w:val="0085232E"/>
    <w:rsid w:val="008524AC"/>
    <w:rsid w:val="00853A5D"/>
    <w:rsid w:val="00853EE4"/>
    <w:rsid w:val="00855535"/>
    <w:rsid w:val="00857C5A"/>
    <w:rsid w:val="0086255E"/>
    <w:rsid w:val="008633F0"/>
    <w:rsid w:val="00867D9D"/>
    <w:rsid w:val="00872C54"/>
    <w:rsid w:val="00872E0A"/>
    <w:rsid w:val="00873594"/>
    <w:rsid w:val="00875285"/>
    <w:rsid w:val="008763A7"/>
    <w:rsid w:val="0087700A"/>
    <w:rsid w:val="008777EC"/>
    <w:rsid w:val="0088073D"/>
    <w:rsid w:val="00881623"/>
    <w:rsid w:val="00882D0F"/>
    <w:rsid w:val="008833DF"/>
    <w:rsid w:val="00884B62"/>
    <w:rsid w:val="0088529C"/>
    <w:rsid w:val="00887481"/>
    <w:rsid w:val="00887903"/>
    <w:rsid w:val="00887A0D"/>
    <w:rsid w:val="00891A83"/>
    <w:rsid w:val="0089270A"/>
    <w:rsid w:val="00893AF6"/>
    <w:rsid w:val="00894BC4"/>
    <w:rsid w:val="00896E68"/>
    <w:rsid w:val="008A28A8"/>
    <w:rsid w:val="008A5B32"/>
    <w:rsid w:val="008A5D60"/>
    <w:rsid w:val="008B03C9"/>
    <w:rsid w:val="008B0F5A"/>
    <w:rsid w:val="008B2029"/>
    <w:rsid w:val="008B2EE4"/>
    <w:rsid w:val="008B3821"/>
    <w:rsid w:val="008B4D3D"/>
    <w:rsid w:val="008B57C7"/>
    <w:rsid w:val="008C28B9"/>
    <w:rsid w:val="008C2F92"/>
    <w:rsid w:val="008C4ED5"/>
    <w:rsid w:val="008C55E6"/>
    <w:rsid w:val="008C589D"/>
    <w:rsid w:val="008C6804"/>
    <w:rsid w:val="008C6D51"/>
    <w:rsid w:val="008C7B74"/>
    <w:rsid w:val="008D2846"/>
    <w:rsid w:val="008D3CBD"/>
    <w:rsid w:val="008D4236"/>
    <w:rsid w:val="008D462F"/>
    <w:rsid w:val="008D57A5"/>
    <w:rsid w:val="008D5C45"/>
    <w:rsid w:val="008D6DCF"/>
    <w:rsid w:val="008E4376"/>
    <w:rsid w:val="008E7A0A"/>
    <w:rsid w:val="008E7B49"/>
    <w:rsid w:val="008F0AF3"/>
    <w:rsid w:val="008F59F6"/>
    <w:rsid w:val="008F77FD"/>
    <w:rsid w:val="00900719"/>
    <w:rsid w:val="009017AC"/>
    <w:rsid w:val="00902A9A"/>
    <w:rsid w:val="00904A1C"/>
    <w:rsid w:val="00905030"/>
    <w:rsid w:val="00906490"/>
    <w:rsid w:val="009065F8"/>
    <w:rsid w:val="009111B2"/>
    <w:rsid w:val="00911467"/>
    <w:rsid w:val="009151F5"/>
    <w:rsid w:val="00915CF6"/>
    <w:rsid w:val="00917A07"/>
    <w:rsid w:val="0092150D"/>
    <w:rsid w:val="00924AE1"/>
    <w:rsid w:val="009257ED"/>
    <w:rsid w:val="009269B1"/>
    <w:rsid w:val="0092724D"/>
    <w:rsid w:val="009272B3"/>
    <w:rsid w:val="009315BE"/>
    <w:rsid w:val="00933037"/>
    <w:rsid w:val="0093338F"/>
    <w:rsid w:val="00937BD9"/>
    <w:rsid w:val="00945D9A"/>
    <w:rsid w:val="00946E01"/>
    <w:rsid w:val="00950E2C"/>
    <w:rsid w:val="00951D50"/>
    <w:rsid w:val="0095254D"/>
    <w:rsid w:val="009525EB"/>
    <w:rsid w:val="0095470B"/>
    <w:rsid w:val="00954874"/>
    <w:rsid w:val="00954D01"/>
    <w:rsid w:val="0095615A"/>
    <w:rsid w:val="009565A0"/>
    <w:rsid w:val="00961400"/>
    <w:rsid w:val="009616E3"/>
    <w:rsid w:val="00963646"/>
    <w:rsid w:val="0096632D"/>
    <w:rsid w:val="00967124"/>
    <w:rsid w:val="00967335"/>
    <w:rsid w:val="00967C83"/>
    <w:rsid w:val="00970C7B"/>
    <w:rsid w:val="009718C7"/>
    <w:rsid w:val="0097559F"/>
    <w:rsid w:val="009761EA"/>
    <w:rsid w:val="0097761E"/>
    <w:rsid w:val="00980557"/>
    <w:rsid w:val="00982454"/>
    <w:rsid w:val="00982CF0"/>
    <w:rsid w:val="00985367"/>
    <w:rsid w:val="009853E1"/>
    <w:rsid w:val="0098669B"/>
    <w:rsid w:val="00986E6B"/>
    <w:rsid w:val="00990032"/>
    <w:rsid w:val="00990B19"/>
    <w:rsid w:val="00991003"/>
    <w:rsid w:val="0099153B"/>
    <w:rsid w:val="00991769"/>
    <w:rsid w:val="0099232C"/>
    <w:rsid w:val="00994386"/>
    <w:rsid w:val="00994430"/>
    <w:rsid w:val="00994791"/>
    <w:rsid w:val="00997FB9"/>
    <w:rsid w:val="009A13D8"/>
    <w:rsid w:val="009A2493"/>
    <w:rsid w:val="009A279E"/>
    <w:rsid w:val="009A3015"/>
    <w:rsid w:val="009A3490"/>
    <w:rsid w:val="009A6846"/>
    <w:rsid w:val="009B0A6F"/>
    <w:rsid w:val="009B0A94"/>
    <w:rsid w:val="009B2AE8"/>
    <w:rsid w:val="009B3493"/>
    <w:rsid w:val="009B47A1"/>
    <w:rsid w:val="009B5622"/>
    <w:rsid w:val="009B59E9"/>
    <w:rsid w:val="009B70AA"/>
    <w:rsid w:val="009C1A3D"/>
    <w:rsid w:val="009C1CB1"/>
    <w:rsid w:val="009C25F2"/>
    <w:rsid w:val="009C2795"/>
    <w:rsid w:val="009C5E77"/>
    <w:rsid w:val="009C7A7E"/>
    <w:rsid w:val="009D02E8"/>
    <w:rsid w:val="009D49D2"/>
    <w:rsid w:val="009D51D0"/>
    <w:rsid w:val="009D70A4"/>
    <w:rsid w:val="009D73A3"/>
    <w:rsid w:val="009D7A52"/>
    <w:rsid w:val="009D7B14"/>
    <w:rsid w:val="009E08D1"/>
    <w:rsid w:val="009E1B95"/>
    <w:rsid w:val="009E496F"/>
    <w:rsid w:val="009E4B0D"/>
    <w:rsid w:val="009E5250"/>
    <w:rsid w:val="009E7A69"/>
    <w:rsid w:val="009E7F92"/>
    <w:rsid w:val="009F02A3"/>
    <w:rsid w:val="009F16C8"/>
    <w:rsid w:val="009F2F27"/>
    <w:rsid w:val="009F34AA"/>
    <w:rsid w:val="009F6BCB"/>
    <w:rsid w:val="009F7B78"/>
    <w:rsid w:val="009F7C37"/>
    <w:rsid w:val="00A0057A"/>
    <w:rsid w:val="00A02FA1"/>
    <w:rsid w:val="00A04CCE"/>
    <w:rsid w:val="00A07421"/>
    <w:rsid w:val="00A0776B"/>
    <w:rsid w:val="00A10FB9"/>
    <w:rsid w:val="00A11421"/>
    <w:rsid w:val="00A11FD8"/>
    <w:rsid w:val="00A1389F"/>
    <w:rsid w:val="00A14996"/>
    <w:rsid w:val="00A157B1"/>
    <w:rsid w:val="00A22229"/>
    <w:rsid w:val="00A2429E"/>
    <w:rsid w:val="00A24442"/>
    <w:rsid w:val="00A252B9"/>
    <w:rsid w:val="00A32577"/>
    <w:rsid w:val="00A330BB"/>
    <w:rsid w:val="00A3314F"/>
    <w:rsid w:val="00A34ACD"/>
    <w:rsid w:val="00A34CD7"/>
    <w:rsid w:val="00A36AD9"/>
    <w:rsid w:val="00A43C8C"/>
    <w:rsid w:val="00A44882"/>
    <w:rsid w:val="00A44F3F"/>
    <w:rsid w:val="00A45125"/>
    <w:rsid w:val="00A45379"/>
    <w:rsid w:val="00A513A9"/>
    <w:rsid w:val="00A53CCC"/>
    <w:rsid w:val="00A54715"/>
    <w:rsid w:val="00A56F8E"/>
    <w:rsid w:val="00A6061C"/>
    <w:rsid w:val="00A62D44"/>
    <w:rsid w:val="00A65DE2"/>
    <w:rsid w:val="00A67263"/>
    <w:rsid w:val="00A67979"/>
    <w:rsid w:val="00A7161C"/>
    <w:rsid w:val="00A72880"/>
    <w:rsid w:val="00A77AA3"/>
    <w:rsid w:val="00A8236D"/>
    <w:rsid w:val="00A854EB"/>
    <w:rsid w:val="00A872E5"/>
    <w:rsid w:val="00A87C1E"/>
    <w:rsid w:val="00A91406"/>
    <w:rsid w:val="00A96E65"/>
    <w:rsid w:val="00A96ECE"/>
    <w:rsid w:val="00A96FCE"/>
    <w:rsid w:val="00A97C72"/>
    <w:rsid w:val="00AA310B"/>
    <w:rsid w:val="00AA3A5B"/>
    <w:rsid w:val="00AA4688"/>
    <w:rsid w:val="00AA63D4"/>
    <w:rsid w:val="00AB06E8"/>
    <w:rsid w:val="00AB073C"/>
    <w:rsid w:val="00AB1545"/>
    <w:rsid w:val="00AB1A4F"/>
    <w:rsid w:val="00AB1CD3"/>
    <w:rsid w:val="00AB2856"/>
    <w:rsid w:val="00AB352F"/>
    <w:rsid w:val="00AB4C0D"/>
    <w:rsid w:val="00AB7AF9"/>
    <w:rsid w:val="00AC274B"/>
    <w:rsid w:val="00AC4764"/>
    <w:rsid w:val="00AC6D36"/>
    <w:rsid w:val="00AC768F"/>
    <w:rsid w:val="00AD0248"/>
    <w:rsid w:val="00AD0CBA"/>
    <w:rsid w:val="00AD26E2"/>
    <w:rsid w:val="00AD4C5A"/>
    <w:rsid w:val="00AD5BD4"/>
    <w:rsid w:val="00AD784C"/>
    <w:rsid w:val="00AD7E56"/>
    <w:rsid w:val="00AE126A"/>
    <w:rsid w:val="00AE1BAE"/>
    <w:rsid w:val="00AE3005"/>
    <w:rsid w:val="00AE3BD5"/>
    <w:rsid w:val="00AE59A0"/>
    <w:rsid w:val="00AE7145"/>
    <w:rsid w:val="00AF0C57"/>
    <w:rsid w:val="00AF1EC6"/>
    <w:rsid w:val="00AF26F3"/>
    <w:rsid w:val="00AF5F04"/>
    <w:rsid w:val="00AF6324"/>
    <w:rsid w:val="00B00672"/>
    <w:rsid w:val="00B01B4D"/>
    <w:rsid w:val="00B04489"/>
    <w:rsid w:val="00B06571"/>
    <w:rsid w:val="00B0675C"/>
    <w:rsid w:val="00B068BA"/>
    <w:rsid w:val="00B07217"/>
    <w:rsid w:val="00B108E8"/>
    <w:rsid w:val="00B13851"/>
    <w:rsid w:val="00B13B1C"/>
    <w:rsid w:val="00B14B5F"/>
    <w:rsid w:val="00B16710"/>
    <w:rsid w:val="00B21263"/>
    <w:rsid w:val="00B21F90"/>
    <w:rsid w:val="00B22291"/>
    <w:rsid w:val="00B22EF1"/>
    <w:rsid w:val="00B23F9A"/>
    <w:rsid w:val="00B2417B"/>
    <w:rsid w:val="00B24E6F"/>
    <w:rsid w:val="00B25F0C"/>
    <w:rsid w:val="00B26CB5"/>
    <w:rsid w:val="00B2752E"/>
    <w:rsid w:val="00B307CC"/>
    <w:rsid w:val="00B326B7"/>
    <w:rsid w:val="00B34D81"/>
    <w:rsid w:val="00B3588E"/>
    <w:rsid w:val="00B4198F"/>
    <w:rsid w:val="00B41F3D"/>
    <w:rsid w:val="00B431E8"/>
    <w:rsid w:val="00B4353D"/>
    <w:rsid w:val="00B4480C"/>
    <w:rsid w:val="00B45141"/>
    <w:rsid w:val="00B46368"/>
    <w:rsid w:val="00B519CD"/>
    <w:rsid w:val="00B523D2"/>
    <w:rsid w:val="00B5273A"/>
    <w:rsid w:val="00B54CD7"/>
    <w:rsid w:val="00B563F4"/>
    <w:rsid w:val="00B57329"/>
    <w:rsid w:val="00B60E61"/>
    <w:rsid w:val="00B60EDD"/>
    <w:rsid w:val="00B626C1"/>
    <w:rsid w:val="00B62B50"/>
    <w:rsid w:val="00B635B7"/>
    <w:rsid w:val="00B63AE8"/>
    <w:rsid w:val="00B65950"/>
    <w:rsid w:val="00B66D83"/>
    <w:rsid w:val="00B672C0"/>
    <w:rsid w:val="00B676FD"/>
    <w:rsid w:val="00B678B6"/>
    <w:rsid w:val="00B706E8"/>
    <w:rsid w:val="00B71D6C"/>
    <w:rsid w:val="00B75646"/>
    <w:rsid w:val="00B7629E"/>
    <w:rsid w:val="00B80717"/>
    <w:rsid w:val="00B827DE"/>
    <w:rsid w:val="00B90729"/>
    <w:rsid w:val="00B907DA"/>
    <w:rsid w:val="00B910EB"/>
    <w:rsid w:val="00B915B7"/>
    <w:rsid w:val="00B91FFE"/>
    <w:rsid w:val="00B950BC"/>
    <w:rsid w:val="00B95AB9"/>
    <w:rsid w:val="00B9714C"/>
    <w:rsid w:val="00BA29AD"/>
    <w:rsid w:val="00BA33CF"/>
    <w:rsid w:val="00BA3F8D"/>
    <w:rsid w:val="00BB1EB6"/>
    <w:rsid w:val="00BB7A10"/>
    <w:rsid w:val="00BC2E47"/>
    <w:rsid w:val="00BC31EF"/>
    <w:rsid w:val="00BC60BE"/>
    <w:rsid w:val="00BC7468"/>
    <w:rsid w:val="00BC7D4F"/>
    <w:rsid w:val="00BC7ED7"/>
    <w:rsid w:val="00BD208F"/>
    <w:rsid w:val="00BD2850"/>
    <w:rsid w:val="00BD3257"/>
    <w:rsid w:val="00BD4275"/>
    <w:rsid w:val="00BD6049"/>
    <w:rsid w:val="00BE28D2"/>
    <w:rsid w:val="00BE4A64"/>
    <w:rsid w:val="00BE5E43"/>
    <w:rsid w:val="00BF407F"/>
    <w:rsid w:val="00BF557D"/>
    <w:rsid w:val="00BF62E5"/>
    <w:rsid w:val="00BF7F58"/>
    <w:rsid w:val="00C000DB"/>
    <w:rsid w:val="00C01381"/>
    <w:rsid w:val="00C01AB1"/>
    <w:rsid w:val="00C01E1C"/>
    <w:rsid w:val="00C026A0"/>
    <w:rsid w:val="00C03EA4"/>
    <w:rsid w:val="00C04F42"/>
    <w:rsid w:val="00C06137"/>
    <w:rsid w:val="00C06929"/>
    <w:rsid w:val="00C079B8"/>
    <w:rsid w:val="00C10037"/>
    <w:rsid w:val="00C123EA"/>
    <w:rsid w:val="00C12A49"/>
    <w:rsid w:val="00C133EE"/>
    <w:rsid w:val="00C149D0"/>
    <w:rsid w:val="00C14CE9"/>
    <w:rsid w:val="00C14E9B"/>
    <w:rsid w:val="00C217EA"/>
    <w:rsid w:val="00C21BBF"/>
    <w:rsid w:val="00C231A0"/>
    <w:rsid w:val="00C26460"/>
    <w:rsid w:val="00C26588"/>
    <w:rsid w:val="00C27DE9"/>
    <w:rsid w:val="00C32989"/>
    <w:rsid w:val="00C33388"/>
    <w:rsid w:val="00C35484"/>
    <w:rsid w:val="00C40BDF"/>
    <w:rsid w:val="00C4173A"/>
    <w:rsid w:val="00C44141"/>
    <w:rsid w:val="00C4446E"/>
    <w:rsid w:val="00C457CF"/>
    <w:rsid w:val="00C46CC8"/>
    <w:rsid w:val="00C47399"/>
    <w:rsid w:val="00C50DED"/>
    <w:rsid w:val="00C52217"/>
    <w:rsid w:val="00C601A5"/>
    <w:rsid w:val="00C602FF"/>
    <w:rsid w:val="00C61174"/>
    <w:rsid w:val="00C6148F"/>
    <w:rsid w:val="00C621B1"/>
    <w:rsid w:val="00C62F7A"/>
    <w:rsid w:val="00C63B9C"/>
    <w:rsid w:val="00C6682F"/>
    <w:rsid w:val="00C66E70"/>
    <w:rsid w:val="00C67BF4"/>
    <w:rsid w:val="00C7275E"/>
    <w:rsid w:val="00C74C5D"/>
    <w:rsid w:val="00C769EE"/>
    <w:rsid w:val="00C863C4"/>
    <w:rsid w:val="00C902FF"/>
    <w:rsid w:val="00C920EA"/>
    <w:rsid w:val="00C92212"/>
    <w:rsid w:val="00C93C3E"/>
    <w:rsid w:val="00C93D7C"/>
    <w:rsid w:val="00CA0063"/>
    <w:rsid w:val="00CA12E3"/>
    <w:rsid w:val="00CA1476"/>
    <w:rsid w:val="00CA237C"/>
    <w:rsid w:val="00CA6611"/>
    <w:rsid w:val="00CA6AE6"/>
    <w:rsid w:val="00CA782F"/>
    <w:rsid w:val="00CB13F6"/>
    <w:rsid w:val="00CB187B"/>
    <w:rsid w:val="00CB2835"/>
    <w:rsid w:val="00CB3285"/>
    <w:rsid w:val="00CB4254"/>
    <w:rsid w:val="00CB4500"/>
    <w:rsid w:val="00CB477D"/>
    <w:rsid w:val="00CC04E9"/>
    <w:rsid w:val="00CC0C72"/>
    <w:rsid w:val="00CC0EEA"/>
    <w:rsid w:val="00CC2BFD"/>
    <w:rsid w:val="00CC64DD"/>
    <w:rsid w:val="00CD0247"/>
    <w:rsid w:val="00CD05E0"/>
    <w:rsid w:val="00CD1A9A"/>
    <w:rsid w:val="00CD2334"/>
    <w:rsid w:val="00CD3476"/>
    <w:rsid w:val="00CD5F79"/>
    <w:rsid w:val="00CD64DF"/>
    <w:rsid w:val="00CE225F"/>
    <w:rsid w:val="00CE361B"/>
    <w:rsid w:val="00CE610A"/>
    <w:rsid w:val="00CF2F50"/>
    <w:rsid w:val="00CF4148"/>
    <w:rsid w:val="00CF4565"/>
    <w:rsid w:val="00CF6198"/>
    <w:rsid w:val="00CF653D"/>
    <w:rsid w:val="00D02919"/>
    <w:rsid w:val="00D04C61"/>
    <w:rsid w:val="00D05B8D"/>
    <w:rsid w:val="00D05B9B"/>
    <w:rsid w:val="00D065A2"/>
    <w:rsid w:val="00D079AA"/>
    <w:rsid w:val="00D07F00"/>
    <w:rsid w:val="00D1130F"/>
    <w:rsid w:val="00D17B72"/>
    <w:rsid w:val="00D17FA1"/>
    <w:rsid w:val="00D23F4F"/>
    <w:rsid w:val="00D270F2"/>
    <w:rsid w:val="00D3185C"/>
    <w:rsid w:val="00D3205F"/>
    <w:rsid w:val="00D3318E"/>
    <w:rsid w:val="00D33E72"/>
    <w:rsid w:val="00D35BD6"/>
    <w:rsid w:val="00D361B5"/>
    <w:rsid w:val="00D402DB"/>
    <w:rsid w:val="00D411A2"/>
    <w:rsid w:val="00D45CFE"/>
    <w:rsid w:val="00D4606D"/>
    <w:rsid w:val="00D47FBF"/>
    <w:rsid w:val="00D50B9C"/>
    <w:rsid w:val="00D52D73"/>
    <w:rsid w:val="00D52E58"/>
    <w:rsid w:val="00D56B20"/>
    <w:rsid w:val="00D578B3"/>
    <w:rsid w:val="00D618F4"/>
    <w:rsid w:val="00D714CC"/>
    <w:rsid w:val="00D72BB6"/>
    <w:rsid w:val="00D75EA7"/>
    <w:rsid w:val="00D81ADF"/>
    <w:rsid w:val="00D81F21"/>
    <w:rsid w:val="00D8423D"/>
    <w:rsid w:val="00D84658"/>
    <w:rsid w:val="00D864F2"/>
    <w:rsid w:val="00D90673"/>
    <w:rsid w:val="00D94087"/>
    <w:rsid w:val="00D943F8"/>
    <w:rsid w:val="00D95470"/>
    <w:rsid w:val="00D96B55"/>
    <w:rsid w:val="00DA2619"/>
    <w:rsid w:val="00DA2E57"/>
    <w:rsid w:val="00DA4239"/>
    <w:rsid w:val="00DA4330"/>
    <w:rsid w:val="00DA65DE"/>
    <w:rsid w:val="00DA7A51"/>
    <w:rsid w:val="00DB0B61"/>
    <w:rsid w:val="00DB1474"/>
    <w:rsid w:val="00DB2962"/>
    <w:rsid w:val="00DB52FB"/>
    <w:rsid w:val="00DB62FB"/>
    <w:rsid w:val="00DC013B"/>
    <w:rsid w:val="00DC090B"/>
    <w:rsid w:val="00DC1679"/>
    <w:rsid w:val="00DC219B"/>
    <w:rsid w:val="00DC2CF1"/>
    <w:rsid w:val="00DC3A7C"/>
    <w:rsid w:val="00DC4FCF"/>
    <w:rsid w:val="00DC50E0"/>
    <w:rsid w:val="00DC5858"/>
    <w:rsid w:val="00DC6386"/>
    <w:rsid w:val="00DC6717"/>
    <w:rsid w:val="00DD1130"/>
    <w:rsid w:val="00DD1951"/>
    <w:rsid w:val="00DD39BC"/>
    <w:rsid w:val="00DD487D"/>
    <w:rsid w:val="00DD4E83"/>
    <w:rsid w:val="00DD6628"/>
    <w:rsid w:val="00DD6945"/>
    <w:rsid w:val="00DE0405"/>
    <w:rsid w:val="00DE0A89"/>
    <w:rsid w:val="00DE0C62"/>
    <w:rsid w:val="00DE2ADE"/>
    <w:rsid w:val="00DE2D04"/>
    <w:rsid w:val="00DE3250"/>
    <w:rsid w:val="00DE6028"/>
    <w:rsid w:val="00DE6C85"/>
    <w:rsid w:val="00DE72C8"/>
    <w:rsid w:val="00DE78A3"/>
    <w:rsid w:val="00DF1A71"/>
    <w:rsid w:val="00DF20D3"/>
    <w:rsid w:val="00DF3C05"/>
    <w:rsid w:val="00DF50FC"/>
    <w:rsid w:val="00DF68C7"/>
    <w:rsid w:val="00DF731A"/>
    <w:rsid w:val="00E05026"/>
    <w:rsid w:val="00E06B75"/>
    <w:rsid w:val="00E11332"/>
    <w:rsid w:val="00E11352"/>
    <w:rsid w:val="00E153AC"/>
    <w:rsid w:val="00E170DC"/>
    <w:rsid w:val="00E17546"/>
    <w:rsid w:val="00E210B5"/>
    <w:rsid w:val="00E23D8F"/>
    <w:rsid w:val="00E261B3"/>
    <w:rsid w:val="00E26818"/>
    <w:rsid w:val="00E27291"/>
    <w:rsid w:val="00E27FFC"/>
    <w:rsid w:val="00E30B15"/>
    <w:rsid w:val="00E33237"/>
    <w:rsid w:val="00E3790E"/>
    <w:rsid w:val="00E40181"/>
    <w:rsid w:val="00E46B7F"/>
    <w:rsid w:val="00E5061F"/>
    <w:rsid w:val="00E54950"/>
    <w:rsid w:val="00E55FB3"/>
    <w:rsid w:val="00E56A01"/>
    <w:rsid w:val="00E57A42"/>
    <w:rsid w:val="00E6298E"/>
    <w:rsid w:val="00E629A1"/>
    <w:rsid w:val="00E62AC2"/>
    <w:rsid w:val="00E6794C"/>
    <w:rsid w:val="00E67E55"/>
    <w:rsid w:val="00E71591"/>
    <w:rsid w:val="00E71CEB"/>
    <w:rsid w:val="00E7474F"/>
    <w:rsid w:val="00E748AC"/>
    <w:rsid w:val="00E758F7"/>
    <w:rsid w:val="00E77901"/>
    <w:rsid w:val="00E80DE3"/>
    <w:rsid w:val="00E82C55"/>
    <w:rsid w:val="00E83AA3"/>
    <w:rsid w:val="00E8787E"/>
    <w:rsid w:val="00E9104B"/>
    <w:rsid w:val="00E92385"/>
    <w:rsid w:val="00E92AC3"/>
    <w:rsid w:val="00E94ADE"/>
    <w:rsid w:val="00E94EFD"/>
    <w:rsid w:val="00EA0012"/>
    <w:rsid w:val="00EA2F6A"/>
    <w:rsid w:val="00EA2FFB"/>
    <w:rsid w:val="00EA3555"/>
    <w:rsid w:val="00EA530B"/>
    <w:rsid w:val="00EB002C"/>
    <w:rsid w:val="00EB00E0"/>
    <w:rsid w:val="00EB05D5"/>
    <w:rsid w:val="00EB1931"/>
    <w:rsid w:val="00EB3F25"/>
    <w:rsid w:val="00EB4276"/>
    <w:rsid w:val="00EB4589"/>
    <w:rsid w:val="00EB502E"/>
    <w:rsid w:val="00EC059F"/>
    <w:rsid w:val="00EC1F24"/>
    <w:rsid w:val="00EC20FF"/>
    <w:rsid w:val="00EC22F6"/>
    <w:rsid w:val="00EC709C"/>
    <w:rsid w:val="00EC7FD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066CE"/>
    <w:rsid w:val="00F073B2"/>
    <w:rsid w:val="00F101B8"/>
    <w:rsid w:val="00F10C7D"/>
    <w:rsid w:val="00F11037"/>
    <w:rsid w:val="00F16CC9"/>
    <w:rsid w:val="00F16F1B"/>
    <w:rsid w:val="00F24C88"/>
    <w:rsid w:val="00F250A9"/>
    <w:rsid w:val="00F267AF"/>
    <w:rsid w:val="00F30FF4"/>
    <w:rsid w:val="00F3122E"/>
    <w:rsid w:val="00F31FC9"/>
    <w:rsid w:val="00F32368"/>
    <w:rsid w:val="00F331AD"/>
    <w:rsid w:val="00F35287"/>
    <w:rsid w:val="00F37EF7"/>
    <w:rsid w:val="00F40220"/>
    <w:rsid w:val="00F40A70"/>
    <w:rsid w:val="00F419AF"/>
    <w:rsid w:val="00F43A37"/>
    <w:rsid w:val="00F44008"/>
    <w:rsid w:val="00F44F26"/>
    <w:rsid w:val="00F4614C"/>
    <w:rsid w:val="00F4641B"/>
    <w:rsid w:val="00F46EB8"/>
    <w:rsid w:val="00F476B8"/>
    <w:rsid w:val="00F50CD1"/>
    <w:rsid w:val="00F511E4"/>
    <w:rsid w:val="00F51A74"/>
    <w:rsid w:val="00F52D09"/>
    <w:rsid w:val="00F52E08"/>
    <w:rsid w:val="00F53783"/>
    <w:rsid w:val="00F53A66"/>
    <w:rsid w:val="00F5462D"/>
    <w:rsid w:val="00F55B21"/>
    <w:rsid w:val="00F56EF6"/>
    <w:rsid w:val="00F60082"/>
    <w:rsid w:val="00F6109C"/>
    <w:rsid w:val="00F6178A"/>
    <w:rsid w:val="00F61A9F"/>
    <w:rsid w:val="00F61B5F"/>
    <w:rsid w:val="00F64696"/>
    <w:rsid w:val="00F653FA"/>
    <w:rsid w:val="00F65AA9"/>
    <w:rsid w:val="00F6768F"/>
    <w:rsid w:val="00F72115"/>
    <w:rsid w:val="00F72C2C"/>
    <w:rsid w:val="00F7312B"/>
    <w:rsid w:val="00F741F2"/>
    <w:rsid w:val="00F7671E"/>
    <w:rsid w:val="00F76CAB"/>
    <w:rsid w:val="00F772C6"/>
    <w:rsid w:val="00F77304"/>
    <w:rsid w:val="00F77468"/>
    <w:rsid w:val="00F77F59"/>
    <w:rsid w:val="00F8027B"/>
    <w:rsid w:val="00F815B5"/>
    <w:rsid w:val="00F81BEF"/>
    <w:rsid w:val="00F83EDE"/>
    <w:rsid w:val="00F85195"/>
    <w:rsid w:val="00F868E3"/>
    <w:rsid w:val="00F901F5"/>
    <w:rsid w:val="00F92C12"/>
    <w:rsid w:val="00F938BA"/>
    <w:rsid w:val="00F972B1"/>
    <w:rsid w:val="00F97919"/>
    <w:rsid w:val="00FA0F9F"/>
    <w:rsid w:val="00FA123B"/>
    <w:rsid w:val="00FA2C46"/>
    <w:rsid w:val="00FA3525"/>
    <w:rsid w:val="00FA3718"/>
    <w:rsid w:val="00FA3FDA"/>
    <w:rsid w:val="00FA518A"/>
    <w:rsid w:val="00FA5A53"/>
    <w:rsid w:val="00FB3501"/>
    <w:rsid w:val="00FB4769"/>
    <w:rsid w:val="00FB4CDA"/>
    <w:rsid w:val="00FB5B4E"/>
    <w:rsid w:val="00FB632C"/>
    <w:rsid w:val="00FB6481"/>
    <w:rsid w:val="00FB6D36"/>
    <w:rsid w:val="00FB7AFC"/>
    <w:rsid w:val="00FC0965"/>
    <w:rsid w:val="00FC0F81"/>
    <w:rsid w:val="00FC252F"/>
    <w:rsid w:val="00FC395C"/>
    <w:rsid w:val="00FC46D7"/>
    <w:rsid w:val="00FC5E8E"/>
    <w:rsid w:val="00FC64CB"/>
    <w:rsid w:val="00FC7271"/>
    <w:rsid w:val="00FC7B96"/>
    <w:rsid w:val="00FD3766"/>
    <w:rsid w:val="00FD47C4"/>
    <w:rsid w:val="00FD61DC"/>
    <w:rsid w:val="00FD7DB6"/>
    <w:rsid w:val="00FE2DCF"/>
    <w:rsid w:val="00FE3FA7"/>
    <w:rsid w:val="00FF2A4E"/>
    <w:rsid w:val="00FF2FCE"/>
    <w:rsid w:val="00FF4F7D"/>
    <w:rsid w:val="00FF5B8E"/>
    <w:rsid w:val="00FF614A"/>
    <w:rsid w:val="00FF6B24"/>
    <w:rsid w:val="00FF6D9D"/>
    <w:rsid w:val="00FF7DD5"/>
    <w:rsid w:val="1F1491E4"/>
    <w:rsid w:val="30F154A5"/>
    <w:rsid w:val="6162989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E5FFF"/>
    <w:pPr>
      <w:spacing w:after="120" w:line="280" w:lineRule="atLeast"/>
    </w:pPr>
    <w:rPr>
      <w:rFonts w:ascii="Arial" w:hAnsi="Arial"/>
      <w:sz w:val="21"/>
      <w:lang w:eastAsia="en-US"/>
    </w:rPr>
  </w:style>
  <w:style w:type="paragraph" w:styleId="Heading1">
    <w:name w:val="heading 1"/>
    <w:next w:val="Body"/>
    <w:link w:val="Heading1Char"/>
    <w:uiPriority w:val="1"/>
    <w:qFormat/>
    <w:rsid w:val="00C44141"/>
    <w:pPr>
      <w:keepNext/>
      <w:keepLines/>
      <w:spacing w:before="320" w:after="200" w:line="440" w:lineRule="atLeast"/>
      <w:outlineLvl w:val="0"/>
    </w:pPr>
    <w:rPr>
      <w:rFonts w:ascii="Arial" w:eastAsia="MS Gothic" w:hAnsi="Arial" w:cs="Arial"/>
      <w:bCs/>
      <w:color w:val="5C308D"/>
      <w:kern w:val="32"/>
      <w:sz w:val="40"/>
      <w:szCs w:val="40"/>
      <w:lang w:eastAsia="en-US"/>
    </w:rPr>
  </w:style>
  <w:style w:type="paragraph" w:styleId="Heading2">
    <w:name w:val="heading 2"/>
    <w:next w:val="Body"/>
    <w:link w:val="Heading2Char"/>
    <w:uiPriority w:val="1"/>
    <w:qFormat/>
    <w:rsid w:val="0038129A"/>
    <w:pPr>
      <w:keepNext/>
      <w:keepLines/>
      <w:spacing w:before="280" w:after="120" w:line="360" w:lineRule="atLeast"/>
      <w:outlineLvl w:val="1"/>
    </w:pPr>
    <w:rPr>
      <w:rFonts w:ascii="Arial" w:hAnsi="Arial"/>
      <w:b/>
      <w:color w:val="7030A0"/>
      <w:sz w:val="32"/>
      <w:szCs w:val="28"/>
      <w:lang w:eastAsia="en-US"/>
    </w:rPr>
  </w:style>
  <w:style w:type="paragraph" w:styleId="Heading3">
    <w:name w:val="heading 3"/>
    <w:next w:val="Body"/>
    <w:link w:val="Heading3Char"/>
    <w:uiPriority w:val="1"/>
    <w:qFormat/>
    <w:rsid w:val="0038129A"/>
    <w:pPr>
      <w:keepNext/>
      <w:keepLines/>
      <w:spacing w:before="280" w:after="120" w:line="320" w:lineRule="atLeast"/>
      <w:outlineLvl w:val="2"/>
    </w:pPr>
    <w:rPr>
      <w:rFonts w:ascii="Arial" w:eastAsia="MS Gothic" w:hAnsi="Arial"/>
      <w:bCs/>
      <w:color w:val="7030A0"/>
      <w:sz w:val="28"/>
      <w:szCs w:val="26"/>
      <w:lang w:eastAsia="en-US"/>
    </w:rPr>
  </w:style>
  <w:style w:type="paragraph" w:styleId="Heading4">
    <w:name w:val="heading 4"/>
    <w:next w:val="Body"/>
    <w:link w:val="Heading4Char"/>
    <w:uiPriority w:val="1"/>
    <w:qFormat/>
    <w:rsid w:val="0038129A"/>
    <w:pPr>
      <w:keepNext/>
      <w:keepLines/>
      <w:spacing w:before="240" w:after="80" w:line="280" w:lineRule="atLeast"/>
      <w:outlineLvl w:val="3"/>
    </w:pPr>
    <w:rPr>
      <w:rFonts w:ascii="Arial" w:eastAsia="MS Mincho" w:hAnsi="Arial"/>
      <w:b/>
      <w:bCs/>
      <w:color w:val="7030A0"/>
      <w:sz w:val="24"/>
      <w:szCs w:val="22"/>
      <w:lang w:eastAsia="en-US"/>
    </w:rPr>
  </w:style>
  <w:style w:type="paragraph" w:styleId="Heading5">
    <w:name w:val="heading 5"/>
    <w:next w:val="Body"/>
    <w:link w:val="Heading5Char"/>
    <w:uiPriority w:val="98"/>
    <w:qFormat/>
    <w:rsid w:val="0038129A"/>
    <w:pPr>
      <w:keepNext/>
      <w:keepLines/>
      <w:spacing w:before="240" w:after="80" w:line="240" w:lineRule="atLeast"/>
      <w:outlineLvl w:val="4"/>
    </w:pPr>
    <w:rPr>
      <w:rFonts w:ascii="Arial" w:eastAsia="MS Mincho" w:hAnsi="Arial"/>
      <w:b/>
      <w:bCs/>
      <w:iCs/>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44141"/>
    <w:rPr>
      <w:rFonts w:ascii="Arial" w:eastAsia="MS Gothic" w:hAnsi="Arial" w:cs="Arial"/>
      <w:bCs/>
      <w:color w:val="5C308D"/>
      <w:kern w:val="32"/>
      <w:sz w:val="40"/>
      <w:szCs w:val="40"/>
      <w:lang w:eastAsia="en-US"/>
    </w:rPr>
  </w:style>
  <w:style w:type="character" w:customStyle="1" w:styleId="Heading2Char">
    <w:name w:val="Heading 2 Char"/>
    <w:link w:val="Heading2"/>
    <w:uiPriority w:val="1"/>
    <w:rsid w:val="0038129A"/>
    <w:rPr>
      <w:rFonts w:ascii="Arial" w:hAnsi="Arial"/>
      <w:b/>
      <w:color w:val="7030A0"/>
      <w:sz w:val="32"/>
      <w:szCs w:val="28"/>
      <w:lang w:eastAsia="en-US"/>
    </w:rPr>
  </w:style>
  <w:style w:type="character" w:customStyle="1" w:styleId="Heading3Char">
    <w:name w:val="Heading 3 Char"/>
    <w:link w:val="Heading3"/>
    <w:uiPriority w:val="1"/>
    <w:rsid w:val="0038129A"/>
    <w:rPr>
      <w:rFonts w:ascii="Arial" w:eastAsia="MS Gothic" w:hAnsi="Arial"/>
      <w:bCs/>
      <w:color w:val="7030A0"/>
      <w:sz w:val="28"/>
      <w:szCs w:val="26"/>
      <w:lang w:eastAsia="en-US"/>
    </w:rPr>
  </w:style>
  <w:style w:type="character" w:customStyle="1" w:styleId="Heading4Char">
    <w:name w:val="Heading 4 Char"/>
    <w:link w:val="Heading4"/>
    <w:uiPriority w:val="1"/>
    <w:rsid w:val="0038129A"/>
    <w:rPr>
      <w:rFonts w:ascii="Arial" w:eastAsia="MS Mincho" w:hAnsi="Arial"/>
      <w:b/>
      <w:bCs/>
      <w:color w:val="7030A0"/>
      <w:sz w:val="24"/>
      <w:szCs w:val="22"/>
      <w:lang w:eastAsia="en-US"/>
    </w:rPr>
  </w:style>
  <w:style w:type="paragraph" w:styleId="Header">
    <w:name w:val="header"/>
    <w:link w:val="HeaderChar"/>
    <w:uiPriority w:val="10"/>
    <w:rsid w:val="00E05026"/>
    <w:pPr>
      <w:spacing w:after="300"/>
    </w:pPr>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38129A"/>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F0F22"/>
    <w:pPr>
      <w:spacing w:before="360" w:after="200" w:line="330" w:lineRule="atLeast"/>
      <w:outlineLvl w:val="9"/>
    </w:pPr>
    <w:rPr>
      <w:sz w:val="29"/>
    </w:rPr>
  </w:style>
  <w:style w:type="character" w:customStyle="1" w:styleId="TOCheadingfactsheetChar">
    <w:name w:val="TOC heading fact sheet Char"/>
    <w:link w:val="TOCheadingfactsheet"/>
    <w:uiPriority w:val="4"/>
    <w:rsid w:val="003F0F22"/>
    <w:rPr>
      <w:rFonts w:ascii="Arial" w:hAnsi="Arial"/>
      <w:b/>
      <w:color w:val="237D82"/>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27291"/>
    <w:pPr>
      <w:spacing w:after="80" w:line="440" w:lineRule="atLeast"/>
    </w:pPr>
    <w:rPr>
      <w:rFonts w:ascii="Arial" w:hAnsi="Arial"/>
      <w:b/>
      <w:color w:val="5C308D"/>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5"/>
      </w:numPr>
    </w:pPr>
  </w:style>
  <w:style w:type="numbering" w:customStyle="1" w:styleId="ZZTablebullets">
    <w:name w:val="ZZ Table bullets"/>
    <w:basedOn w:val="NoList"/>
    <w:rsid w:val="00337339"/>
    <w:pPr>
      <w:numPr>
        <w:numId w:val="5"/>
      </w:numPr>
    </w:pPr>
  </w:style>
  <w:style w:type="paragraph" w:customStyle="1" w:styleId="Tablecolhead">
    <w:name w:val="Table col head"/>
    <w:uiPriority w:val="3"/>
    <w:qFormat/>
    <w:rsid w:val="0074731C"/>
    <w:pPr>
      <w:spacing w:before="80" w:after="60"/>
    </w:pPr>
    <w:rPr>
      <w:rFonts w:ascii="Arial" w:hAnsi="Arial"/>
      <w:b/>
      <w:color w:val="5C308D"/>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DD39BC"/>
    <w:rPr>
      <w:color w:val="5C308D"/>
      <w:u w:val="dotted"/>
    </w:rPr>
  </w:style>
  <w:style w:type="paragraph" w:customStyle="1" w:styleId="Documentsubtitle">
    <w:name w:val="Document subtitle"/>
    <w:uiPriority w:val="8"/>
    <w:rsid w:val="00DF20D3"/>
    <w:pPr>
      <w:spacing w:after="100" w:line="360" w:lineRule="atLeast"/>
    </w:pPr>
    <w:rPr>
      <w:rFonts w:ascii="Arial" w:hAnsi="Arial"/>
      <w:color w:val="5C308D"/>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4"/>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6"/>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1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10"/>
      </w:numPr>
    </w:pPr>
  </w:style>
  <w:style w:type="paragraph" w:customStyle="1" w:styleId="Numberlowerroman">
    <w:name w:val="Number lower roman"/>
    <w:basedOn w:val="Body"/>
    <w:uiPriority w:val="3"/>
    <w:rsid w:val="00337339"/>
    <w:pPr>
      <w:numPr>
        <w:numId w:val="7"/>
      </w:numPr>
    </w:pPr>
  </w:style>
  <w:style w:type="paragraph" w:customStyle="1" w:styleId="Numberlowerromanindent">
    <w:name w:val="Number lower roman indent"/>
    <w:basedOn w:val="Body"/>
    <w:uiPriority w:val="3"/>
    <w:rsid w:val="00337339"/>
    <w:pPr>
      <w:numPr>
        <w:ilvl w:val="1"/>
        <w:numId w:val="7"/>
      </w:numPr>
    </w:pPr>
  </w:style>
  <w:style w:type="paragraph" w:customStyle="1" w:styleId="Quotetext">
    <w:name w:val="Quote text"/>
    <w:basedOn w:val="Body"/>
    <w:uiPriority w:val="4"/>
    <w:rsid w:val="001159FE"/>
    <w:pPr>
      <w:spacing w:before="120"/>
      <w:ind w:left="397"/>
    </w:pPr>
    <w:rPr>
      <w:color w:val="287E84"/>
      <w:sz w:val="22"/>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9"/>
      </w:numPr>
    </w:pPr>
  </w:style>
  <w:style w:type="paragraph" w:customStyle="1" w:styleId="Quotebullet1">
    <w:name w:val="Quote bullet 1"/>
    <w:basedOn w:val="Quotetext"/>
    <w:rsid w:val="00337339"/>
    <w:pPr>
      <w:numPr>
        <w:numId w:val="6"/>
      </w:numPr>
    </w:pPr>
  </w:style>
  <w:style w:type="paragraph" w:customStyle="1" w:styleId="Quotebullet2">
    <w:name w:val="Quote bullet 2"/>
    <w:basedOn w:val="Quotetext"/>
    <w:rsid w:val="00337339"/>
    <w:pPr>
      <w:numPr>
        <w:ilvl w:val="1"/>
        <w:numId w:val="6"/>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A36AD9"/>
    <w:pPr>
      <w:spacing w:line="320" w:lineRule="atLeast"/>
    </w:pPr>
    <w:rPr>
      <w:color w:val="5C308D"/>
      <w:sz w:val="24"/>
    </w:rPr>
  </w:style>
  <w:style w:type="table" w:customStyle="1" w:styleId="CGEPStable">
    <w:name w:val="CGEPS table"/>
    <w:basedOn w:val="TableNormal"/>
    <w:uiPriority w:val="99"/>
    <w:rsid w:val="003D54CD"/>
    <w:tblPr>
      <w:tblStyleRowBandSize w:val="1"/>
      <w:tblBorders>
        <w:bottom w:val="single" w:sz="4" w:space="0" w:color="5C308D"/>
        <w:insideH w:val="single" w:sz="4" w:space="0" w:color="5C308D"/>
        <w:insideV w:val="single" w:sz="4" w:space="0" w:color="5C308D"/>
      </w:tblBorders>
    </w:tblPr>
    <w:tcPr>
      <w:shd w:val="clear" w:color="auto" w:fill="EFEAF4"/>
    </w:tcPr>
    <w:tblStylePr w:type="firstRow">
      <w:tblPr/>
      <w:tcPr>
        <w:shd w:val="clear" w:color="auto" w:fill="FFFFFF" w:themeFill="background1"/>
      </w:tcPr>
    </w:tblStylePr>
  </w:style>
  <w:style w:type="character" w:customStyle="1" w:styleId="HeaderChar">
    <w:name w:val="Header Char"/>
    <w:basedOn w:val="DefaultParagraphFont"/>
    <w:link w:val="Header"/>
    <w:uiPriority w:val="10"/>
    <w:rsid w:val="00E05026"/>
    <w:rPr>
      <w:rFonts w:ascii="Arial" w:hAnsi="Arial" w:cs="Arial"/>
      <w:b/>
      <w:color w:val="201547"/>
      <w:sz w:val="18"/>
      <w:szCs w:val="18"/>
      <w:lang w:eastAsia="en-US"/>
    </w:rPr>
  </w:style>
  <w:style w:type="paragraph" w:styleId="ListParagraph">
    <w:name w:val="List Paragraph"/>
    <w:basedOn w:val="Normal"/>
    <w:uiPriority w:val="72"/>
    <w:semiHidden/>
    <w:qFormat/>
    <w:rsid w:val="00477ABA"/>
    <w:pPr>
      <w:ind w:left="720"/>
      <w:contextualSpacing/>
    </w:pPr>
  </w:style>
  <w:style w:type="paragraph" w:customStyle="1" w:styleId="ng-star-inserted">
    <w:name w:val="ng-star-inserted"/>
    <w:basedOn w:val="Normal"/>
    <w:rsid w:val="005B5497"/>
    <w:pPr>
      <w:spacing w:before="100" w:beforeAutospacing="1" w:after="100" w:afterAutospacing="1" w:line="240" w:lineRule="auto"/>
    </w:pPr>
    <w:rPr>
      <w:rFonts w:ascii="Times New Roman" w:hAnsi="Times New Roman"/>
      <w:sz w:val="24"/>
      <w:szCs w:val="24"/>
      <w:lang w:eastAsia="en-AU"/>
    </w:rPr>
  </w:style>
  <w:style w:type="character" w:customStyle="1" w:styleId="ng-star-inserted1">
    <w:name w:val="ng-star-inserted1"/>
    <w:basedOn w:val="DefaultParagraphFont"/>
    <w:rsid w:val="005B5497"/>
  </w:style>
  <w:style w:type="paragraph" w:styleId="NormalWeb">
    <w:name w:val="Normal (Web)"/>
    <w:basedOn w:val="Normal"/>
    <w:uiPriority w:val="99"/>
    <w:semiHidden/>
    <w:unhideWhenUsed/>
    <w:rsid w:val="00353A79"/>
    <w:rPr>
      <w:rFonts w:ascii="Times New Roman" w:hAnsi="Times New Roman"/>
      <w:sz w:val="24"/>
      <w:szCs w:val="24"/>
    </w:rPr>
  </w:style>
  <w:style w:type="paragraph" w:customStyle="1" w:styleId="LetterText">
    <w:name w:val="Letter Text"/>
    <w:rsid w:val="00050E0E"/>
    <w:rPr>
      <w:rFonts w:ascii="Calibri" w:eastAsiaTheme="minorEastAsia" w:hAnsi="Calibri" w:cstheme="minorBidi"/>
      <w:sz w:val="22"/>
      <w:szCs w:val="22"/>
      <w:lang w:eastAsia="en-US"/>
    </w:rPr>
  </w:style>
  <w:style w:type="character" w:customStyle="1" w:styleId="author">
    <w:name w:val="author"/>
    <w:basedOn w:val="DefaultParagraphFont"/>
    <w:rsid w:val="002D0217"/>
  </w:style>
  <w:style w:type="character" w:customStyle="1" w:styleId="pubyear">
    <w:name w:val="pubyear"/>
    <w:basedOn w:val="DefaultParagraphFont"/>
    <w:rsid w:val="002D0217"/>
  </w:style>
  <w:style w:type="character" w:customStyle="1" w:styleId="chaptertitle">
    <w:name w:val="chaptertitle"/>
    <w:basedOn w:val="DefaultParagraphFont"/>
    <w:rsid w:val="002D0217"/>
  </w:style>
  <w:style w:type="character" w:customStyle="1" w:styleId="booktitle">
    <w:name w:val="booktitle"/>
    <w:basedOn w:val="DefaultParagraphFont"/>
    <w:rsid w:val="002D0217"/>
  </w:style>
  <w:style w:type="character" w:customStyle="1" w:styleId="pagefirst">
    <w:name w:val="pagefirst"/>
    <w:basedOn w:val="DefaultParagraphFont"/>
    <w:rsid w:val="002D0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121484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2781826">
      <w:bodyDiv w:val="1"/>
      <w:marLeft w:val="0"/>
      <w:marRight w:val="0"/>
      <w:marTop w:val="0"/>
      <w:marBottom w:val="0"/>
      <w:divBdr>
        <w:top w:val="none" w:sz="0" w:space="0" w:color="auto"/>
        <w:left w:val="none" w:sz="0" w:space="0" w:color="auto"/>
        <w:bottom w:val="none" w:sz="0" w:space="0" w:color="auto"/>
        <w:right w:val="none" w:sz="0" w:space="0" w:color="auto"/>
      </w:divBdr>
    </w:div>
    <w:div w:id="398214466">
      <w:bodyDiv w:val="1"/>
      <w:marLeft w:val="0"/>
      <w:marRight w:val="0"/>
      <w:marTop w:val="0"/>
      <w:marBottom w:val="0"/>
      <w:divBdr>
        <w:top w:val="none" w:sz="0" w:space="0" w:color="auto"/>
        <w:left w:val="none" w:sz="0" w:space="0" w:color="auto"/>
        <w:bottom w:val="none" w:sz="0" w:space="0" w:color="auto"/>
        <w:right w:val="none" w:sz="0" w:space="0" w:color="auto"/>
      </w:divBdr>
    </w:div>
    <w:div w:id="463961758">
      <w:bodyDiv w:val="1"/>
      <w:marLeft w:val="0"/>
      <w:marRight w:val="0"/>
      <w:marTop w:val="0"/>
      <w:marBottom w:val="0"/>
      <w:divBdr>
        <w:top w:val="none" w:sz="0" w:space="0" w:color="auto"/>
        <w:left w:val="none" w:sz="0" w:space="0" w:color="auto"/>
        <w:bottom w:val="none" w:sz="0" w:space="0" w:color="auto"/>
        <w:right w:val="none" w:sz="0" w:space="0" w:color="auto"/>
      </w:divBdr>
    </w:div>
    <w:div w:id="496112839">
      <w:bodyDiv w:val="1"/>
      <w:marLeft w:val="0"/>
      <w:marRight w:val="0"/>
      <w:marTop w:val="0"/>
      <w:marBottom w:val="0"/>
      <w:divBdr>
        <w:top w:val="none" w:sz="0" w:space="0" w:color="auto"/>
        <w:left w:val="none" w:sz="0" w:space="0" w:color="auto"/>
        <w:bottom w:val="none" w:sz="0" w:space="0" w:color="auto"/>
        <w:right w:val="none" w:sz="0" w:space="0" w:color="auto"/>
      </w:divBdr>
    </w:div>
    <w:div w:id="759833554">
      <w:bodyDiv w:val="1"/>
      <w:marLeft w:val="0"/>
      <w:marRight w:val="0"/>
      <w:marTop w:val="0"/>
      <w:marBottom w:val="0"/>
      <w:divBdr>
        <w:top w:val="none" w:sz="0" w:space="0" w:color="auto"/>
        <w:left w:val="none" w:sz="0" w:space="0" w:color="auto"/>
        <w:bottom w:val="none" w:sz="0" w:space="0" w:color="auto"/>
        <w:right w:val="none" w:sz="0" w:space="0" w:color="auto"/>
      </w:divBdr>
    </w:div>
    <w:div w:id="81449391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6188197">
      <w:bodyDiv w:val="1"/>
      <w:marLeft w:val="0"/>
      <w:marRight w:val="0"/>
      <w:marTop w:val="0"/>
      <w:marBottom w:val="0"/>
      <w:divBdr>
        <w:top w:val="none" w:sz="0" w:space="0" w:color="auto"/>
        <w:left w:val="none" w:sz="0" w:space="0" w:color="auto"/>
        <w:bottom w:val="none" w:sz="0" w:space="0" w:color="auto"/>
        <w:right w:val="none" w:sz="0" w:space="0" w:color="auto"/>
      </w:divBdr>
      <w:divsChild>
        <w:div w:id="726488094">
          <w:marLeft w:val="-225"/>
          <w:marRight w:val="-225"/>
          <w:marTop w:val="0"/>
          <w:marBottom w:val="915"/>
          <w:divBdr>
            <w:top w:val="none" w:sz="0" w:space="0" w:color="auto"/>
            <w:left w:val="none" w:sz="0" w:space="0" w:color="auto"/>
            <w:bottom w:val="none" w:sz="0" w:space="0" w:color="auto"/>
            <w:right w:val="none" w:sz="0" w:space="0" w:color="auto"/>
          </w:divBdr>
          <w:divsChild>
            <w:div w:id="1445003328">
              <w:marLeft w:val="0"/>
              <w:marRight w:val="0"/>
              <w:marTop w:val="0"/>
              <w:marBottom w:val="0"/>
              <w:divBdr>
                <w:top w:val="none" w:sz="0" w:space="0" w:color="auto"/>
                <w:left w:val="none" w:sz="0" w:space="0" w:color="auto"/>
                <w:bottom w:val="none" w:sz="0" w:space="0" w:color="auto"/>
                <w:right w:val="none" w:sz="0" w:space="0" w:color="auto"/>
              </w:divBdr>
              <w:divsChild>
                <w:div w:id="15775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3150442">
      <w:bodyDiv w:val="1"/>
      <w:marLeft w:val="0"/>
      <w:marRight w:val="0"/>
      <w:marTop w:val="0"/>
      <w:marBottom w:val="0"/>
      <w:divBdr>
        <w:top w:val="none" w:sz="0" w:space="0" w:color="auto"/>
        <w:left w:val="none" w:sz="0" w:space="0" w:color="auto"/>
        <w:bottom w:val="none" w:sz="0" w:space="0" w:color="auto"/>
        <w:right w:val="none" w:sz="0" w:space="0" w:color="auto"/>
      </w:divBdr>
    </w:div>
    <w:div w:id="1042097693">
      <w:bodyDiv w:val="1"/>
      <w:marLeft w:val="0"/>
      <w:marRight w:val="0"/>
      <w:marTop w:val="0"/>
      <w:marBottom w:val="0"/>
      <w:divBdr>
        <w:top w:val="none" w:sz="0" w:space="0" w:color="auto"/>
        <w:left w:val="none" w:sz="0" w:space="0" w:color="auto"/>
        <w:bottom w:val="none" w:sz="0" w:space="0" w:color="auto"/>
        <w:right w:val="none" w:sz="0" w:space="0" w:color="auto"/>
      </w:divBdr>
    </w:div>
    <w:div w:id="1091926010">
      <w:bodyDiv w:val="1"/>
      <w:marLeft w:val="0"/>
      <w:marRight w:val="0"/>
      <w:marTop w:val="0"/>
      <w:marBottom w:val="0"/>
      <w:divBdr>
        <w:top w:val="none" w:sz="0" w:space="0" w:color="auto"/>
        <w:left w:val="none" w:sz="0" w:space="0" w:color="auto"/>
        <w:bottom w:val="none" w:sz="0" w:space="0" w:color="auto"/>
        <w:right w:val="none" w:sz="0" w:space="0" w:color="auto"/>
      </w:divBdr>
      <w:divsChild>
        <w:div w:id="467669128">
          <w:marLeft w:val="-225"/>
          <w:marRight w:val="-225"/>
          <w:marTop w:val="0"/>
          <w:marBottom w:val="915"/>
          <w:divBdr>
            <w:top w:val="none" w:sz="0" w:space="0" w:color="auto"/>
            <w:left w:val="none" w:sz="0" w:space="0" w:color="auto"/>
            <w:bottom w:val="none" w:sz="0" w:space="0" w:color="auto"/>
            <w:right w:val="none" w:sz="0" w:space="0" w:color="auto"/>
          </w:divBdr>
          <w:divsChild>
            <w:div w:id="1559167724">
              <w:marLeft w:val="0"/>
              <w:marRight w:val="0"/>
              <w:marTop w:val="0"/>
              <w:marBottom w:val="0"/>
              <w:divBdr>
                <w:top w:val="none" w:sz="0" w:space="0" w:color="auto"/>
                <w:left w:val="none" w:sz="0" w:space="0" w:color="auto"/>
                <w:bottom w:val="none" w:sz="0" w:space="0" w:color="auto"/>
                <w:right w:val="none" w:sz="0" w:space="0" w:color="auto"/>
              </w:divBdr>
              <w:divsChild>
                <w:div w:id="8324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80944">
      <w:bodyDiv w:val="1"/>
      <w:marLeft w:val="0"/>
      <w:marRight w:val="0"/>
      <w:marTop w:val="0"/>
      <w:marBottom w:val="0"/>
      <w:divBdr>
        <w:top w:val="none" w:sz="0" w:space="0" w:color="auto"/>
        <w:left w:val="none" w:sz="0" w:space="0" w:color="auto"/>
        <w:bottom w:val="none" w:sz="0" w:space="0" w:color="auto"/>
        <w:right w:val="none" w:sz="0" w:space="0" w:color="auto"/>
      </w:divBdr>
    </w:div>
    <w:div w:id="1190491267">
      <w:bodyDiv w:val="1"/>
      <w:marLeft w:val="0"/>
      <w:marRight w:val="0"/>
      <w:marTop w:val="0"/>
      <w:marBottom w:val="0"/>
      <w:divBdr>
        <w:top w:val="none" w:sz="0" w:space="0" w:color="auto"/>
        <w:left w:val="none" w:sz="0" w:space="0" w:color="auto"/>
        <w:bottom w:val="none" w:sz="0" w:space="0" w:color="auto"/>
        <w:right w:val="none" w:sz="0" w:space="0" w:color="auto"/>
      </w:divBdr>
      <w:divsChild>
        <w:div w:id="218054564">
          <w:marLeft w:val="-225"/>
          <w:marRight w:val="-225"/>
          <w:marTop w:val="0"/>
          <w:marBottom w:val="915"/>
          <w:divBdr>
            <w:top w:val="none" w:sz="0" w:space="0" w:color="auto"/>
            <w:left w:val="none" w:sz="0" w:space="0" w:color="auto"/>
            <w:bottom w:val="none" w:sz="0" w:space="0" w:color="auto"/>
            <w:right w:val="none" w:sz="0" w:space="0" w:color="auto"/>
          </w:divBdr>
          <w:divsChild>
            <w:div w:id="1296763395">
              <w:marLeft w:val="0"/>
              <w:marRight w:val="0"/>
              <w:marTop w:val="0"/>
              <w:marBottom w:val="0"/>
              <w:divBdr>
                <w:top w:val="none" w:sz="0" w:space="0" w:color="auto"/>
                <w:left w:val="none" w:sz="0" w:space="0" w:color="auto"/>
                <w:bottom w:val="none" w:sz="0" w:space="0" w:color="auto"/>
                <w:right w:val="none" w:sz="0" w:space="0" w:color="auto"/>
              </w:divBdr>
              <w:divsChild>
                <w:div w:id="11860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750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5323605">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851977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0522551">
      <w:bodyDiv w:val="1"/>
      <w:marLeft w:val="0"/>
      <w:marRight w:val="0"/>
      <w:marTop w:val="0"/>
      <w:marBottom w:val="0"/>
      <w:divBdr>
        <w:top w:val="none" w:sz="0" w:space="0" w:color="auto"/>
        <w:left w:val="none" w:sz="0" w:space="0" w:color="auto"/>
        <w:bottom w:val="none" w:sz="0" w:space="0" w:color="auto"/>
        <w:right w:val="none" w:sz="0" w:space="0" w:color="auto"/>
      </w:divBdr>
    </w:div>
    <w:div w:id="190756505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875259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knowledgehub.transparency.org/assets/uploads/kproducts/Criminalising-sextortion_final_10.06.2022.pdf" TargetMode="External"/><Relationship Id="rId13" Type="http://schemas.openxmlformats.org/officeDocument/2006/relationships/hyperlink" Target="https://www.ibac.vic.gov.au/information-privacy-statement" TargetMode="External"/><Relationship Id="rId3" Type="http://schemas.openxmlformats.org/officeDocument/2006/relationships/hyperlink" Target="https://doi.org/10.1002/app5.70010" TargetMode="External"/><Relationship Id="rId7" Type="http://schemas.openxmlformats.org/officeDocument/2006/relationships/hyperlink" Target="https://www.unodc.org/res/ji/import/guide/naming_shaming_ending_sextortion/naming_shaming_ending_sextortion.pdf" TargetMode="External"/><Relationship Id="rId12" Type="http://schemas.openxmlformats.org/officeDocument/2006/relationships/hyperlink" Target="https://www.parliament.vic.gov.au/49c5d4/contentassets/8ed83c5117cc4157a78ec13c4d774154/2.-imcl-response-to-questions-on-notice-20241224.pdf" TargetMode="External"/><Relationship Id="rId2" Type="http://schemas.openxmlformats.org/officeDocument/2006/relationships/hyperlink" Target="https://www.trust.org/wp-content/uploads/2024/09/downloaded_file-108.pdf" TargetMode="External"/><Relationship Id="rId1" Type="http://schemas.openxmlformats.org/officeDocument/2006/relationships/hyperlink" Target="https://images.transparencycdn.org/images/Report-Corruption-through-a-gendered-lens-November-23.pdf" TargetMode="External"/><Relationship Id="rId6" Type="http://schemas.openxmlformats.org/officeDocument/2006/relationships/hyperlink" Target="https://link.springer.com/book/10.1007/978-3-319-70929-1" TargetMode="External"/><Relationship Id="rId11" Type="http://schemas.openxmlformats.org/officeDocument/2006/relationships/hyperlink" Target="https://www.ibac.vic.gov.au/Preventing-corruption-in-high-risk-public-sector-agencies" TargetMode="External"/><Relationship Id="rId5" Type="http://schemas.openxmlformats.org/officeDocument/2006/relationships/hyperlink" Target="https://images.transparencycdn.org/images/2020_Report_BreakingSilenceAroundSextortion_English.pdf" TargetMode="External"/><Relationship Id="rId10" Type="http://schemas.openxmlformats.org/officeDocument/2006/relationships/hyperlink" Target="https://docslib.org/doc/3626177/sextortion-a-crime-of-corruption-and-sexual-exploitation" TargetMode="External"/><Relationship Id="rId4" Type="http://schemas.openxmlformats.org/officeDocument/2006/relationships/hyperlink" Target="https://doi.org/10.29063/ajrh2022/v26i6.6" TargetMode="External"/><Relationship Id="rId9" Type="http://schemas.openxmlformats.org/officeDocument/2006/relationships/hyperlink" Target="https://www.transparency.org/en/gcb/latin-america/latin-america-and-the-caribbean-x-edition-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a84452663b352aab70d8919d62b23749">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ec87a90878aeecb994ddb9ee8637ae3"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_Flow_SignoffStatus xmlns="50f00e27-c35f-46eb-9301-c9e2bd24673f" xsi:nil="true"/>
    <TRIMstatus xmlns="50f00e27-c35f-46eb-9301-c9e2bd24673f" xsi:nil="true"/>
    <TRIMreference xmlns="50f00e27-c35f-46eb-9301-c9e2bd24673f"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7C7AD06A-0CD3-454C-8E0B-BDBFBB41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http://purl.org/dc/dcmitype/"/>
    <ds:schemaRef ds:uri="27cb37dd-16a1-4d7b-8276-5c0e4168f63b"/>
    <ds:schemaRef ds:uri="http://www.w3.org/XML/1998/namespace"/>
    <ds:schemaRef ds:uri="http://schemas.microsoft.com/office/infopath/2007/PartnerControls"/>
    <ds:schemaRef ds:uri="http://purl.org/dc/elements/1.1/"/>
    <ds:schemaRef ds:uri="5ce0f2b5-5be5-4508-bce9-d7011ece0659"/>
    <ds:schemaRef ds:uri="50f00e27-c35f-46eb-9301-c9e2bd24673f"/>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2105</Words>
  <Characters>12004</Characters>
  <Application>Microsoft Office Word</Application>
  <DocSecurity>2</DocSecurity>
  <Lines>100</Lines>
  <Paragraphs>28</Paragraphs>
  <ScaleCrop>false</ScaleCrop>
  <HeadingPairs>
    <vt:vector size="2" baseType="variant">
      <vt:variant>
        <vt:lpstr>Title</vt:lpstr>
      </vt:variant>
      <vt:variant>
        <vt:i4>1</vt:i4>
      </vt:variant>
    </vt:vector>
  </HeadingPairs>
  <TitlesOfParts>
    <vt:vector size="1" baseType="lpstr">
      <vt:lpstr>Commissioner submission - Inquiry into the adequacy of the legislative framework for IBAC</vt:lpstr>
    </vt:vector>
  </TitlesOfParts>
  <Company>Victoria State Government, Commission for Gender Equality in the Public Sector</Company>
  <LinksUpToDate>false</LinksUpToDate>
  <CharactersWithSpaces>14081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submission: Inquiry into the adequacy of the legislative framework for IBAC</dc:title>
  <dc:subject>Commissioner submission: Inquiry into the adequacy of the legislative framework for IBAC</dc:subject>
  <dc:creator>Commission for Gender Equality in the Public Sector</dc:creator>
  <cp:keywords>Submission, IBAC, Independent Broad-based Anti-corruption Commission, Integrity and Oversight Committee, gender, gender equality;</cp:keywords>
  <cp:lastModifiedBy>Andrew Elkson (CGEPS)</cp:lastModifiedBy>
  <cp:revision>2</cp:revision>
  <cp:lastPrinted>2021-01-29T05:27:00Z</cp:lastPrinted>
  <dcterms:created xsi:type="dcterms:W3CDTF">2026-01-08T22:35:00Z</dcterms:created>
  <dcterms:modified xsi:type="dcterms:W3CDTF">2026-01-08T22:35:00Z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 SBV1 240525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0x010100555DF7B4C3396B4DA0F821E47AA844D3</vt:lpwstr>
  </property>
  <property fmtid="{D5CDD505-2E9C-101B-9397-08002B2CF9AE}" pid="24" name="MediaServiceImageTags">
    <vt:lpwstr/>
  </property>
</Properties>
</file>