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text" w:horzAnchor="page" w:tblpX="2306" w:tblpY="-1356"/>
        <w:tblW w:w="9355" w:type="dxa"/>
        <w:tblLook w:val="0600" w:firstRow="0" w:lastRow="0" w:firstColumn="0" w:lastColumn="0" w:noHBand="1" w:noVBand="1"/>
      </w:tblPr>
      <w:tblGrid>
        <w:gridCol w:w="9355"/>
      </w:tblGrid>
      <w:tr w:rsidR="004316A9" w:rsidRPr="00A964EC" w14:paraId="0E502503" w14:textId="77777777" w:rsidTr="005E31FF">
        <w:trPr>
          <w:trHeight w:val="1414"/>
        </w:trPr>
        <w:tc>
          <w:tcPr>
            <w:tcW w:w="9355" w:type="dxa"/>
          </w:tcPr>
          <w:p w14:paraId="6E53577C" w14:textId="31198C8C" w:rsidR="004316A9" w:rsidRPr="00A65439" w:rsidRDefault="00F22B78" w:rsidP="00191440">
            <w:pPr>
              <w:pStyle w:val="Heading1"/>
              <w:jc w:val="right"/>
              <w:rPr>
                <w:rFonts w:cstheme="minorHAnsi"/>
                <w:color w:val="FFFFFF" w:themeColor="background1"/>
                <w:sz w:val="36"/>
                <w:szCs w:val="20"/>
              </w:rPr>
            </w:pPr>
            <w:r w:rsidRPr="00A65439">
              <w:rPr>
                <w:rFonts w:cstheme="minorHAnsi"/>
                <w:color w:val="FFFFFF" w:themeColor="background1"/>
                <w:sz w:val="36"/>
                <w:szCs w:val="20"/>
              </w:rPr>
              <w:t xml:space="preserve">Submission on the </w:t>
            </w:r>
            <w:r w:rsidR="00815C8F">
              <w:rPr>
                <w:rFonts w:cstheme="minorHAnsi"/>
                <w:color w:val="FFFFFF" w:themeColor="background1"/>
                <w:sz w:val="36"/>
                <w:szCs w:val="20"/>
              </w:rPr>
              <w:t>National Strategy to Achieve Gender Equality</w:t>
            </w:r>
          </w:p>
        </w:tc>
      </w:tr>
      <w:tr w:rsidR="004316A9" w:rsidRPr="00A964EC" w14:paraId="68EA8365" w14:textId="77777777" w:rsidTr="00191440">
        <w:trPr>
          <w:trHeight w:val="898"/>
        </w:trPr>
        <w:tc>
          <w:tcPr>
            <w:tcW w:w="9355" w:type="dxa"/>
          </w:tcPr>
          <w:p w14:paraId="33A8AC66" w14:textId="7B056B77" w:rsidR="00A65439" w:rsidRPr="00A65439" w:rsidRDefault="00A65439" w:rsidP="00A65439">
            <w:pPr>
              <w:pStyle w:val="Heading3"/>
              <w:jc w:val="right"/>
              <w:rPr>
                <w:color w:val="FFFFFF" w:themeColor="background1"/>
              </w:rPr>
            </w:pPr>
            <w:r>
              <w:rPr>
                <w:color w:val="FFFFFF" w:themeColor="background1"/>
              </w:rPr>
              <w:t>Public Sector Gender Equality Commissioner, Victoria</w:t>
            </w:r>
            <w:r>
              <w:rPr>
                <w:color w:val="FFFFFF" w:themeColor="background1"/>
              </w:rPr>
              <w:br/>
            </w:r>
            <w:r w:rsidR="00815C8F">
              <w:rPr>
                <w:rFonts w:ascii="VIC" w:hAnsi="VIC"/>
                <w:color w:val="FFFFFF" w:themeColor="background1"/>
              </w:rPr>
              <w:t>April</w:t>
            </w:r>
            <w:r w:rsidRPr="003A73A2">
              <w:rPr>
                <w:rFonts w:ascii="VIC" w:hAnsi="VIC"/>
                <w:color w:val="FFFFFF" w:themeColor="background1"/>
              </w:rPr>
              <w:t xml:space="preserve"> 2023</w:t>
            </w:r>
          </w:p>
        </w:tc>
      </w:tr>
    </w:tbl>
    <w:p w14:paraId="07BF9854" w14:textId="77777777" w:rsidR="00231AE0" w:rsidRPr="00A964EC" w:rsidRDefault="004E7C1C">
      <w:pPr>
        <w:rPr>
          <w:rFonts w:cstheme="minorHAnsi"/>
        </w:rPr>
      </w:pPr>
      <w:r w:rsidRPr="00A964EC">
        <w:rPr>
          <w:rFonts w:cstheme="minorHAnsi"/>
          <w:noProof/>
        </w:rPr>
        <mc:AlternateContent>
          <mc:Choice Requires="wpg">
            <w:drawing>
              <wp:anchor distT="0" distB="0" distL="114300" distR="114300" simplePos="0" relativeHeight="251658240" behindDoc="1" locked="1" layoutInCell="1" allowOverlap="1" wp14:anchorId="0B3E2EF3" wp14:editId="7D92A664">
                <wp:simplePos x="0" y="0"/>
                <wp:positionH relativeFrom="page">
                  <wp:posOffset>0</wp:posOffset>
                </wp:positionH>
                <wp:positionV relativeFrom="paragraph">
                  <wp:posOffset>-975360</wp:posOffset>
                </wp:positionV>
                <wp:extent cx="7555865" cy="1744980"/>
                <wp:effectExtent l="0" t="0" r="6985" b="7620"/>
                <wp:wrapNone/>
                <wp:docPr id="1" name="Group 1"/>
                <wp:cNvGraphicFramePr/>
                <a:graphic xmlns:a="http://schemas.openxmlformats.org/drawingml/2006/main">
                  <a:graphicData uri="http://schemas.microsoft.com/office/word/2010/wordprocessingGroup">
                    <wpg:wgp>
                      <wpg:cNvGrpSpPr/>
                      <wpg:grpSpPr>
                        <a:xfrm>
                          <a:off x="0" y="0"/>
                          <a:ext cx="7555865" cy="1744980"/>
                          <a:chOff x="0" y="3"/>
                          <a:chExt cx="7556500" cy="1744345"/>
                        </a:xfrm>
                      </wpg:grpSpPr>
                      <pic:pic xmlns:pic="http://schemas.openxmlformats.org/drawingml/2006/picture">
                        <pic:nvPicPr>
                          <pic:cNvPr id="11" name="Picture 11"/>
                          <pic:cNvPicPr>
                            <a:picLocks noChangeAspect="1"/>
                          </pic:cNvPicPr>
                        </pic:nvPicPr>
                        <pic:blipFill rotWithShape="1">
                          <a:blip r:embed="rId11"/>
                          <a:srcRect t="47505" b="2"/>
                          <a:stretch/>
                        </pic:blipFill>
                        <pic:spPr>
                          <a:xfrm>
                            <a:off x="0" y="4233"/>
                            <a:ext cx="7556500" cy="1739900"/>
                          </a:xfrm>
                          <a:prstGeom prst="rect">
                            <a:avLst/>
                          </a:prstGeom>
                        </pic:spPr>
                      </pic:pic>
                      <pic:pic xmlns:pic="http://schemas.openxmlformats.org/drawingml/2006/picture">
                        <pic:nvPicPr>
                          <pic:cNvPr id="4" name="Picture 9">
                            <a:extLst>
                              <a:ext uri="{FF2B5EF4-FFF2-40B4-BE49-F238E27FC236}">
                                <a16:creationId xmlns:a16="http://schemas.microsoft.com/office/drawing/2014/main" id="{E7442D22-604D-412A-83B1-0FEAE914D85F}"/>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b="1911"/>
                          <a:stretch/>
                        </pic:blipFill>
                        <pic:spPr bwMode="auto">
                          <a:xfrm>
                            <a:off x="0" y="3"/>
                            <a:ext cx="1772285" cy="17443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72FCB97" id="Group 1" o:spid="_x0000_s1026" style="position:absolute;margin-left:0;margin-top:-76.8pt;width:594.95pt;height:137.4pt;z-index:-251658240;mso-position-horizontal-relative:page;mso-width-relative:margin;mso-height-relative:margin" coordorigin="" coordsize="75565,17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42;width:75565;height:17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">
                  <v:imagedata r:id="rId13" o:title="" croptop="31133f" cropbottom="1f"/>
                </v:shape>
                <v:shape id="Picture 9" o:spid="_x0000_s1028" type="#_x0000_t75" style="position:absolute;width:17722;height:17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">
                  <v:imagedata r:id="rId14" o:title="" cropbottom="1252f"/>
                </v:shape>
                <w10:wrap anchorx="page"/>
                <w10:anchorlock/>
              </v:group>
            </w:pict>
          </mc:Fallback>
        </mc:AlternateContent>
      </w:r>
    </w:p>
    <w:p w14:paraId="5C4391CD" w14:textId="77777777" w:rsidR="004316A9" w:rsidRPr="00A964EC" w:rsidRDefault="004316A9" w:rsidP="004316A9">
      <w:pPr>
        <w:pStyle w:val="Title"/>
        <w:rPr>
          <w:rStyle w:val="IntenseEmphasis"/>
          <w:rFonts w:cstheme="minorHAnsi"/>
          <w:i w:val="0"/>
          <w:iCs w:val="0"/>
          <w:color w:val="auto"/>
        </w:rPr>
      </w:pPr>
    </w:p>
    <w:p w14:paraId="273D43A9" w14:textId="400E0FB1" w:rsidR="00A964EC" w:rsidRPr="00A964EC" w:rsidRDefault="003A73A2" w:rsidP="005354FB">
      <w:pPr>
        <w:pStyle w:val="Heading1"/>
        <w:numPr>
          <w:ilvl w:val="0"/>
          <w:numId w:val="2"/>
        </w:numPr>
        <w:spacing w:before="120" w:after="120"/>
        <w:rPr>
          <w:rFonts w:cstheme="minorHAnsi"/>
        </w:rPr>
      </w:pPr>
      <w:r>
        <w:rPr>
          <w:rFonts w:cstheme="minorHAnsi"/>
        </w:rPr>
        <w:t>Introduction</w:t>
      </w:r>
    </w:p>
    <w:p w14:paraId="22102400" w14:textId="5ED47A9B" w:rsidR="00A964EC" w:rsidRDefault="002C7991" w:rsidP="005354FB">
      <w:pPr>
        <w:pStyle w:val="Body"/>
        <w:spacing w:before="120"/>
        <w:rPr>
          <w:lang w:eastAsia="en-AU"/>
        </w:rPr>
      </w:pPr>
      <w:r w:rsidRPr="002C7991">
        <w:rPr>
          <w:lang w:eastAsia="en-AU"/>
        </w:rPr>
        <w:t>As Victoria’s Public Sector Gender Equality Commissioner (Commissioner), I</w:t>
      </w:r>
      <w:r w:rsidRPr="002C7991">
        <w:rPr>
          <w:rFonts w:ascii="Cambria" w:hAnsi="Cambria" w:cs="Cambria"/>
          <w:lang w:eastAsia="en-AU"/>
        </w:rPr>
        <w:t> </w:t>
      </w:r>
      <w:r w:rsidRPr="002C7991">
        <w:rPr>
          <w:lang w:eastAsia="en-AU"/>
        </w:rPr>
        <w:t>welcome the</w:t>
      </w:r>
      <w:r w:rsidRPr="002C7991">
        <w:rPr>
          <w:rFonts w:ascii="Cambria" w:hAnsi="Cambria" w:cs="Cambria"/>
          <w:lang w:eastAsia="en-AU"/>
        </w:rPr>
        <w:t> </w:t>
      </w:r>
      <w:r w:rsidRPr="002C7991">
        <w:rPr>
          <w:lang w:eastAsia="en-AU"/>
        </w:rPr>
        <w:t>opportunity to</w:t>
      </w:r>
      <w:r w:rsidRPr="002C7991">
        <w:rPr>
          <w:rFonts w:ascii="Cambria" w:hAnsi="Cambria" w:cs="Cambria"/>
          <w:lang w:eastAsia="en-AU"/>
        </w:rPr>
        <w:t> </w:t>
      </w:r>
      <w:r w:rsidRPr="002C7991">
        <w:rPr>
          <w:lang w:eastAsia="en-AU"/>
        </w:rPr>
        <w:t>provide</w:t>
      </w:r>
      <w:r w:rsidRPr="002C7991">
        <w:rPr>
          <w:rFonts w:ascii="Cambria" w:hAnsi="Cambria" w:cs="Cambria"/>
          <w:lang w:eastAsia="en-AU"/>
        </w:rPr>
        <w:t> </w:t>
      </w:r>
      <w:r w:rsidRPr="002C7991">
        <w:rPr>
          <w:lang w:eastAsia="en-AU"/>
        </w:rPr>
        <w:t>a</w:t>
      </w:r>
      <w:r w:rsidRPr="002C7991">
        <w:rPr>
          <w:rFonts w:ascii="Cambria" w:hAnsi="Cambria" w:cs="Cambria"/>
          <w:lang w:eastAsia="en-AU"/>
        </w:rPr>
        <w:t> </w:t>
      </w:r>
      <w:r w:rsidRPr="002C7991">
        <w:rPr>
          <w:lang w:eastAsia="en-AU"/>
        </w:rPr>
        <w:t>submission</w:t>
      </w:r>
      <w:r w:rsidRPr="002C7991">
        <w:rPr>
          <w:rFonts w:ascii="Cambria" w:hAnsi="Cambria" w:cs="Cambria"/>
          <w:lang w:eastAsia="en-AU"/>
        </w:rPr>
        <w:t> </w:t>
      </w:r>
      <w:r w:rsidRPr="002C7991">
        <w:rPr>
          <w:lang w:eastAsia="en-AU"/>
        </w:rPr>
        <w:t>to the</w:t>
      </w:r>
      <w:r w:rsidRPr="00436C31">
        <w:t xml:space="preserve"> </w:t>
      </w:r>
      <w:r w:rsidR="00815C8F">
        <w:rPr>
          <w:lang w:eastAsia="en-AU"/>
        </w:rPr>
        <w:t>Office for Women</w:t>
      </w:r>
      <w:r w:rsidR="00436C31" w:rsidRPr="00436C31">
        <w:rPr>
          <w:lang w:eastAsia="en-AU"/>
        </w:rPr>
        <w:t xml:space="preserve"> </w:t>
      </w:r>
      <w:r w:rsidR="00436C31">
        <w:rPr>
          <w:lang w:eastAsia="en-AU"/>
        </w:rPr>
        <w:t>on the</w:t>
      </w:r>
      <w:r w:rsidRPr="002C7991">
        <w:rPr>
          <w:lang w:eastAsia="en-AU"/>
        </w:rPr>
        <w:t xml:space="preserve"> </w:t>
      </w:r>
      <w:r w:rsidR="00815C8F">
        <w:rPr>
          <w:lang w:eastAsia="en-AU"/>
        </w:rPr>
        <w:t>National Strategy to Achieve Gender Equality (</w:t>
      </w:r>
      <w:r w:rsidR="0086721C">
        <w:rPr>
          <w:lang w:eastAsia="en-AU"/>
        </w:rPr>
        <w:t xml:space="preserve">National </w:t>
      </w:r>
      <w:r w:rsidR="00815C8F">
        <w:rPr>
          <w:lang w:eastAsia="en-AU"/>
        </w:rPr>
        <w:t>Strategy</w:t>
      </w:r>
      <w:r w:rsidR="00EB3185">
        <w:rPr>
          <w:lang w:eastAsia="en-AU"/>
        </w:rPr>
        <w:t>).</w:t>
      </w:r>
    </w:p>
    <w:p w14:paraId="7BF6A961" w14:textId="30C6D400" w:rsidR="00815C8F" w:rsidRDefault="00815C8F" w:rsidP="005354FB">
      <w:pPr>
        <w:keepNext/>
        <w:keepLines/>
        <w:numPr>
          <w:ilvl w:val="1"/>
          <w:numId w:val="3"/>
        </w:numPr>
        <w:spacing w:before="120" w:after="120"/>
        <w:ind w:hanging="792"/>
        <w:outlineLvl w:val="1"/>
        <w:rPr>
          <w:rFonts w:eastAsiaTheme="majorEastAsia" w:cstheme="majorBidi"/>
          <w:color w:val="5C308D"/>
          <w:sz w:val="36"/>
          <w:szCs w:val="36"/>
        </w:rPr>
      </w:pPr>
      <w:r w:rsidRPr="3E34DDE5">
        <w:rPr>
          <w:rFonts w:eastAsiaTheme="majorEastAsia" w:cstheme="majorBidi"/>
          <w:color w:val="5C308D"/>
          <w:sz w:val="36"/>
          <w:szCs w:val="36"/>
        </w:rPr>
        <w:t>Victoria’s Gender Equality Act</w:t>
      </w:r>
    </w:p>
    <w:p w14:paraId="68B2E8F4" w14:textId="363E1626" w:rsidR="001D719E" w:rsidRPr="00D50676" w:rsidRDefault="00815C8F" w:rsidP="005354FB">
      <w:pPr>
        <w:spacing w:before="120" w:after="120" w:line="240" w:lineRule="auto"/>
        <w:textAlignment w:val="baseline"/>
        <w:rPr>
          <w:rFonts w:eastAsia="Times New Roman" w:cs="Cambria"/>
          <w:lang w:eastAsia="en-AU"/>
        </w:rPr>
      </w:pPr>
      <w:r w:rsidRPr="007E40B0">
        <w:rPr>
          <w:rFonts w:eastAsia="Times New Roman" w:cs="Segoe UI"/>
          <w:lang w:eastAsia="en-AU"/>
        </w:rPr>
        <w:t>Victoria’s</w:t>
      </w:r>
      <w:r w:rsidRPr="007E40B0">
        <w:rPr>
          <w:rFonts w:ascii="Cambria" w:eastAsia="Times New Roman" w:hAnsi="Cambria" w:cs="Cambria"/>
          <w:lang w:eastAsia="en-AU"/>
        </w:rPr>
        <w:t> </w:t>
      </w:r>
      <w:r w:rsidRPr="007E40B0">
        <w:rPr>
          <w:rFonts w:eastAsia="Times New Roman" w:cs="Segoe UI"/>
          <w:i/>
          <w:lang w:eastAsia="en-AU"/>
        </w:rPr>
        <w:t>Gender Equality Act 2020</w:t>
      </w:r>
      <w:r w:rsidRPr="007E40B0">
        <w:rPr>
          <w:rFonts w:ascii="Cambria" w:eastAsia="Times New Roman" w:hAnsi="Cambria" w:cs="Cambria"/>
          <w:lang w:eastAsia="en-AU"/>
        </w:rPr>
        <w:t> </w:t>
      </w:r>
      <w:r w:rsidRPr="007E40B0">
        <w:rPr>
          <w:rFonts w:eastAsia="Times New Roman" w:cs="Segoe UI"/>
          <w:lang w:eastAsia="en-AU"/>
        </w:rPr>
        <w:t>(GE Act)</w:t>
      </w:r>
      <w:r w:rsidRPr="007E40B0">
        <w:rPr>
          <w:rFonts w:ascii="Cambria" w:eastAsia="Times New Roman" w:hAnsi="Cambria" w:cs="Cambria"/>
          <w:lang w:eastAsia="en-AU"/>
        </w:rPr>
        <w:t> </w:t>
      </w:r>
      <w:r w:rsidRPr="007E40B0">
        <w:rPr>
          <w:rFonts w:eastAsia="Times New Roman" w:cs="Segoe UI"/>
          <w:lang w:eastAsia="en-AU"/>
        </w:rPr>
        <w:t>came into effect on 31 March 2021</w:t>
      </w:r>
      <w:r w:rsidR="0D55E90C" w:rsidRPr="007E40B0">
        <w:rPr>
          <w:rFonts w:eastAsia="Times New Roman" w:cs="Segoe UI"/>
          <w:lang w:eastAsia="en-AU"/>
        </w:rPr>
        <w:t xml:space="preserve"> and</w:t>
      </w:r>
      <w:r w:rsidR="00CE3AE8" w:rsidRPr="007E40B0">
        <w:rPr>
          <w:rFonts w:eastAsia="Times New Roman" w:cs="Segoe UI"/>
          <w:lang w:eastAsia="en-AU"/>
        </w:rPr>
        <w:t xml:space="preserve"> </w:t>
      </w:r>
      <w:r w:rsidRPr="007E40B0">
        <w:rPr>
          <w:rFonts w:eastAsia="Times New Roman" w:cs="Segoe UI"/>
          <w:lang w:eastAsia="en-AU"/>
        </w:rPr>
        <w:t xml:space="preserve">is </w:t>
      </w:r>
      <w:r w:rsidRPr="00D50676">
        <w:rPr>
          <w:rFonts w:eastAsia="Times New Roman" w:cs="Segoe UI"/>
          <w:lang w:eastAsia="en-AU"/>
        </w:rPr>
        <w:t>the first of its kind in Australia</w:t>
      </w:r>
      <w:r w:rsidR="0EF1B96D" w:rsidRPr="00D50676">
        <w:rPr>
          <w:rFonts w:eastAsia="Times New Roman" w:cs="Segoe UI"/>
          <w:lang w:eastAsia="en-AU"/>
        </w:rPr>
        <w:t>.</w:t>
      </w:r>
      <w:r w:rsidRPr="00D50676">
        <w:rPr>
          <w:rFonts w:eastAsia="Times New Roman" w:cs="Segoe UI"/>
          <w:lang w:eastAsia="en-AU"/>
        </w:rPr>
        <w:t xml:space="preserve"> </w:t>
      </w:r>
      <w:r w:rsidR="00301F05" w:rsidRPr="00D50676">
        <w:rPr>
          <w:rFonts w:eastAsia="Times New Roman" w:cs="Segoe UI"/>
          <w:lang w:eastAsia="en-AU"/>
        </w:rPr>
        <w:t>It</w:t>
      </w:r>
      <w:r w:rsidRPr="00D50676">
        <w:rPr>
          <w:rFonts w:eastAsia="Times New Roman" w:cs="Segoe UI"/>
          <w:lang w:eastAsia="en-AU"/>
        </w:rPr>
        <w:t xml:space="preserve"> applies to Victorian public sector entities that have 50 or more employees (defined entities), including universities and local councils.</w:t>
      </w:r>
      <w:r w:rsidRPr="00D50676">
        <w:rPr>
          <w:rFonts w:ascii="Cambria" w:eastAsia="Times New Roman" w:hAnsi="Cambria" w:cs="Cambria"/>
          <w:lang w:eastAsia="en-AU"/>
        </w:rPr>
        <w:t> </w:t>
      </w:r>
      <w:r w:rsidR="00D50676" w:rsidRPr="00D50676">
        <w:rPr>
          <w:rFonts w:eastAsia="Times New Roman" w:cs="Cambria"/>
          <w:lang w:eastAsia="en-AU"/>
        </w:rPr>
        <w:t>The GE Act</w:t>
      </w:r>
      <w:r w:rsidR="00D50676" w:rsidRPr="007E40B0">
        <w:rPr>
          <w:rFonts w:eastAsia="Times New Roman" w:cs="Segoe UI"/>
          <w:lang w:eastAsia="en-AU"/>
        </w:rPr>
        <w:t xml:space="preserve"> </w:t>
      </w:r>
      <w:r w:rsidRPr="00D50676">
        <w:rPr>
          <w:rFonts w:eastAsia="Times New Roman" w:cs="Segoe UI"/>
          <w:lang w:eastAsia="en-AU"/>
        </w:rPr>
        <w:t xml:space="preserve">requires defined entities to develop and implement a Gender Equality Action Plan (GEAP) every </w:t>
      </w:r>
      <w:r w:rsidR="00851A6E">
        <w:rPr>
          <w:rFonts w:eastAsia="Times New Roman" w:cs="Segoe UI"/>
          <w:lang w:eastAsia="en-AU"/>
        </w:rPr>
        <w:t>4</w:t>
      </w:r>
      <w:r w:rsidRPr="00D50676">
        <w:rPr>
          <w:rFonts w:eastAsia="Times New Roman" w:cs="Segoe UI"/>
          <w:lang w:eastAsia="en-AU"/>
        </w:rPr>
        <w:t xml:space="preserve"> years based on results of a workplace gender audit.</w:t>
      </w:r>
      <w:r w:rsidR="001D719E" w:rsidRPr="00D50676">
        <w:rPr>
          <w:rFonts w:eastAsia="Times New Roman" w:cs="Segoe UI"/>
          <w:lang w:eastAsia="en-AU"/>
        </w:rPr>
        <w:t xml:space="preserve"> </w:t>
      </w:r>
      <w:r w:rsidR="00EE570D" w:rsidRPr="00D50676">
        <w:rPr>
          <w:rFonts w:eastAsia="Times New Roman" w:cs="Segoe UI"/>
          <w:lang w:eastAsia="en-AU"/>
        </w:rPr>
        <w:t>It also</w:t>
      </w:r>
      <w:r w:rsidR="00EC6E36" w:rsidRPr="00D50676">
        <w:rPr>
          <w:rFonts w:eastAsia="Times New Roman" w:cs="Segoe UI"/>
          <w:lang w:eastAsia="en-AU"/>
        </w:rPr>
        <w:t xml:space="preserve"> requires the </w:t>
      </w:r>
      <w:r w:rsidR="00EE570D" w:rsidRPr="00D50676">
        <w:rPr>
          <w:rFonts w:eastAsia="Times New Roman" w:cs="Segoe UI"/>
          <w:lang w:eastAsia="en-AU"/>
        </w:rPr>
        <w:t xml:space="preserve">Victorian </w:t>
      </w:r>
      <w:r w:rsidR="00EC6E36" w:rsidRPr="00D50676">
        <w:rPr>
          <w:rFonts w:eastAsia="Times New Roman" w:cs="Segoe UI"/>
          <w:lang w:eastAsia="en-AU"/>
        </w:rPr>
        <w:t xml:space="preserve">Minister for Women </w:t>
      </w:r>
      <w:r w:rsidR="00851A6E">
        <w:rPr>
          <w:rFonts w:eastAsia="Times New Roman" w:cs="Segoe UI"/>
          <w:lang w:eastAsia="en-AU"/>
        </w:rPr>
        <w:t>to develop a</w:t>
      </w:r>
      <w:r w:rsidR="005C5022" w:rsidRPr="00D50676">
        <w:rPr>
          <w:rFonts w:eastAsia="Times New Roman" w:cs="Segoe UI"/>
          <w:lang w:eastAsia="en-AU"/>
        </w:rPr>
        <w:t xml:space="preserve"> Victorian State GEAP</w:t>
      </w:r>
      <w:r w:rsidR="00EE570D" w:rsidRPr="00D50676">
        <w:rPr>
          <w:rFonts w:eastAsia="Times New Roman" w:cs="Segoe UI"/>
          <w:lang w:eastAsia="en-AU"/>
        </w:rPr>
        <w:t xml:space="preserve"> </w:t>
      </w:r>
      <w:r w:rsidR="005C5022" w:rsidRPr="00D50676">
        <w:rPr>
          <w:rFonts w:eastAsia="Times New Roman" w:cs="Segoe UI"/>
          <w:lang w:eastAsia="en-AU"/>
        </w:rPr>
        <w:t>every 4 years.</w:t>
      </w:r>
    </w:p>
    <w:p w14:paraId="62EF0D39" w14:textId="52D85735" w:rsidR="00815C8F" w:rsidRPr="007E40B0" w:rsidRDefault="00815C8F" w:rsidP="005354FB">
      <w:pPr>
        <w:spacing w:before="120" w:after="120" w:line="240" w:lineRule="auto"/>
        <w:textAlignment w:val="baseline"/>
        <w:rPr>
          <w:rFonts w:ascii="Cambria" w:eastAsia="Times New Roman" w:hAnsi="Cambria" w:cs="Cambria"/>
          <w:lang w:eastAsia="en-AU"/>
        </w:rPr>
      </w:pPr>
      <w:r w:rsidRPr="00D50676">
        <w:rPr>
          <w:rFonts w:eastAsia="Times New Roman" w:cs="Segoe UI"/>
          <w:lang w:eastAsia="en-AU"/>
        </w:rPr>
        <w:t>Under the GE Act</w:t>
      </w:r>
      <w:r w:rsidR="00B22CB1" w:rsidRPr="00D50676">
        <w:rPr>
          <w:rFonts w:eastAsia="Times New Roman" w:cs="Segoe UI"/>
          <w:lang w:eastAsia="en-AU"/>
        </w:rPr>
        <w:t>,</w:t>
      </w:r>
      <w:r w:rsidRPr="00D50676">
        <w:rPr>
          <w:rFonts w:eastAsia="Times New Roman" w:cs="Segoe UI"/>
          <w:lang w:eastAsia="en-AU"/>
        </w:rPr>
        <w:t xml:space="preserve"> defined entities are</w:t>
      </w:r>
      <w:r w:rsidRPr="00D50676">
        <w:rPr>
          <w:rFonts w:ascii="Cambria" w:eastAsia="Times New Roman" w:hAnsi="Cambria" w:cs="Cambria"/>
          <w:lang w:eastAsia="en-AU"/>
        </w:rPr>
        <w:t> </w:t>
      </w:r>
      <w:r w:rsidRPr="00D50676">
        <w:rPr>
          <w:rFonts w:eastAsia="Times New Roman" w:cs="Segoe UI"/>
          <w:lang w:eastAsia="en-AU"/>
        </w:rPr>
        <w:t>required</w:t>
      </w:r>
      <w:r w:rsidRPr="00D50676">
        <w:rPr>
          <w:rFonts w:ascii="Cambria" w:eastAsia="Times New Roman" w:hAnsi="Cambria" w:cs="Cambria"/>
          <w:lang w:eastAsia="en-AU"/>
        </w:rPr>
        <w:t> </w:t>
      </w:r>
      <w:r w:rsidRPr="00D50676">
        <w:rPr>
          <w:rFonts w:eastAsia="Times New Roman" w:cs="Segoe UI"/>
          <w:lang w:eastAsia="en-AU"/>
        </w:rPr>
        <w:t>to make reasonable and material progress</w:t>
      </w:r>
      <w:r w:rsidR="00CD1AFB" w:rsidRPr="00D50676">
        <w:rPr>
          <w:rFonts w:eastAsia="Times New Roman" w:cs="Segoe UI"/>
          <w:lang w:eastAsia="en-AU"/>
        </w:rPr>
        <w:t xml:space="preserve"> in relation to the workplace gender equality indicators</w:t>
      </w:r>
      <w:r w:rsidR="0046523A">
        <w:t xml:space="preserve"> </w:t>
      </w:r>
      <w:r w:rsidRPr="00D50676">
        <w:rPr>
          <w:rFonts w:eastAsia="Times New Roman" w:cs="Segoe UI"/>
          <w:lang w:eastAsia="en-AU"/>
        </w:rPr>
        <w:t>and publicly report on this progress every two years.</w:t>
      </w:r>
      <w:r w:rsidRPr="00D50676">
        <w:rPr>
          <w:rFonts w:ascii="Cambria" w:eastAsia="Times New Roman" w:hAnsi="Cambria" w:cs="Cambria"/>
          <w:lang w:eastAsia="en-AU"/>
        </w:rPr>
        <w:t> </w:t>
      </w:r>
      <w:r w:rsidRPr="00D50676">
        <w:rPr>
          <w:rFonts w:eastAsia="Times New Roman" w:cs="Segoe UI"/>
          <w:lang w:eastAsia="en-AU"/>
        </w:rPr>
        <w:t>They must also</w:t>
      </w:r>
      <w:r w:rsidRPr="007E40B0">
        <w:rPr>
          <w:rFonts w:eastAsia="Times New Roman" w:cs="Segoe UI"/>
          <w:lang w:eastAsia="en-AU"/>
        </w:rPr>
        <w:t xml:space="preserve"> undertake gender impact assessments (GIA) on all policies, programs and services that</w:t>
      </w:r>
      <w:r w:rsidR="007E40B0" w:rsidRPr="007E40B0">
        <w:rPr>
          <w:rFonts w:eastAsia="Times New Roman" w:cs="Segoe UI"/>
          <w:lang w:eastAsia="en-AU"/>
        </w:rPr>
        <w:t xml:space="preserve"> are being developed or are up for review and that</w:t>
      </w:r>
      <w:r w:rsidRPr="007E40B0">
        <w:rPr>
          <w:rFonts w:eastAsia="Times New Roman" w:cs="Segoe UI"/>
          <w:lang w:eastAsia="en-AU"/>
        </w:rPr>
        <w:t xml:space="preserve"> have a direct and significant impact on</w:t>
      </w:r>
      <w:r w:rsidRPr="007E40B0">
        <w:rPr>
          <w:rFonts w:ascii="Cambria" w:eastAsia="Times New Roman" w:hAnsi="Cambria" w:cs="Cambria"/>
          <w:lang w:eastAsia="en-AU"/>
        </w:rPr>
        <w:t> </w:t>
      </w:r>
      <w:r w:rsidRPr="007E40B0">
        <w:rPr>
          <w:rFonts w:eastAsia="Times New Roman" w:cs="Segoe UI"/>
          <w:lang w:eastAsia="en-AU"/>
        </w:rPr>
        <w:t>the public</w:t>
      </w:r>
      <w:r w:rsidR="009C0554">
        <w:rPr>
          <w:rFonts w:eastAsia="Times New Roman" w:cs="Segoe UI"/>
          <w:lang w:eastAsia="en-AU"/>
        </w:rPr>
        <w:t xml:space="preserve">. In complying with their obligations under the GE Act, </w:t>
      </w:r>
      <w:r w:rsidRPr="007E40B0">
        <w:rPr>
          <w:rFonts w:eastAsia="Times New Roman" w:cs="Segoe UI"/>
          <w:lang w:eastAsia="en-AU"/>
        </w:rPr>
        <w:t xml:space="preserve">defined entities </w:t>
      </w:r>
      <w:r w:rsidR="009C0554">
        <w:rPr>
          <w:rFonts w:eastAsia="Times New Roman" w:cs="Segoe UI"/>
          <w:lang w:eastAsia="en-AU"/>
        </w:rPr>
        <w:t xml:space="preserve">must </w:t>
      </w:r>
      <w:r w:rsidRPr="007E40B0">
        <w:rPr>
          <w:rFonts w:eastAsia="Times New Roman" w:cs="Segoe UI"/>
          <w:lang w:eastAsia="en-AU"/>
        </w:rPr>
        <w:t>recognise that gender inequality may be compounded by other forms of disadvantage. This is the first legislative requirement of its kind in</w:t>
      </w:r>
      <w:r w:rsidRPr="007E40B0">
        <w:rPr>
          <w:rFonts w:ascii="Cambria" w:eastAsia="Times New Roman" w:hAnsi="Cambria" w:cs="Cambria"/>
          <w:lang w:eastAsia="en-AU"/>
        </w:rPr>
        <w:t> </w:t>
      </w:r>
      <w:r w:rsidRPr="007E40B0">
        <w:rPr>
          <w:rFonts w:eastAsia="Times New Roman" w:cs="Segoe UI"/>
          <w:lang w:eastAsia="en-AU"/>
        </w:rPr>
        <w:t>Australia.</w:t>
      </w:r>
      <w:r w:rsidRPr="007E40B0">
        <w:rPr>
          <w:rFonts w:ascii="Cambria" w:eastAsia="Times New Roman" w:hAnsi="Cambria" w:cs="Cambria"/>
          <w:lang w:eastAsia="en-AU"/>
        </w:rPr>
        <w:t> </w:t>
      </w:r>
    </w:p>
    <w:p w14:paraId="5379E589" w14:textId="44F49DDE" w:rsidR="00815C8F" w:rsidRPr="00790F52" w:rsidRDefault="5E1FB200" w:rsidP="005833B6">
      <w:pPr>
        <w:spacing w:before="120" w:after="120" w:line="240" w:lineRule="auto"/>
        <w:textAlignment w:val="baseline"/>
        <w:rPr>
          <w:rFonts w:eastAsia="Times New Roman" w:cs="Segoe UI"/>
          <w:lang w:eastAsia="en-AU"/>
        </w:rPr>
      </w:pPr>
      <w:r w:rsidRPr="0007744C">
        <w:rPr>
          <w:rFonts w:eastAsia="Times New Roman" w:cs="Segoe UI"/>
          <w:lang w:eastAsia="en-AU"/>
        </w:rPr>
        <w:t>T</w:t>
      </w:r>
      <w:r w:rsidR="00815C8F" w:rsidRPr="0007744C">
        <w:rPr>
          <w:rFonts w:eastAsia="Times New Roman" w:cs="Segoe UI"/>
          <w:lang w:eastAsia="en-AU"/>
        </w:rPr>
        <w:t>he GE Act</w:t>
      </w:r>
      <w:r w:rsidR="75058583" w:rsidRPr="0007744C">
        <w:rPr>
          <w:rFonts w:eastAsia="Times New Roman" w:cs="Segoe UI"/>
          <w:lang w:eastAsia="en-AU"/>
        </w:rPr>
        <w:t xml:space="preserve"> </w:t>
      </w:r>
      <w:r w:rsidR="00815C8F" w:rsidRPr="0007744C">
        <w:rPr>
          <w:rFonts w:eastAsia="Times New Roman" w:cs="Segoe UI"/>
          <w:lang w:eastAsia="en-AU"/>
        </w:rPr>
        <w:t>include</w:t>
      </w:r>
      <w:r w:rsidR="4EDB1FBD" w:rsidRPr="0007744C">
        <w:rPr>
          <w:rFonts w:eastAsia="Times New Roman" w:cs="Segoe UI"/>
          <w:lang w:eastAsia="en-AU"/>
        </w:rPr>
        <w:t xml:space="preserve">s </w:t>
      </w:r>
      <w:r w:rsidR="00E33048" w:rsidRPr="0007744C">
        <w:rPr>
          <w:rFonts w:eastAsia="Times New Roman" w:cs="Segoe UI"/>
          <w:lang w:eastAsia="en-AU"/>
        </w:rPr>
        <w:t>a range of compliance powers</w:t>
      </w:r>
      <w:r w:rsidR="006E73AD" w:rsidRPr="0007744C">
        <w:rPr>
          <w:rFonts w:eastAsia="Times New Roman" w:cs="Segoe UI"/>
          <w:lang w:eastAsia="en-AU"/>
        </w:rPr>
        <w:t xml:space="preserve"> accessible to the Commissioner</w:t>
      </w:r>
      <w:r w:rsidR="00E33048" w:rsidRPr="0007744C">
        <w:rPr>
          <w:rFonts w:eastAsia="Times New Roman" w:cs="Segoe UI"/>
          <w:lang w:eastAsia="en-AU"/>
        </w:rPr>
        <w:t>,</w:t>
      </w:r>
      <w:r w:rsidR="00FC1559" w:rsidRPr="0007744C">
        <w:rPr>
          <w:rFonts w:eastAsia="Times New Roman" w:cs="Segoe UI"/>
          <w:lang w:eastAsia="en-AU"/>
        </w:rPr>
        <w:t xml:space="preserve"> as well as powers </w:t>
      </w:r>
      <w:r w:rsidR="009B6EB9">
        <w:rPr>
          <w:rFonts w:eastAsia="Times New Roman" w:cs="Segoe UI"/>
          <w:lang w:eastAsia="en-AU"/>
        </w:rPr>
        <w:t>arising from certain</w:t>
      </w:r>
      <w:r w:rsidR="00FC1559" w:rsidRPr="0007744C">
        <w:rPr>
          <w:rFonts w:eastAsia="Times New Roman" w:cs="Segoe UI"/>
          <w:lang w:eastAsia="en-AU"/>
        </w:rPr>
        <w:t xml:space="preserve"> enterprise bargaining agreements that enable </w:t>
      </w:r>
      <w:r w:rsidR="005807FD" w:rsidRPr="0007744C">
        <w:rPr>
          <w:rFonts w:eastAsia="Times New Roman" w:cs="Segoe UI"/>
          <w:lang w:eastAsia="en-AU"/>
        </w:rPr>
        <w:t xml:space="preserve">the Commissioner to </w:t>
      </w:r>
      <w:r w:rsidR="0007744C" w:rsidRPr="0007744C">
        <w:rPr>
          <w:rFonts w:eastAsia="Times New Roman" w:cs="Segoe UI"/>
          <w:lang w:eastAsia="en-AU"/>
        </w:rPr>
        <w:t>assist in the resolution of systemic gender equality issues.</w:t>
      </w:r>
      <w:r w:rsidR="0007744C">
        <w:rPr>
          <w:rFonts w:eastAsia="Times New Roman" w:cs="Segoe UI"/>
          <w:lang w:eastAsia="en-AU"/>
        </w:rPr>
        <w:t xml:space="preserve"> The GE Act also </w:t>
      </w:r>
      <w:r w:rsidR="005E3A1F">
        <w:rPr>
          <w:rFonts w:eastAsia="Times New Roman" w:cs="Segoe UI"/>
          <w:lang w:eastAsia="en-AU"/>
        </w:rPr>
        <w:t xml:space="preserve">enables </w:t>
      </w:r>
      <w:r w:rsidR="006E73AD">
        <w:rPr>
          <w:rFonts w:eastAsia="Times New Roman" w:cs="Segoe UI"/>
          <w:lang w:eastAsia="en-AU"/>
        </w:rPr>
        <w:t xml:space="preserve">the Minister to </w:t>
      </w:r>
      <w:r w:rsidR="00815C8F" w:rsidRPr="006E73AD">
        <w:rPr>
          <w:rFonts w:eastAsia="Times New Roman" w:cs="Segoe UI"/>
          <w:lang w:eastAsia="en-AU"/>
        </w:rPr>
        <w:t>prescribe</w:t>
      </w:r>
      <w:r w:rsidR="00815C8F" w:rsidRPr="006E73AD">
        <w:rPr>
          <w:rFonts w:ascii="Cambria" w:eastAsia="Times New Roman" w:hAnsi="Cambria" w:cs="Cambria"/>
          <w:lang w:eastAsia="en-AU"/>
        </w:rPr>
        <w:t> </w:t>
      </w:r>
      <w:r w:rsidR="00815C8F" w:rsidRPr="006E73AD">
        <w:rPr>
          <w:rFonts w:eastAsia="Times New Roman" w:cs="Segoe UI"/>
          <w:lang w:eastAsia="en-AU"/>
        </w:rPr>
        <w:t>gender equality targets and quotas</w:t>
      </w:r>
      <w:r w:rsidR="004B4321">
        <w:rPr>
          <w:rFonts w:eastAsia="Times New Roman" w:cs="Segoe UI"/>
          <w:lang w:eastAsia="en-AU"/>
        </w:rPr>
        <w:t xml:space="preserve"> </w:t>
      </w:r>
      <w:r w:rsidR="009B6EB9">
        <w:rPr>
          <w:rFonts w:eastAsia="Times New Roman" w:cs="Segoe UI"/>
          <w:lang w:eastAsia="en-AU"/>
        </w:rPr>
        <w:t>under Regulations,</w:t>
      </w:r>
      <w:r w:rsidR="004B4321">
        <w:rPr>
          <w:rFonts w:eastAsia="Times New Roman" w:cs="Segoe UI"/>
          <w:lang w:eastAsia="en-AU"/>
        </w:rPr>
        <w:t xml:space="preserve"> and</w:t>
      </w:r>
      <w:r w:rsidR="00E2544D">
        <w:rPr>
          <w:rFonts w:eastAsia="Times New Roman" w:cs="Segoe UI"/>
          <w:lang w:eastAsia="en-AU"/>
        </w:rPr>
        <w:t xml:space="preserve"> to</w:t>
      </w:r>
      <w:r w:rsidR="004B4321">
        <w:rPr>
          <w:rFonts w:eastAsia="Times New Roman" w:cs="Segoe UI"/>
          <w:lang w:eastAsia="en-AU"/>
        </w:rPr>
        <w:t xml:space="preserve"> issue gender equality funding </w:t>
      </w:r>
      <w:r w:rsidR="00FC1559">
        <w:rPr>
          <w:rFonts w:eastAsia="Times New Roman" w:cs="Segoe UI"/>
          <w:lang w:eastAsia="en-AU"/>
        </w:rPr>
        <w:t>and procurement guidelines.</w:t>
      </w:r>
      <w:r w:rsidR="00851A6E">
        <w:rPr>
          <w:rFonts w:eastAsia="Times New Roman" w:cs="Segoe UI"/>
          <w:lang w:eastAsia="en-AU"/>
        </w:rPr>
        <w:t xml:space="preserve"> </w:t>
      </w:r>
      <w:r w:rsidR="00815C8F" w:rsidRPr="007E40B0">
        <w:rPr>
          <w:rFonts w:eastAsia="Times New Roman" w:cs="Segoe UI"/>
          <w:lang w:eastAsia="en-AU"/>
        </w:rPr>
        <w:t>As Commissioner, it is my duty to</w:t>
      </w:r>
      <w:r w:rsidR="00815C8F" w:rsidRPr="007E40B0">
        <w:rPr>
          <w:rFonts w:ascii="Cambria" w:eastAsia="Times New Roman" w:hAnsi="Cambria" w:cs="Cambria"/>
          <w:lang w:eastAsia="en-AU"/>
        </w:rPr>
        <w:t> </w:t>
      </w:r>
      <w:r w:rsidR="00815C8F" w:rsidRPr="007E40B0">
        <w:rPr>
          <w:rFonts w:eastAsia="Times New Roman" w:cs="Segoe UI"/>
          <w:lang w:eastAsia="en-AU"/>
        </w:rPr>
        <w:t>promote and advance the</w:t>
      </w:r>
      <w:r w:rsidR="00815C8F" w:rsidRPr="007E40B0">
        <w:rPr>
          <w:rFonts w:ascii="Cambria" w:eastAsia="Times New Roman" w:hAnsi="Cambria" w:cs="Cambria"/>
          <w:lang w:eastAsia="en-AU"/>
        </w:rPr>
        <w:t> </w:t>
      </w:r>
      <w:r w:rsidR="00815C8F" w:rsidRPr="007E40B0">
        <w:rPr>
          <w:rFonts w:eastAsia="Times New Roman" w:cs="Segoe UI"/>
          <w:lang w:eastAsia="en-AU"/>
        </w:rPr>
        <w:t>objectives</w:t>
      </w:r>
      <w:r w:rsidR="00815C8F" w:rsidRPr="007E40B0">
        <w:rPr>
          <w:rFonts w:ascii="Cambria" w:eastAsia="Times New Roman" w:hAnsi="Cambria" w:cs="Cambria"/>
          <w:lang w:eastAsia="en-AU"/>
        </w:rPr>
        <w:t> </w:t>
      </w:r>
      <w:r w:rsidR="00815C8F" w:rsidRPr="007E40B0">
        <w:rPr>
          <w:rFonts w:eastAsia="Times New Roman" w:cs="Segoe UI"/>
          <w:lang w:eastAsia="en-AU"/>
        </w:rPr>
        <w:t>of the GE Act,</w:t>
      </w:r>
      <w:r w:rsidR="00815C8F" w:rsidRPr="007E40B0">
        <w:rPr>
          <w:rFonts w:ascii="Cambria" w:eastAsia="Times New Roman" w:hAnsi="Cambria" w:cs="Cambria"/>
          <w:lang w:eastAsia="en-AU"/>
        </w:rPr>
        <w:t> </w:t>
      </w:r>
      <w:r w:rsidR="00815C8F" w:rsidRPr="007E40B0">
        <w:rPr>
          <w:rFonts w:eastAsia="Times New Roman" w:cs="Segoe UI"/>
          <w:lang w:eastAsia="en-AU"/>
        </w:rPr>
        <w:t>provide</w:t>
      </w:r>
      <w:r w:rsidR="00815C8F" w:rsidRPr="007E40B0">
        <w:rPr>
          <w:rFonts w:ascii="Cambria" w:eastAsia="Times New Roman" w:hAnsi="Cambria" w:cs="Cambria"/>
          <w:lang w:eastAsia="en-AU"/>
        </w:rPr>
        <w:t> </w:t>
      </w:r>
      <w:r w:rsidR="00815C8F" w:rsidRPr="007E40B0">
        <w:rPr>
          <w:rFonts w:eastAsia="Times New Roman" w:cs="Segoe UI"/>
          <w:lang w:eastAsia="en-AU"/>
        </w:rPr>
        <w:t>advice and education to defined entities to encourage best practice</w:t>
      </w:r>
      <w:r w:rsidR="00815C8F" w:rsidRPr="007E40B0">
        <w:rPr>
          <w:rFonts w:ascii="Cambria" w:eastAsia="Times New Roman" w:hAnsi="Cambria" w:cs="Cambria"/>
          <w:lang w:eastAsia="en-AU"/>
        </w:rPr>
        <w:t> </w:t>
      </w:r>
      <w:r w:rsidR="00815C8F" w:rsidRPr="007E40B0">
        <w:rPr>
          <w:rFonts w:eastAsia="Times New Roman" w:cs="Segoe UI"/>
          <w:lang w:eastAsia="en-AU"/>
        </w:rPr>
        <w:t>and</w:t>
      </w:r>
      <w:r w:rsidR="00815C8F" w:rsidRPr="007E40B0">
        <w:rPr>
          <w:rFonts w:ascii="Cambria" w:eastAsia="Times New Roman" w:hAnsi="Cambria" w:cs="Cambria"/>
          <w:lang w:eastAsia="en-AU"/>
        </w:rPr>
        <w:t> </w:t>
      </w:r>
      <w:r w:rsidR="00815C8F" w:rsidRPr="007E40B0">
        <w:rPr>
          <w:rFonts w:eastAsia="Times New Roman" w:cs="Segoe UI"/>
          <w:lang w:eastAsia="en-AU"/>
        </w:rPr>
        <w:t>facilitate</w:t>
      </w:r>
      <w:r w:rsidR="00815C8F" w:rsidRPr="007E40B0">
        <w:rPr>
          <w:rFonts w:ascii="Cambria" w:eastAsia="Times New Roman" w:hAnsi="Cambria" w:cs="Cambria"/>
          <w:lang w:eastAsia="en-AU"/>
        </w:rPr>
        <w:t> </w:t>
      </w:r>
      <w:r w:rsidR="00815C8F" w:rsidRPr="007E40B0">
        <w:rPr>
          <w:rFonts w:eastAsia="Times New Roman" w:cs="Segoe UI"/>
          <w:lang w:eastAsia="en-AU"/>
        </w:rPr>
        <w:t>compliance, as well as undertake research into matters related to the operation and</w:t>
      </w:r>
      <w:r w:rsidR="00815C8F" w:rsidRPr="007E40B0">
        <w:rPr>
          <w:rFonts w:ascii="Cambria" w:eastAsia="Times New Roman" w:hAnsi="Cambria" w:cs="Cambria"/>
          <w:lang w:eastAsia="en-AU"/>
        </w:rPr>
        <w:t> </w:t>
      </w:r>
      <w:r w:rsidR="00815C8F" w:rsidRPr="007E40B0">
        <w:rPr>
          <w:rFonts w:eastAsia="Times New Roman" w:cs="Segoe UI"/>
          <w:lang w:eastAsia="en-AU"/>
        </w:rPr>
        <w:t>objectives</w:t>
      </w:r>
      <w:r w:rsidR="00815C8F" w:rsidRPr="007E40B0">
        <w:rPr>
          <w:rFonts w:ascii="Cambria" w:eastAsia="Times New Roman" w:hAnsi="Cambria" w:cs="Cambria"/>
          <w:lang w:eastAsia="en-AU"/>
        </w:rPr>
        <w:t> </w:t>
      </w:r>
      <w:r w:rsidR="00815C8F" w:rsidRPr="007E40B0">
        <w:rPr>
          <w:rFonts w:eastAsia="Times New Roman" w:cs="Segoe UI"/>
          <w:lang w:eastAsia="en-AU"/>
        </w:rPr>
        <w:t>of the GE Act.</w:t>
      </w:r>
      <w:r w:rsidR="00815C8F" w:rsidRPr="007E40B0">
        <w:rPr>
          <w:rFonts w:ascii="Cambria" w:eastAsia="Times New Roman" w:hAnsi="Cambria" w:cs="Cambria"/>
          <w:lang w:eastAsia="en-AU"/>
        </w:rPr>
        <w:t> </w:t>
      </w:r>
      <w:r w:rsidR="00815C8F" w:rsidRPr="007E40B0">
        <w:rPr>
          <w:rFonts w:eastAsia="Times New Roman" w:cs="Segoe UI"/>
          <w:lang w:eastAsia="en-AU"/>
        </w:rPr>
        <w:t xml:space="preserve">I am supported in this role by </w:t>
      </w:r>
      <w:r w:rsidR="005C5924">
        <w:rPr>
          <w:rFonts w:eastAsia="Times New Roman" w:cs="Segoe UI"/>
          <w:lang w:eastAsia="en-AU"/>
        </w:rPr>
        <w:t xml:space="preserve">the </w:t>
      </w:r>
      <w:r w:rsidR="00815C8F" w:rsidRPr="007E40B0">
        <w:rPr>
          <w:rFonts w:eastAsia="Times New Roman" w:cs="Segoe UI"/>
          <w:lang w:eastAsia="en-AU"/>
        </w:rPr>
        <w:t xml:space="preserve">Commission for Gender Equality in the Public </w:t>
      </w:r>
      <w:r w:rsidR="00815C8F" w:rsidRPr="00790F52">
        <w:rPr>
          <w:rFonts w:eastAsia="Times New Roman" w:cs="Segoe UI"/>
          <w:lang w:eastAsia="en-AU"/>
        </w:rPr>
        <w:t>Sector (Commission).</w:t>
      </w:r>
    </w:p>
    <w:p w14:paraId="0667953A" w14:textId="77777777" w:rsidR="00815C8F" w:rsidRPr="00790F52" w:rsidRDefault="00815C8F" w:rsidP="005354FB">
      <w:pPr>
        <w:keepNext/>
        <w:keepLines/>
        <w:numPr>
          <w:ilvl w:val="1"/>
          <w:numId w:val="3"/>
        </w:numPr>
        <w:spacing w:before="120" w:after="120"/>
        <w:ind w:hanging="792"/>
        <w:outlineLvl w:val="1"/>
        <w:rPr>
          <w:rFonts w:eastAsiaTheme="majorEastAsia" w:cstheme="majorBidi"/>
          <w:color w:val="5C308D"/>
          <w:sz w:val="36"/>
          <w:szCs w:val="26"/>
        </w:rPr>
      </w:pPr>
      <w:r w:rsidRPr="00790F52">
        <w:rPr>
          <w:rFonts w:eastAsiaTheme="majorEastAsia" w:cstheme="majorBidi"/>
          <w:color w:val="5C308D"/>
          <w:sz w:val="36"/>
          <w:szCs w:val="26"/>
        </w:rPr>
        <w:t xml:space="preserve">This submission </w:t>
      </w:r>
    </w:p>
    <w:p w14:paraId="7B55D39B" w14:textId="72E7DBE3" w:rsidR="00E2544D" w:rsidRDefault="00A25F7F" w:rsidP="005354FB">
      <w:pPr>
        <w:pStyle w:val="Body"/>
        <w:spacing w:before="120"/>
        <w:rPr>
          <w:lang w:eastAsia="en-AU"/>
        </w:rPr>
      </w:pPr>
      <w:r w:rsidRPr="00790F52">
        <w:rPr>
          <w:lang w:eastAsia="en-AU"/>
        </w:rPr>
        <w:t xml:space="preserve">This submission </w:t>
      </w:r>
      <w:r w:rsidR="00F50B3D" w:rsidRPr="00790F52">
        <w:rPr>
          <w:lang w:eastAsia="en-AU"/>
        </w:rPr>
        <w:t>supports the</w:t>
      </w:r>
      <w:r w:rsidR="00815C8F" w:rsidRPr="00790F52">
        <w:rPr>
          <w:lang w:eastAsia="en-AU"/>
        </w:rPr>
        <w:t xml:space="preserve"> </w:t>
      </w:r>
      <w:r w:rsidR="00F120E2" w:rsidRPr="00790F52">
        <w:rPr>
          <w:lang w:eastAsia="en-AU"/>
        </w:rPr>
        <w:t xml:space="preserve">development of the </w:t>
      </w:r>
      <w:r w:rsidR="0086721C">
        <w:rPr>
          <w:lang w:eastAsia="en-AU"/>
        </w:rPr>
        <w:t>National</w:t>
      </w:r>
      <w:r w:rsidR="00F120E2" w:rsidRPr="00790F52">
        <w:rPr>
          <w:lang w:eastAsia="en-AU"/>
        </w:rPr>
        <w:t xml:space="preserve"> </w:t>
      </w:r>
      <w:r w:rsidR="00815C8F" w:rsidRPr="00790F52">
        <w:rPr>
          <w:lang w:eastAsia="en-AU"/>
        </w:rPr>
        <w:t>Strategy</w:t>
      </w:r>
      <w:r w:rsidR="00834C46" w:rsidRPr="00790F52">
        <w:rPr>
          <w:lang w:eastAsia="en-AU"/>
        </w:rPr>
        <w:t>. It</w:t>
      </w:r>
      <w:r w:rsidR="00AC1895" w:rsidRPr="00790F52">
        <w:rPr>
          <w:lang w:eastAsia="en-AU"/>
        </w:rPr>
        <w:t xml:space="preserve"> also makes a number of recommendations with respect to the </w:t>
      </w:r>
      <w:r w:rsidR="0086721C">
        <w:rPr>
          <w:lang w:eastAsia="en-AU"/>
        </w:rPr>
        <w:t>National</w:t>
      </w:r>
      <w:r w:rsidR="00AC1895" w:rsidRPr="00790F52">
        <w:rPr>
          <w:lang w:eastAsia="en-AU"/>
        </w:rPr>
        <w:t xml:space="preserve"> Stra</w:t>
      </w:r>
      <w:r w:rsidR="00790F52" w:rsidRPr="00790F52">
        <w:rPr>
          <w:lang w:eastAsia="en-AU"/>
        </w:rPr>
        <w:t xml:space="preserve">tegy, summarised at </w:t>
      </w:r>
      <w:r w:rsidR="00790F52" w:rsidRPr="00790F52">
        <w:rPr>
          <w:b/>
          <w:bCs/>
          <w:lang w:eastAsia="en-AU"/>
        </w:rPr>
        <w:t>Appendix 1</w:t>
      </w:r>
      <w:r w:rsidR="00790F52" w:rsidRPr="00790F52">
        <w:rPr>
          <w:lang w:eastAsia="en-AU"/>
        </w:rPr>
        <w:t>.</w:t>
      </w:r>
      <w:r w:rsidR="00790F52">
        <w:rPr>
          <w:lang w:eastAsia="en-AU"/>
        </w:rPr>
        <w:t xml:space="preserve"> </w:t>
      </w:r>
      <w:r w:rsidR="007B0412" w:rsidRPr="00790F52">
        <w:rPr>
          <w:lang w:eastAsia="en-AU"/>
        </w:rPr>
        <w:t>The</w:t>
      </w:r>
      <w:r w:rsidR="002779D3" w:rsidRPr="00790F52">
        <w:rPr>
          <w:lang w:eastAsia="en-AU"/>
        </w:rPr>
        <w:t xml:space="preserve">se </w:t>
      </w:r>
      <w:r w:rsidR="007B0412" w:rsidRPr="00790F52">
        <w:rPr>
          <w:lang w:eastAsia="en-AU"/>
        </w:rPr>
        <w:t>views and recommendations are based on my experience in implementing and operationalising GE Act</w:t>
      </w:r>
      <w:r w:rsidR="00F208C0" w:rsidRPr="00790F52">
        <w:rPr>
          <w:lang w:eastAsia="en-AU"/>
        </w:rPr>
        <w:t xml:space="preserve">, as well as my previous experience </w:t>
      </w:r>
      <w:r w:rsidR="0038792A" w:rsidRPr="00790F52">
        <w:rPr>
          <w:lang w:eastAsia="en-AU"/>
        </w:rPr>
        <w:t xml:space="preserve">serving as the South Australian Commissioner for Equal Opportunity </w:t>
      </w:r>
      <w:r w:rsidR="00DE7BB2" w:rsidRPr="00790F52">
        <w:rPr>
          <w:lang w:eastAsia="en-AU"/>
        </w:rPr>
        <w:t xml:space="preserve">and administering the South Australian </w:t>
      </w:r>
      <w:r w:rsidR="00DE7BB2" w:rsidRPr="00790F52">
        <w:rPr>
          <w:i/>
          <w:iCs/>
          <w:lang w:eastAsia="en-AU"/>
        </w:rPr>
        <w:t>Equal Opportunity Act 1984</w:t>
      </w:r>
      <w:r w:rsidR="00DE7BB2" w:rsidRPr="00790F52">
        <w:rPr>
          <w:lang w:eastAsia="en-AU"/>
        </w:rPr>
        <w:t>.</w:t>
      </w:r>
      <w:r w:rsidR="00E2627B" w:rsidRPr="00790F52">
        <w:rPr>
          <w:lang w:eastAsia="en-AU"/>
        </w:rPr>
        <w:t xml:space="preserve"> </w:t>
      </w:r>
    </w:p>
    <w:p w14:paraId="583E3BD8" w14:textId="29F202D6" w:rsidR="00DE7BB2" w:rsidRDefault="00CF20EE" w:rsidP="005354FB">
      <w:pPr>
        <w:pStyle w:val="Heading1"/>
        <w:numPr>
          <w:ilvl w:val="0"/>
          <w:numId w:val="2"/>
        </w:numPr>
        <w:spacing w:before="120" w:after="120"/>
        <w:rPr>
          <w:lang w:eastAsia="en-AU"/>
        </w:rPr>
      </w:pPr>
      <w:r>
        <w:rPr>
          <w:lang w:eastAsia="en-AU"/>
        </w:rPr>
        <w:lastRenderedPageBreak/>
        <w:t>Submission on</w:t>
      </w:r>
      <w:r w:rsidR="004B32AF">
        <w:rPr>
          <w:lang w:eastAsia="en-AU"/>
        </w:rPr>
        <w:t xml:space="preserve"> the </w:t>
      </w:r>
      <w:r w:rsidR="0086721C">
        <w:rPr>
          <w:lang w:eastAsia="en-AU"/>
        </w:rPr>
        <w:t>National</w:t>
      </w:r>
      <w:r w:rsidR="004B32AF">
        <w:rPr>
          <w:lang w:eastAsia="en-AU"/>
        </w:rPr>
        <w:t xml:space="preserve"> </w:t>
      </w:r>
      <w:r w:rsidR="00815C8F">
        <w:rPr>
          <w:lang w:eastAsia="en-AU"/>
        </w:rPr>
        <w:t>Strategy</w:t>
      </w:r>
    </w:p>
    <w:p w14:paraId="68672253" w14:textId="4056030A" w:rsidR="008614A4" w:rsidRDefault="008614A4" w:rsidP="005354FB">
      <w:pPr>
        <w:pStyle w:val="ListParagraph"/>
        <w:keepNext/>
        <w:keepLines/>
        <w:numPr>
          <w:ilvl w:val="1"/>
          <w:numId w:val="4"/>
        </w:numPr>
        <w:spacing w:before="120" w:after="120"/>
        <w:contextualSpacing w:val="0"/>
        <w:outlineLvl w:val="1"/>
        <w:rPr>
          <w:rFonts w:eastAsiaTheme="majorEastAsia" w:cstheme="majorBidi"/>
          <w:color w:val="5C308D"/>
          <w:sz w:val="36"/>
          <w:szCs w:val="26"/>
        </w:rPr>
      </w:pPr>
      <w:r>
        <w:rPr>
          <w:rFonts w:eastAsiaTheme="majorEastAsia" w:cstheme="majorBidi"/>
          <w:color w:val="5C308D"/>
          <w:sz w:val="36"/>
          <w:szCs w:val="26"/>
        </w:rPr>
        <w:t>Facilitate national coordination on gender equality regulation</w:t>
      </w:r>
    </w:p>
    <w:p w14:paraId="579CB0CE" w14:textId="654EDE93" w:rsidR="008614A4" w:rsidRDefault="008614A4" w:rsidP="005354FB">
      <w:pPr>
        <w:pStyle w:val="Heading3"/>
        <w:spacing w:before="120" w:after="120"/>
      </w:pPr>
      <w:r>
        <w:t>Establish a national</w:t>
      </w:r>
      <w:r w:rsidR="000142C2">
        <w:t xml:space="preserve"> legislative</w:t>
      </w:r>
      <w:r>
        <w:t xml:space="preserve"> framework for gender equality</w:t>
      </w:r>
    </w:p>
    <w:p w14:paraId="529645BE" w14:textId="30C34FCD" w:rsidR="008B23E4" w:rsidRDefault="008B23E4" w:rsidP="005354FB">
      <w:pPr>
        <w:spacing w:before="120" w:after="120"/>
      </w:pPr>
      <w:r>
        <w:t xml:space="preserve">The Australian Government should consider strengthening </w:t>
      </w:r>
      <w:r w:rsidR="000A7CF4">
        <w:t xml:space="preserve">the </w:t>
      </w:r>
      <w:r w:rsidR="0086721C">
        <w:t xml:space="preserve">National </w:t>
      </w:r>
      <w:r w:rsidR="000A7CF4">
        <w:t>Strategy</w:t>
      </w:r>
      <w:r>
        <w:t xml:space="preserve"> through the enactment of federal legislation that enshrines Australia’s commitment to </w:t>
      </w:r>
      <w:r w:rsidR="00820F72">
        <w:t>achieving gender equality</w:t>
      </w:r>
      <w:r w:rsidR="00A31F18">
        <w:t>, harmonises existing gender equality legislation,</w:t>
      </w:r>
      <w:r>
        <w:t xml:space="preserve"> and supports horizontal policy coordination on issues relating to gender equality. </w:t>
      </w:r>
    </w:p>
    <w:p w14:paraId="3BD98A60" w14:textId="1696C561" w:rsidR="008C6453" w:rsidRDefault="00025BF9" w:rsidP="005354FB">
      <w:pPr>
        <w:spacing w:before="120" w:after="120"/>
      </w:pPr>
      <w:r>
        <w:t>Notwithstanding th</w:t>
      </w:r>
      <w:r w:rsidR="00623438">
        <w:t>e</w:t>
      </w:r>
      <w:r>
        <w:t xml:space="preserve"> progress</w:t>
      </w:r>
      <w:r w:rsidR="00623438">
        <w:t xml:space="preserve"> that has been made</w:t>
      </w:r>
      <w:r w:rsidR="00AC474E">
        <w:t xml:space="preserve"> </w:t>
      </w:r>
      <w:r w:rsidR="001511CF">
        <w:t>in recent years,</w:t>
      </w:r>
      <w:r w:rsidR="00AC474E">
        <w:rPr>
          <w:rStyle w:val="FootnoteReference"/>
        </w:rPr>
        <w:footnoteReference w:id="2"/>
      </w:r>
      <w:r w:rsidR="00C16EB9">
        <w:t xml:space="preserve"> systemic gender inequality</w:t>
      </w:r>
      <w:r w:rsidR="00820F72">
        <w:t xml:space="preserve"> in Australia</w:t>
      </w:r>
      <w:r w:rsidR="001F22D2">
        <w:t xml:space="preserve"> </w:t>
      </w:r>
      <w:r w:rsidR="00422AC2">
        <w:t>persists</w:t>
      </w:r>
      <w:r>
        <w:t>.</w:t>
      </w:r>
      <w:r w:rsidR="001D0451">
        <w:rPr>
          <w:rStyle w:val="FootnoteReference"/>
        </w:rPr>
        <w:footnoteReference w:id="3"/>
      </w:r>
      <w:r w:rsidR="00DA2695">
        <w:t xml:space="preserve"> </w:t>
      </w:r>
      <w:r w:rsidR="0036557C">
        <w:t>Feedback that I have received from entities reporting under the GE Act suggests</w:t>
      </w:r>
      <w:r w:rsidR="00F45ADB">
        <w:t xml:space="preserve"> that this is, at least in part, due to a</w:t>
      </w:r>
      <w:r w:rsidR="0036557C">
        <w:t xml:space="preserve"> need for </w:t>
      </w:r>
      <w:r w:rsidR="00441AEB">
        <w:t xml:space="preserve">an authoritative voice </w:t>
      </w:r>
      <w:r w:rsidR="00F45ADB">
        <w:t xml:space="preserve">on how </w:t>
      </w:r>
      <w:r w:rsidR="00444328">
        <w:t xml:space="preserve">best </w:t>
      </w:r>
      <w:r w:rsidR="00F45ADB">
        <w:t xml:space="preserve">to </w:t>
      </w:r>
      <w:r w:rsidR="00986046">
        <w:t xml:space="preserve">identify, </w:t>
      </w:r>
      <w:r w:rsidR="00982FD6">
        <w:t>prioritise</w:t>
      </w:r>
      <w:r w:rsidR="00986046">
        <w:t>,</w:t>
      </w:r>
      <w:r w:rsidR="00F45ADB">
        <w:t xml:space="preserve"> and address </w:t>
      </w:r>
      <w:r w:rsidR="00444328">
        <w:t xml:space="preserve">these </w:t>
      </w:r>
      <w:r w:rsidR="00F45ADB">
        <w:t xml:space="preserve">systemic issues. </w:t>
      </w:r>
      <w:r w:rsidR="001B4B4A">
        <w:t xml:space="preserve">Indeed, </w:t>
      </w:r>
      <w:r w:rsidR="001850F1">
        <w:t xml:space="preserve">Australia lacks </w:t>
      </w:r>
      <w:r w:rsidR="00B55DCA">
        <w:t>an</w:t>
      </w:r>
      <w:r w:rsidR="001850F1">
        <w:t xml:space="preserve"> authoritative</w:t>
      </w:r>
      <w:r w:rsidR="003969A1">
        <w:t xml:space="preserve"> </w:t>
      </w:r>
      <w:r w:rsidR="00B55DCA">
        <w:t xml:space="preserve">and consistent </w:t>
      </w:r>
      <w:r w:rsidR="003969A1">
        <w:t>legislative</w:t>
      </w:r>
      <w:r w:rsidR="001850F1">
        <w:t xml:space="preserve"> framework </w:t>
      </w:r>
      <w:r w:rsidR="00D54DEB">
        <w:t xml:space="preserve">for the achievement of gender equality. </w:t>
      </w:r>
      <w:r w:rsidR="00A95335">
        <w:t>Federal</w:t>
      </w:r>
      <w:r w:rsidR="00FF6EFB">
        <w:t xml:space="preserve"> provisions </w:t>
      </w:r>
      <w:r w:rsidR="00566E4B">
        <w:t xml:space="preserve">dealing with gender equality issues </w:t>
      </w:r>
      <w:r w:rsidR="00AF0BE7">
        <w:t>are contained in various pieces of legislati</w:t>
      </w:r>
      <w:r w:rsidR="00A641BF">
        <w:t>on</w:t>
      </w:r>
      <w:r w:rsidR="0045221F">
        <w:t xml:space="preserve"> </w:t>
      </w:r>
      <w:r w:rsidR="00A641BF">
        <w:t xml:space="preserve">that have not been </w:t>
      </w:r>
      <w:r w:rsidR="00C62BD9">
        <w:t xml:space="preserve">adopted </w:t>
      </w:r>
      <w:r w:rsidR="00A641BF">
        <w:t xml:space="preserve">consistently </w:t>
      </w:r>
      <w:r w:rsidR="00AA142E">
        <w:t>in</w:t>
      </w:r>
      <w:r w:rsidR="00C62BD9">
        <w:t xml:space="preserve"> State</w:t>
      </w:r>
      <w:r w:rsidR="004B5398">
        <w:t>/</w:t>
      </w:r>
      <w:r w:rsidR="00C62BD9">
        <w:t>Territory legislation.</w:t>
      </w:r>
      <w:r w:rsidR="0045221F">
        <w:rPr>
          <w:rStyle w:val="FootnoteReference"/>
        </w:rPr>
        <w:footnoteReference w:id="4"/>
      </w:r>
      <w:r w:rsidR="0045221F">
        <w:t xml:space="preserve"> </w:t>
      </w:r>
      <w:r w:rsidR="007E6F8B">
        <w:t xml:space="preserve">This </w:t>
      </w:r>
      <w:r w:rsidR="0020548A">
        <w:t xml:space="preserve">fragmented approach </w:t>
      </w:r>
      <w:r w:rsidR="006D420C">
        <w:t>has resulted in</w:t>
      </w:r>
      <w:r w:rsidR="0027215E">
        <w:t xml:space="preserve"> </w:t>
      </w:r>
      <w:r w:rsidR="00A44EFC">
        <w:t>inconsistencies</w:t>
      </w:r>
      <w:r w:rsidR="007671EF">
        <w:t xml:space="preserve"> in gender equality obligations and rights</w:t>
      </w:r>
      <w:r w:rsidR="00A44EFC">
        <w:t xml:space="preserve"> across State</w:t>
      </w:r>
      <w:r w:rsidR="00442442">
        <w:t>/</w:t>
      </w:r>
      <w:r w:rsidR="00A44EFC">
        <w:t>Territory legislation</w:t>
      </w:r>
      <w:r w:rsidR="009E27D5">
        <w:t xml:space="preserve"> and</w:t>
      </w:r>
      <w:r w:rsidR="00CE0802">
        <w:t xml:space="preserve"> across</w:t>
      </w:r>
      <w:r w:rsidR="00E27506">
        <w:t xml:space="preserve"> the public, private and no</w:t>
      </w:r>
      <w:r w:rsidR="00342863">
        <w:t>t</w:t>
      </w:r>
      <w:r w:rsidR="00E27506">
        <w:t>-for-profit sectors</w:t>
      </w:r>
      <w:r w:rsidR="00CE0802">
        <w:t>.</w:t>
      </w:r>
    </w:p>
    <w:p w14:paraId="50EC6D9E" w14:textId="5E7B3E48" w:rsidR="005354FB" w:rsidRDefault="00580746" w:rsidP="005354FB">
      <w:pPr>
        <w:spacing w:before="120" w:after="120"/>
      </w:pPr>
      <w:r>
        <w:t>I recommend that the Australian Government look to other OECD nations for guidance on legislative harmonisation.</w:t>
      </w:r>
      <w:r w:rsidR="00BA0DEC">
        <w:t xml:space="preserve"> </w:t>
      </w:r>
      <w:r>
        <w:t>In particular, Iceland’s</w:t>
      </w:r>
      <w:r w:rsidR="001B4B4A">
        <w:t xml:space="preserve"> gender equality legislation</w:t>
      </w:r>
      <w:r>
        <w:t xml:space="preserve"> </w:t>
      </w:r>
      <w:r w:rsidR="00353201">
        <w:t>(Iceland</w:t>
      </w:r>
      <w:r w:rsidR="00AE4C1E">
        <w:t xml:space="preserve"> Act</w:t>
      </w:r>
      <w:r w:rsidR="00353201">
        <w:t>)</w:t>
      </w:r>
      <w:r w:rsidR="00AE7B4A">
        <w:rPr>
          <w:rStyle w:val="FootnoteReference"/>
        </w:rPr>
        <w:footnoteReference w:id="5"/>
      </w:r>
      <w:r w:rsidR="00381BF2">
        <w:t xml:space="preserve"> </w:t>
      </w:r>
      <w:r w:rsidR="00883FAA">
        <w:t xml:space="preserve">establishes key </w:t>
      </w:r>
      <w:r w:rsidR="009E457C">
        <w:t>forums, bodies</w:t>
      </w:r>
      <w:r w:rsidR="00CE6E45">
        <w:t>,</w:t>
      </w:r>
      <w:r w:rsidR="009E457C">
        <w:t xml:space="preserve"> </w:t>
      </w:r>
      <w:r w:rsidR="00CE6E45">
        <w:t xml:space="preserve">and personnel </w:t>
      </w:r>
      <w:r w:rsidR="009E457C">
        <w:t xml:space="preserve">to ensure a </w:t>
      </w:r>
      <w:r w:rsidR="004A00EF" w:rsidRPr="0070335F">
        <w:rPr>
          <w:u w:val="single"/>
        </w:rPr>
        <w:t xml:space="preserve">comprehensive, </w:t>
      </w:r>
      <w:r w:rsidR="009E457C" w:rsidRPr="0070335F">
        <w:rPr>
          <w:u w:val="single"/>
        </w:rPr>
        <w:t>cohesive,</w:t>
      </w:r>
      <w:r w:rsidR="004A00EF" w:rsidRPr="0070335F">
        <w:rPr>
          <w:u w:val="single"/>
        </w:rPr>
        <w:t xml:space="preserve"> and</w:t>
      </w:r>
      <w:r w:rsidR="009E457C" w:rsidRPr="0070335F">
        <w:rPr>
          <w:u w:val="single"/>
        </w:rPr>
        <w:t xml:space="preserve"> coordinated</w:t>
      </w:r>
      <w:r w:rsidR="009E457C">
        <w:t xml:space="preserve"> approach to addressing systemic gender inequality</w:t>
      </w:r>
      <w:r w:rsidR="009B0E33">
        <w:t xml:space="preserve">. This includes </w:t>
      </w:r>
      <w:r w:rsidR="00093603">
        <w:t xml:space="preserve">gender equality experts in each federal ministry, </w:t>
      </w:r>
      <w:r w:rsidR="00472235">
        <w:t>a Gender Equality Council</w:t>
      </w:r>
      <w:r w:rsidR="00F55F73">
        <w:t xml:space="preserve"> (</w:t>
      </w:r>
      <w:r w:rsidR="00472235">
        <w:t>a cons</w:t>
      </w:r>
      <w:r w:rsidR="00B721AF">
        <w:t>ultation</w:t>
      </w:r>
      <w:r w:rsidR="00D37759">
        <w:t xml:space="preserve"> group</w:t>
      </w:r>
      <w:r w:rsidR="00B721AF">
        <w:t xml:space="preserve"> </w:t>
      </w:r>
      <w:r w:rsidR="00A21912">
        <w:t xml:space="preserve">to </w:t>
      </w:r>
      <w:r w:rsidR="00247710">
        <w:t xml:space="preserve">advise </w:t>
      </w:r>
      <w:r w:rsidR="00A21912">
        <w:t xml:space="preserve">the Minister for Gender </w:t>
      </w:r>
      <w:r w:rsidR="0008644A">
        <w:t>Equality</w:t>
      </w:r>
      <w:r w:rsidR="00F55F73">
        <w:t>)</w:t>
      </w:r>
      <w:r w:rsidR="00093603">
        <w:t xml:space="preserve"> and </w:t>
      </w:r>
      <w:r w:rsidR="002D5A96">
        <w:t xml:space="preserve">a Gender Equality Forum </w:t>
      </w:r>
      <w:r w:rsidR="00F55F73">
        <w:t>(</w:t>
      </w:r>
      <w:r w:rsidR="002D5A96">
        <w:t xml:space="preserve">convened </w:t>
      </w:r>
      <w:r w:rsidR="00D317C9">
        <w:t>to discuss gender equality issues with national and municipal government institutions</w:t>
      </w:r>
      <w:r w:rsidR="004A00EF">
        <w:t xml:space="preserve"> and civil society organisations</w:t>
      </w:r>
      <w:r w:rsidR="00F55F73">
        <w:t>)</w:t>
      </w:r>
      <w:r w:rsidR="00820F72">
        <w:t>.</w:t>
      </w:r>
      <w:r w:rsidR="00E7037C">
        <w:rPr>
          <w:rStyle w:val="FootnoteReference"/>
        </w:rPr>
        <w:footnoteReference w:id="6"/>
      </w:r>
      <w:r w:rsidR="005354FB">
        <w:t xml:space="preserve"> </w:t>
      </w:r>
    </w:p>
    <w:p w14:paraId="258E5794" w14:textId="311EDB6D" w:rsidR="00AE0461" w:rsidRDefault="00D37759" w:rsidP="005354FB">
      <w:pPr>
        <w:spacing w:before="120" w:after="120"/>
      </w:pPr>
      <w:r>
        <w:t>The Iceland Act requires</w:t>
      </w:r>
      <w:r w:rsidR="00580746">
        <w:t xml:space="preserve"> the Minister for Gender Equality to </w:t>
      </w:r>
      <w:r w:rsidR="005354FB">
        <w:t>develop a</w:t>
      </w:r>
      <w:r w:rsidR="00580746">
        <w:t xml:space="preserve"> gender equality action pr</w:t>
      </w:r>
      <w:r>
        <w:t>ogramme</w:t>
      </w:r>
      <w:r w:rsidR="00580746">
        <w:t xml:space="preserve">, not dissimilar to the Australian Government’s vision for the </w:t>
      </w:r>
      <w:r w:rsidR="0086721C">
        <w:lastRenderedPageBreak/>
        <w:t>National</w:t>
      </w:r>
      <w:r w:rsidR="00580746">
        <w:t xml:space="preserve"> Strategy, every 4 years.</w:t>
      </w:r>
      <w:r w:rsidR="00580746">
        <w:rPr>
          <w:rStyle w:val="FootnoteReference"/>
        </w:rPr>
        <w:footnoteReference w:id="7"/>
      </w:r>
      <w:r w:rsidR="00820F72">
        <w:t xml:space="preserve"> I</w:t>
      </w:r>
      <w:r w:rsidR="00476CFA">
        <w:t>mportantly, t</w:t>
      </w:r>
      <w:r w:rsidR="00381BF2">
        <w:t>he obligations contained in the</w:t>
      </w:r>
      <w:r w:rsidR="00AE4C1E">
        <w:t xml:space="preserve"> Iceland</w:t>
      </w:r>
      <w:r w:rsidR="00381BF2">
        <w:t xml:space="preserve"> Act </w:t>
      </w:r>
      <w:r w:rsidR="004D0C74">
        <w:t xml:space="preserve">go further than </w:t>
      </w:r>
      <w:r w:rsidR="00381BF2">
        <w:t>those</w:t>
      </w:r>
      <w:r w:rsidR="002D16B4">
        <w:t xml:space="preserve"> contained in the</w:t>
      </w:r>
      <w:r w:rsidR="002D500B">
        <w:t xml:space="preserve"> </w:t>
      </w:r>
      <w:r w:rsidR="00C62BD9" w:rsidRPr="005F285C">
        <w:t>SD Act</w:t>
      </w:r>
      <w:r w:rsidR="002D16B4" w:rsidRPr="00C62BD9">
        <w:t xml:space="preserve">, </w:t>
      </w:r>
      <w:r w:rsidR="00C62BD9" w:rsidRPr="005F285C">
        <w:t>WGE Act</w:t>
      </w:r>
      <w:r w:rsidR="002D16B4" w:rsidRPr="00C62BD9">
        <w:t>,</w:t>
      </w:r>
      <w:r w:rsidR="008A5AC8" w:rsidRPr="00C62BD9">
        <w:t xml:space="preserve"> and</w:t>
      </w:r>
      <w:r w:rsidR="002D16B4" w:rsidRPr="00C62BD9">
        <w:t xml:space="preserve"> </w:t>
      </w:r>
      <w:r w:rsidR="00C62BD9" w:rsidRPr="005F285C">
        <w:t>FW Act</w:t>
      </w:r>
      <w:r w:rsidR="004D0C74" w:rsidRPr="00C62BD9">
        <w:t xml:space="preserve"> </w:t>
      </w:r>
      <w:r w:rsidR="004D0C74">
        <w:t>to</w:t>
      </w:r>
      <w:r w:rsidR="00034D48">
        <w:t xml:space="preserve"> </w:t>
      </w:r>
      <w:r w:rsidR="00AE20FD">
        <w:t xml:space="preserve">ensure </w:t>
      </w:r>
      <w:r w:rsidR="00AE20FD" w:rsidRPr="00247710">
        <w:rPr>
          <w:u w:val="single"/>
        </w:rPr>
        <w:t>broader societal and cultural change</w:t>
      </w:r>
      <w:r w:rsidR="00696E70">
        <w:t>.</w:t>
      </w:r>
      <w:r w:rsidR="00AE20FD">
        <w:t xml:space="preserve"> </w:t>
      </w:r>
      <w:r w:rsidR="00696E70">
        <w:t>F</w:t>
      </w:r>
      <w:r w:rsidR="00AE20FD">
        <w:t>or example,</w:t>
      </w:r>
      <w:r w:rsidR="005354FB">
        <w:t xml:space="preserve"> it</w:t>
      </w:r>
      <w:r w:rsidR="00AE20FD">
        <w:t xml:space="preserve"> </w:t>
      </w:r>
      <w:r w:rsidR="00EB553A">
        <w:t xml:space="preserve">requires </w:t>
      </w:r>
      <w:r w:rsidR="005354FB">
        <w:t>advertising agencies</w:t>
      </w:r>
      <w:r w:rsidR="00B01EC3">
        <w:t xml:space="preserve"> to ensure </w:t>
      </w:r>
      <w:r w:rsidR="005354FB">
        <w:t>advertisements</w:t>
      </w:r>
      <w:r w:rsidR="008A7969">
        <w:t xml:space="preserve"> </w:t>
      </w:r>
      <w:r w:rsidR="00100C78">
        <w:t>are not belittling or disrespectful towards a specific gender</w:t>
      </w:r>
      <w:r w:rsidR="00EB553A">
        <w:t>.</w:t>
      </w:r>
      <w:r w:rsidR="00100C78">
        <w:rPr>
          <w:rStyle w:val="FootnoteReference"/>
        </w:rPr>
        <w:footnoteReference w:id="8"/>
      </w:r>
      <w:r w:rsidR="00AE0461">
        <w:t xml:space="preserve"> </w:t>
      </w:r>
      <w:r w:rsidR="00F144C7">
        <w:t>Th</w:t>
      </w:r>
      <w:r w:rsidR="005E1AFB">
        <w:t>is approach that supports horizontal</w:t>
      </w:r>
      <w:r w:rsidR="00466979">
        <w:t xml:space="preserve"> gender equality</w:t>
      </w:r>
      <w:r w:rsidR="005E1AFB">
        <w:t xml:space="preserve"> policy coordination </w:t>
      </w:r>
      <w:r w:rsidR="00874663">
        <w:t>in all spheres of society</w:t>
      </w:r>
      <w:r w:rsidR="005E1AFB">
        <w:t xml:space="preserve"> has contributed to </w:t>
      </w:r>
      <w:r w:rsidR="00F144C7">
        <w:t>Iceland</w:t>
      </w:r>
      <w:r w:rsidR="005E1AFB">
        <w:t xml:space="preserve">’s </w:t>
      </w:r>
      <w:r w:rsidR="000D39B1">
        <w:t>significant progress towards achieving gender equality.</w:t>
      </w:r>
      <w:r w:rsidR="000D39B1">
        <w:rPr>
          <w:rStyle w:val="FootnoteReference"/>
        </w:rPr>
        <w:footnoteReference w:id="9"/>
      </w:r>
      <w:r w:rsidR="000D39B1">
        <w:t xml:space="preserve"> </w:t>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CB7304" w14:paraId="724E0993" w14:textId="77777777" w:rsidTr="00CB7304">
        <w:tc>
          <w:tcPr>
            <w:tcW w:w="9016" w:type="dxa"/>
            <w:tcBorders>
              <w:top w:val="nil"/>
              <w:left w:val="nil"/>
              <w:bottom w:val="nil"/>
              <w:right w:val="nil"/>
            </w:tcBorders>
            <w:shd w:val="clear" w:color="auto" w:fill="E7E6E6" w:themeFill="background2"/>
          </w:tcPr>
          <w:p w14:paraId="1937DF37" w14:textId="77777777" w:rsidR="00CB7304" w:rsidRPr="006A32D7" w:rsidRDefault="00CB7304" w:rsidP="00CB7304">
            <w:pPr>
              <w:pStyle w:val="Heading3"/>
              <w:spacing w:before="120" w:after="120"/>
              <w:rPr>
                <w:sz w:val="26"/>
                <w:szCs w:val="26"/>
              </w:rPr>
            </w:pPr>
            <w:r w:rsidRPr="006A32D7">
              <w:rPr>
                <w:sz w:val="26"/>
                <w:szCs w:val="26"/>
              </w:rPr>
              <w:t>Recommendation 1 and 2</w:t>
            </w:r>
          </w:p>
          <w:p w14:paraId="0F7B0C49" w14:textId="55ADA79A" w:rsidR="00CB7304" w:rsidRPr="006A32D7" w:rsidRDefault="00CB7304" w:rsidP="00CB7304">
            <w:pPr>
              <w:spacing w:before="120" w:after="120"/>
              <w:rPr>
                <w:sz w:val="22"/>
                <w:szCs w:val="22"/>
              </w:rPr>
            </w:pPr>
            <w:r w:rsidRPr="006A32D7">
              <w:rPr>
                <w:sz w:val="22"/>
                <w:szCs w:val="22"/>
              </w:rPr>
              <w:t xml:space="preserve">That the </w:t>
            </w:r>
            <w:r w:rsidR="0086721C">
              <w:rPr>
                <w:sz w:val="22"/>
                <w:szCs w:val="22"/>
              </w:rPr>
              <w:t xml:space="preserve">National </w:t>
            </w:r>
            <w:r w:rsidRPr="006A32D7">
              <w:rPr>
                <w:sz w:val="22"/>
                <w:szCs w:val="22"/>
              </w:rPr>
              <w:t>Strategy should:</w:t>
            </w:r>
          </w:p>
          <w:p w14:paraId="7E93150C" w14:textId="1CCC3AF1" w:rsidR="00CB7304" w:rsidRPr="006A32D7" w:rsidRDefault="00CB7304" w:rsidP="00CB7304">
            <w:pPr>
              <w:pStyle w:val="ListParagraph"/>
              <w:numPr>
                <w:ilvl w:val="0"/>
                <w:numId w:val="5"/>
              </w:numPr>
              <w:spacing w:before="120" w:after="120" w:line="259" w:lineRule="auto"/>
              <w:contextualSpacing w:val="0"/>
              <w:rPr>
                <w:sz w:val="22"/>
                <w:szCs w:val="22"/>
              </w:rPr>
            </w:pPr>
            <w:r w:rsidRPr="006A32D7">
              <w:rPr>
                <w:sz w:val="22"/>
                <w:szCs w:val="22"/>
              </w:rPr>
              <w:t xml:space="preserve">Commit to the development of federal legislation that establishes key gender </w:t>
            </w:r>
            <w:r w:rsidR="00342863">
              <w:rPr>
                <w:sz w:val="22"/>
                <w:szCs w:val="22"/>
              </w:rPr>
              <w:t>e</w:t>
            </w:r>
            <w:r w:rsidRPr="006A32D7">
              <w:rPr>
                <w:sz w:val="22"/>
                <w:szCs w:val="22"/>
              </w:rPr>
              <w:t>quality forums, bodies, and personnel to ensure a cohesive, consistent, and coordinated approach to addressing systemic gender inequality across Australia.</w:t>
            </w:r>
          </w:p>
          <w:p w14:paraId="6B9B66F7" w14:textId="77777777" w:rsidR="00CB7304" w:rsidRPr="006A32D7" w:rsidRDefault="00CB7304" w:rsidP="00CB7304">
            <w:pPr>
              <w:pStyle w:val="ListParagraph"/>
              <w:numPr>
                <w:ilvl w:val="1"/>
                <w:numId w:val="5"/>
              </w:numPr>
              <w:spacing w:before="120" w:after="120" w:line="259" w:lineRule="auto"/>
              <w:contextualSpacing w:val="0"/>
              <w:rPr>
                <w:sz w:val="22"/>
                <w:szCs w:val="22"/>
              </w:rPr>
            </w:pPr>
            <w:r w:rsidRPr="006A32D7">
              <w:rPr>
                <w:sz w:val="22"/>
                <w:szCs w:val="22"/>
              </w:rPr>
              <w:t>Ensure the establishment of any Gender Equality Forum requires consultation with both federal and State/Territory gender equality agencies, including the Victorian Public Sector Gender Equality Commissioner, representatives of social partners, the academic community and gender equality organisations</w:t>
            </w:r>
          </w:p>
          <w:p w14:paraId="43CA0A71" w14:textId="77777777" w:rsidR="00CB7304" w:rsidRPr="006A32D7" w:rsidRDefault="00CB7304" w:rsidP="00CB7304">
            <w:pPr>
              <w:pStyle w:val="ListParagraph"/>
              <w:numPr>
                <w:ilvl w:val="1"/>
                <w:numId w:val="5"/>
              </w:numPr>
              <w:spacing w:before="120" w:after="120" w:line="259" w:lineRule="auto"/>
              <w:contextualSpacing w:val="0"/>
              <w:rPr>
                <w:sz w:val="22"/>
                <w:szCs w:val="22"/>
              </w:rPr>
            </w:pPr>
            <w:r w:rsidRPr="006A32D7">
              <w:rPr>
                <w:sz w:val="22"/>
                <w:szCs w:val="22"/>
              </w:rPr>
              <w:t>Clarify and simplify existing federal legislative provisions dealing with gender equality issues</w:t>
            </w:r>
          </w:p>
          <w:p w14:paraId="38FF5C81" w14:textId="07D4BF7D" w:rsidR="00CB7304" w:rsidRPr="00691FC8" w:rsidRDefault="00CB7304" w:rsidP="00CB7304">
            <w:pPr>
              <w:pStyle w:val="ListParagraph"/>
              <w:numPr>
                <w:ilvl w:val="1"/>
                <w:numId w:val="5"/>
              </w:numPr>
              <w:spacing w:before="120" w:after="120"/>
              <w:contextualSpacing w:val="0"/>
              <w:rPr>
                <w:sz w:val="22"/>
                <w:szCs w:val="22"/>
              </w:rPr>
            </w:pPr>
            <w:r w:rsidRPr="006A32D7">
              <w:rPr>
                <w:sz w:val="22"/>
                <w:szCs w:val="22"/>
              </w:rPr>
              <w:t xml:space="preserve">Supplement existing gender equality provisions in </w:t>
            </w:r>
            <w:r w:rsidRPr="006A32D7">
              <w:rPr>
                <w:i/>
                <w:iCs/>
                <w:sz w:val="22"/>
                <w:szCs w:val="22"/>
              </w:rPr>
              <w:t>Sex Discrimination Act 1984</w:t>
            </w:r>
            <w:r w:rsidRPr="006A32D7">
              <w:rPr>
                <w:sz w:val="22"/>
                <w:szCs w:val="22"/>
              </w:rPr>
              <w:t xml:space="preserve"> (Cth), </w:t>
            </w:r>
            <w:r w:rsidRPr="006A32D7">
              <w:rPr>
                <w:i/>
                <w:iCs/>
                <w:sz w:val="22"/>
                <w:szCs w:val="22"/>
              </w:rPr>
              <w:t>Workplace Gender Equality Act 2012</w:t>
            </w:r>
            <w:r w:rsidRPr="006A32D7">
              <w:rPr>
                <w:sz w:val="22"/>
                <w:szCs w:val="22"/>
              </w:rPr>
              <w:t xml:space="preserve"> (Cth), and </w:t>
            </w:r>
            <w:r w:rsidRPr="006A32D7">
              <w:rPr>
                <w:i/>
                <w:iCs/>
                <w:sz w:val="22"/>
                <w:szCs w:val="22"/>
              </w:rPr>
              <w:t>Fair Work Act 2009</w:t>
            </w:r>
            <w:r w:rsidRPr="006A32D7">
              <w:rPr>
                <w:sz w:val="22"/>
                <w:szCs w:val="22"/>
              </w:rPr>
              <w:t xml:space="preserve"> (Cth) by including provisions to support a comprehensive approac</w:t>
            </w:r>
            <w:r>
              <w:rPr>
                <w:sz w:val="22"/>
                <w:szCs w:val="22"/>
              </w:rPr>
              <w:t>h</w:t>
            </w:r>
            <w:r w:rsidR="002510EA">
              <w:rPr>
                <w:sz w:val="22"/>
                <w:szCs w:val="22"/>
              </w:rPr>
              <w:t xml:space="preserve"> that addresses gender inequality in all spheres of society</w:t>
            </w:r>
          </w:p>
          <w:p w14:paraId="06547D0D" w14:textId="378C9755" w:rsidR="00CB7304" w:rsidRPr="007F1D89" w:rsidRDefault="00CB7304" w:rsidP="00C359BF">
            <w:pPr>
              <w:pStyle w:val="ListParagraph"/>
              <w:numPr>
                <w:ilvl w:val="0"/>
                <w:numId w:val="5"/>
              </w:numPr>
              <w:spacing w:before="120" w:after="120"/>
              <w:contextualSpacing w:val="0"/>
              <w:rPr>
                <w:sz w:val="22"/>
                <w:szCs w:val="22"/>
              </w:rPr>
            </w:pPr>
            <w:r w:rsidRPr="007F1D89">
              <w:rPr>
                <w:sz w:val="22"/>
                <w:szCs w:val="22"/>
              </w:rPr>
              <w:t>Establish a federal authority responsible for the oversight of the implementation of the federal legislation, such as through the creation of a federal Minister for Gender Equality or by assigning this responsibility to an existing independent statutory authority, such as the Sex Discrimination Commissioner.</w:t>
            </w:r>
          </w:p>
        </w:tc>
      </w:tr>
    </w:tbl>
    <w:p w14:paraId="03C29935" w14:textId="0866F5AA" w:rsidR="00B52EAA" w:rsidRDefault="008614A4" w:rsidP="005354FB">
      <w:pPr>
        <w:pStyle w:val="Heading3"/>
        <w:spacing w:before="120" w:after="120"/>
      </w:pPr>
      <w:r>
        <w:t xml:space="preserve">Support the development of </w:t>
      </w:r>
      <w:r w:rsidR="00D12CFE">
        <w:t>State/Territory</w:t>
      </w:r>
      <w:r>
        <w:t>-based legislation modelled on the Victorian GE Act</w:t>
      </w:r>
    </w:p>
    <w:p w14:paraId="1EBD7DEA" w14:textId="6367FFBE" w:rsidR="00F311BC" w:rsidRDefault="003F6094" w:rsidP="005354FB">
      <w:pPr>
        <w:spacing w:before="120" w:after="120"/>
        <w:rPr>
          <w:rFonts w:eastAsia="Times New Roman" w:cs="Segoe UI"/>
          <w:lang w:eastAsia="en-AU"/>
        </w:rPr>
      </w:pPr>
      <w:r>
        <w:t>T</w:t>
      </w:r>
      <w:r w:rsidR="00A9045A">
        <w:t xml:space="preserve">he GE Act </w:t>
      </w:r>
      <w:r w:rsidR="00611414">
        <w:t xml:space="preserve">is </w:t>
      </w:r>
      <w:r w:rsidR="003616B1">
        <w:t xml:space="preserve">internationally </w:t>
      </w:r>
      <w:r w:rsidR="00611414">
        <w:t xml:space="preserve">recognised as a </w:t>
      </w:r>
      <w:r w:rsidR="004601EC">
        <w:t>landmark piece of legislation</w:t>
      </w:r>
      <w:r w:rsidR="00BF35CC">
        <w:t xml:space="preserve">. </w:t>
      </w:r>
      <w:r w:rsidR="003616B1">
        <w:t xml:space="preserve">It </w:t>
      </w:r>
      <w:r w:rsidR="00FB46C9">
        <w:t xml:space="preserve">contains powerful mechanisms to </w:t>
      </w:r>
      <w:r w:rsidR="003055B8">
        <w:t xml:space="preserve">ensure </w:t>
      </w:r>
      <w:r w:rsidR="00A9045A" w:rsidRPr="00F27768">
        <w:rPr>
          <w:rFonts w:eastAsia="Times New Roman" w:cs="Segoe UI"/>
          <w:lang w:eastAsia="en-AU"/>
        </w:rPr>
        <w:t>the Victorian public sector</w:t>
      </w:r>
      <w:r w:rsidR="003055B8">
        <w:rPr>
          <w:rFonts w:eastAsia="Times New Roman" w:cs="Segoe UI"/>
          <w:lang w:eastAsia="en-AU"/>
        </w:rPr>
        <w:t xml:space="preserve"> takes </w:t>
      </w:r>
      <w:r w:rsidR="3B9EFB49" w:rsidRPr="069F6212">
        <w:rPr>
          <w:rFonts w:eastAsia="Times New Roman" w:cs="Segoe UI"/>
          <w:lang w:eastAsia="en-AU"/>
        </w:rPr>
        <w:t xml:space="preserve">proactive and </w:t>
      </w:r>
      <w:r w:rsidR="3B9EFB49" w:rsidRPr="069F6212">
        <w:rPr>
          <w:rFonts w:eastAsia="Times New Roman" w:cs="Segoe UI"/>
          <w:lang w:eastAsia="en-AU"/>
        </w:rPr>
        <w:lastRenderedPageBreak/>
        <w:t>consistent</w:t>
      </w:r>
      <w:r w:rsidR="004B5398">
        <w:rPr>
          <w:rFonts w:eastAsia="Times New Roman" w:cs="Segoe UI"/>
          <w:lang w:eastAsia="en-AU"/>
        </w:rPr>
        <w:t xml:space="preserve"> </w:t>
      </w:r>
      <w:r w:rsidR="003055B8">
        <w:rPr>
          <w:rFonts w:eastAsia="Times New Roman" w:cs="Segoe UI"/>
          <w:lang w:eastAsia="en-AU"/>
        </w:rPr>
        <w:t>steps to achieve gender equalit</w:t>
      </w:r>
      <w:r w:rsidR="001F3D43">
        <w:rPr>
          <w:rFonts w:eastAsia="Times New Roman" w:cs="Segoe UI"/>
          <w:lang w:eastAsia="en-AU"/>
        </w:rPr>
        <w:t>y, with significant benefits</w:t>
      </w:r>
      <w:r w:rsidR="00BF409F">
        <w:rPr>
          <w:rFonts w:eastAsia="Times New Roman" w:cs="Segoe UI"/>
          <w:lang w:eastAsia="en-AU"/>
        </w:rPr>
        <w:t xml:space="preserve"> not only</w:t>
      </w:r>
      <w:r w:rsidR="001F3D43">
        <w:rPr>
          <w:rFonts w:eastAsia="Times New Roman" w:cs="Segoe UI"/>
          <w:lang w:eastAsia="en-AU"/>
        </w:rPr>
        <w:t xml:space="preserve"> for those entities, </w:t>
      </w:r>
      <w:r w:rsidR="00BF409F">
        <w:rPr>
          <w:rFonts w:eastAsia="Times New Roman" w:cs="Segoe UI"/>
          <w:lang w:eastAsia="en-AU"/>
        </w:rPr>
        <w:t>but</w:t>
      </w:r>
      <w:r w:rsidR="001F3D43">
        <w:rPr>
          <w:rFonts w:eastAsia="Times New Roman" w:cs="Segoe UI"/>
          <w:lang w:eastAsia="en-AU"/>
        </w:rPr>
        <w:t xml:space="preserve"> for the broader Victorian community</w:t>
      </w:r>
      <w:r w:rsidR="000A52FC">
        <w:rPr>
          <w:rFonts w:eastAsia="Times New Roman" w:cs="Segoe UI"/>
          <w:lang w:eastAsia="en-AU"/>
        </w:rPr>
        <w:t>, including</w:t>
      </w:r>
      <w:r w:rsidR="00F311BC">
        <w:rPr>
          <w:rFonts w:eastAsia="Times New Roman" w:cs="Segoe UI"/>
          <w:lang w:eastAsia="en-AU"/>
        </w:rPr>
        <w:t>:</w:t>
      </w:r>
    </w:p>
    <w:p w14:paraId="5CC77705" w14:textId="27CB12C9" w:rsidR="00F311BC" w:rsidRDefault="00BB2607" w:rsidP="005354FB">
      <w:pPr>
        <w:pStyle w:val="ListParagraph"/>
        <w:numPr>
          <w:ilvl w:val="0"/>
          <w:numId w:val="7"/>
        </w:numPr>
        <w:spacing w:before="120" w:after="120"/>
        <w:contextualSpacing w:val="0"/>
      </w:pPr>
      <w:r w:rsidRPr="00F311BC">
        <w:rPr>
          <w:rFonts w:eastAsia="Times New Roman" w:cs="Segoe UI"/>
          <w:lang w:eastAsia="en-AU"/>
        </w:rPr>
        <w:t xml:space="preserve">the </w:t>
      </w:r>
      <w:r w:rsidR="0058101A">
        <w:t>economic benefits associated with increased women’s workforce participation</w:t>
      </w:r>
      <w:r w:rsidR="00F311BC">
        <w:t>.</w:t>
      </w:r>
      <w:r w:rsidR="00FE19DA">
        <w:t xml:space="preserve"> </w:t>
      </w:r>
      <w:r w:rsidR="008F6A62">
        <w:t xml:space="preserve">Research indicates that closing </w:t>
      </w:r>
      <w:r w:rsidR="00734BBB">
        <w:t xml:space="preserve">the </w:t>
      </w:r>
      <w:r w:rsidR="003B4614">
        <w:t xml:space="preserve">employment gap completely in Australia </w:t>
      </w:r>
      <w:r w:rsidR="008F6A62">
        <w:t xml:space="preserve">would </w:t>
      </w:r>
      <w:r w:rsidR="003B4614">
        <w:t>boost GDP by 11</w:t>
      </w:r>
      <w:r w:rsidR="00727A95">
        <w:t>%;</w:t>
      </w:r>
      <w:r w:rsidR="008F6A62">
        <w:rPr>
          <w:rStyle w:val="FootnoteReference"/>
        </w:rPr>
        <w:footnoteReference w:id="10"/>
      </w:r>
    </w:p>
    <w:p w14:paraId="27C8459A" w14:textId="1863672A" w:rsidR="00F311BC" w:rsidRDefault="00FE19DA" w:rsidP="005354FB">
      <w:pPr>
        <w:pStyle w:val="ListParagraph"/>
        <w:numPr>
          <w:ilvl w:val="0"/>
          <w:numId w:val="7"/>
        </w:numPr>
        <w:spacing w:before="120" w:after="120"/>
        <w:contextualSpacing w:val="0"/>
      </w:pPr>
      <w:r>
        <w:t xml:space="preserve">decreased rates of </w:t>
      </w:r>
      <w:r w:rsidR="00CF747A">
        <w:t>gender-based violence</w:t>
      </w:r>
      <w:r w:rsidR="00EE08F0">
        <w:t xml:space="preserve">, which we know </w:t>
      </w:r>
      <w:r w:rsidR="00262A6B">
        <w:t xml:space="preserve">is a manifestation of inequality and discrimination based on gender and other intersectional attributes, such as Aboriginality, </w:t>
      </w:r>
      <w:r w:rsidR="00A621AD">
        <w:t>disability</w:t>
      </w:r>
      <w:r w:rsidR="00AA225E">
        <w:t>,</w:t>
      </w:r>
      <w:r w:rsidR="00A621AD">
        <w:t xml:space="preserve"> </w:t>
      </w:r>
      <w:r w:rsidR="00CB2D04">
        <w:t>race, sexuality,</w:t>
      </w:r>
      <w:r w:rsidR="00A621AD">
        <w:t xml:space="preserve"> and age,</w:t>
      </w:r>
      <w:r w:rsidR="00262A6B">
        <w:t xml:space="preserve"> as well as </w:t>
      </w:r>
      <w:r w:rsidR="00AD55D9">
        <w:t>deeply entrenched power</w:t>
      </w:r>
      <w:r w:rsidR="00AA225E">
        <w:t xml:space="preserve"> relations </w:t>
      </w:r>
      <w:r w:rsidR="00AD55D9">
        <w:t>and devaluation of women and girls</w:t>
      </w:r>
      <w:r w:rsidR="00AA225E">
        <w:t>;</w:t>
      </w:r>
      <w:r w:rsidR="00F00B86">
        <w:rPr>
          <w:rStyle w:val="FootnoteReference"/>
        </w:rPr>
        <w:footnoteReference w:id="11"/>
      </w:r>
      <w:r w:rsidR="00ED2A55">
        <w:t xml:space="preserve"> and</w:t>
      </w:r>
    </w:p>
    <w:p w14:paraId="1D6E4E45" w14:textId="562E774B" w:rsidR="00F311BC" w:rsidRDefault="009824D6" w:rsidP="005354FB">
      <w:pPr>
        <w:pStyle w:val="ListParagraph"/>
        <w:numPr>
          <w:ilvl w:val="0"/>
          <w:numId w:val="7"/>
        </w:numPr>
        <w:spacing w:before="120" w:after="120"/>
        <w:contextualSpacing w:val="0"/>
      </w:pPr>
      <w:r>
        <w:t>increased representation of women in leadership</w:t>
      </w:r>
      <w:r w:rsidR="00F71EA3">
        <w:t xml:space="preserve">. </w:t>
      </w:r>
      <w:r w:rsidR="0034564F">
        <w:t>According to</w:t>
      </w:r>
      <w:r w:rsidR="00700FEE">
        <w:t xml:space="preserve"> a </w:t>
      </w:r>
      <w:r w:rsidR="00E03BED">
        <w:t xml:space="preserve">recent </w:t>
      </w:r>
      <w:r w:rsidR="00727A95">
        <w:t>report</w:t>
      </w:r>
      <w:r w:rsidR="00163F79">
        <w:t>, women constitute 42</w:t>
      </w:r>
      <w:r w:rsidR="00727A95">
        <w:t xml:space="preserve">% </w:t>
      </w:r>
      <w:r w:rsidR="00163F79">
        <w:t xml:space="preserve">of all employees </w:t>
      </w:r>
      <w:r w:rsidR="005C31EC">
        <w:t>in Australia, but only 10</w:t>
      </w:r>
      <w:r w:rsidR="009B13C9">
        <w:t>%</w:t>
      </w:r>
      <w:r w:rsidR="005C31EC">
        <w:t xml:space="preserve"> of CEOs and 25</w:t>
      </w:r>
      <w:r w:rsidR="009B13C9">
        <w:t>%</w:t>
      </w:r>
      <w:r w:rsidR="005C31EC">
        <w:t xml:space="preserve"> of executives in large, for-profit companies</w:t>
      </w:r>
      <w:r w:rsidR="00ED2A55">
        <w:t>.</w:t>
      </w:r>
      <w:r w:rsidR="005C31EC">
        <w:rPr>
          <w:rStyle w:val="FootnoteReference"/>
        </w:rPr>
        <w:footnoteReference w:id="12"/>
      </w:r>
    </w:p>
    <w:p w14:paraId="6B68498B" w14:textId="6788272A" w:rsidR="4DCAD34D" w:rsidRPr="00714225" w:rsidRDefault="00E04578" w:rsidP="005354FB">
      <w:pPr>
        <w:spacing w:before="120" w:after="120" w:line="240" w:lineRule="auto"/>
        <w:textAlignment w:val="baseline"/>
        <w:rPr>
          <w:rFonts w:eastAsia="Times New Roman" w:cs="Segoe UI"/>
          <w:lang w:eastAsia="en-AU"/>
        </w:rPr>
      </w:pPr>
      <w:r>
        <w:t xml:space="preserve">While the </w:t>
      </w:r>
      <w:r w:rsidR="00AB317A">
        <w:t>implementation</w:t>
      </w:r>
      <w:r>
        <w:t xml:space="preserve"> of the GE Act is still in </w:t>
      </w:r>
      <w:r w:rsidR="0048336E">
        <w:t xml:space="preserve">its infancy, </w:t>
      </w:r>
      <w:r w:rsidR="000D3B75">
        <w:t>it</w:t>
      </w:r>
      <w:r w:rsidR="0048336E">
        <w:t xml:space="preserve"> has </w:t>
      </w:r>
      <w:r w:rsidR="00850B7A">
        <w:rPr>
          <w:rFonts w:eastAsia="Times New Roman" w:cs="Segoe UI"/>
          <w:lang w:eastAsia="en-AU"/>
        </w:rPr>
        <w:t>already led to the achievement of</w:t>
      </w:r>
      <w:r w:rsidR="00D05C68">
        <w:rPr>
          <w:rFonts w:eastAsia="Times New Roman" w:cs="Segoe UI"/>
          <w:lang w:eastAsia="en-AU"/>
        </w:rPr>
        <w:t xml:space="preserve"> several</w:t>
      </w:r>
      <w:r w:rsidR="00850B7A">
        <w:rPr>
          <w:rFonts w:eastAsia="Times New Roman" w:cs="Segoe UI"/>
          <w:lang w:eastAsia="en-AU"/>
        </w:rPr>
        <w:t xml:space="preserve"> key milestones in Victoria’s journey to </w:t>
      </w:r>
      <w:r w:rsidR="00806A4F">
        <w:rPr>
          <w:rFonts w:eastAsia="Times New Roman" w:cs="Segoe UI"/>
          <w:lang w:eastAsia="en-AU"/>
        </w:rPr>
        <w:t>achieving</w:t>
      </w:r>
      <w:r w:rsidR="00850B7A">
        <w:rPr>
          <w:rFonts w:eastAsia="Times New Roman" w:cs="Segoe UI"/>
          <w:lang w:eastAsia="en-AU"/>
        </w:rPr>
        <w:t xml:space="preserve"> gender equality</w:t>
      </w:r>
      <w:r w:rsidR="00806A4F">
        <w:rPr>
          <w:rFonts w:eastAsia="Times New Roman" w:cs="Segoe UI"/>
          <w:lang w:eastAsia="en-AU"/>
        </w:rPr>
        <w:t>. Th</w:t>
      </w:r>
      <w:r w:rsidR="00714225">
        <w:rPr>
          <w:rFonts w:eastAsia="Times New Roman" w:cs="Segoe UI"/>
          <w:lang w:eastAsia="en-AU"/>
        </w:rPr>
        <w:t xml:space="preserve">is includes the </w:t>
      </w:r>
      <w:r w:rsidR="00A97F98" w:rsidRPr="00714225">
        <w:rPr>
          <w:rFonts w:eastAsia="Times New Roman" w:cs="Segoe UI"/>
          <w:lang w:eastAsia="en-AU"/>
        </w:rPr>
        <w:t xml:space="preserve">development of Victoria’s first </w:t>
      </w:r>
      <w:hyperlink r:id="rId15" w:history="1">
        <w:r w:rsidR="00A6647E" w:rsidRPr="00714225">
          <w:rPr>
            <w:rStyle w:val="Hyperlink"/>
            <w:rFonts w:eastAsia="Times New Roman" w:cs="Segoe UI"/>
            <w:lang w:eastAsia="en-AU"/>
          </w:rPr>
          <w:t>Baseline report</w:t>
        </w:r>
      </w:hyperlink>
      <w:r w:rsidR="00A6647E" w:rsidRPr="00714225">
        <w:rPr>
          <w:rFonts w:eastAsia="Times New Roman" w:cs="Segoe UI"/>
          <w:lang w:eastAsia="en-AU"/>
        </w:rPr>
        <w:t>, which established a</w:t>
      </w:r>
      <w:r w:rsidR="009B13C9" w:rsidRPr="00714225">
        <w:rPr>
          <w:rFonts w:eastAsia="Times New Roman" w:cs="Segoe UI"/>
          <w:lang w:eastAsia="en-AU"/>
        </w:rPr>
        <w:t xml:space="preserve"> workplace gender equality</w:t>
      </w:r>
      <w:r w:rsidR="00A6647E" w:rsidRPr="00714225">
        <w:rPr>
          <w:rFonts w:eastAsia="Times New Roman" w:cs="Segoe UI"/>
          <w:lang w:eastAsia="en-AU"/>
        </w:rPr>
        <w:t xml:space="preserve"> ‘baseline’ </w:t>
      </w:r>
      <w:r w:rsidR="00F47B68" w:rsidRPr="00714225">
        <w:rPr>
          <w:rFonts w:eastAsia="Times New Roman" w:cs="Segoe UI"/>
          <w:lang w:eastAsia="en-AU"/>
        </w:rPr>
        <w:t>against which gender equality progress can be measure</w:t>
      </w:r>
      <w:r w:rsidR="00334300" w:rsidRPr="00714225">
        <w:rPr>
          <w:rFonts w:eastAsia="Times New Roman" w:cs="Segoe UI"/>
          <w:lang w:eastAsia="en-AU"/>
        </w:rPr>
        <w:t>d</w:t>
      </w:r>
      <w:r w:rsidR="00714225">
        <w:rPr>
          <w:rFonts w:eastAsia="Times New Roman" w:cs="Segoe UI"/>
          <w:lang w:eastAsia="en-AU"/>
        </w:rPr>
        <w:t xml:space="preserve">, and the </w:t>
      </w:r>
      <w:r w:rsidR="00875DEF" w:rsidRPr="00714225">
        <w:rPr>
          <w:rFonts w:eastAsia="Times New Roman" w:cs="Segoe UI"/>
          <w:lang w:eastAsia="en-AU"/>
        </w:rPr>
        <w:t xml:space="preserve">development and publication of </w:t>
      </w:r>
      <w:r w:rsidR="00534CB5" w:rsidRPr="00714225">
        <w:rPr>
          <w:rFonts w:eastAsia="Times New Roman" w:cs="Segoe UI"/>
          <w:lang w:eastAsia="en-AU"/>
        </w:rPr>
        <w:t>a</w:t>
      </w:r>
      <w:r w:rsidR="002967A3" w:rsidRPr="00714225">
        <w:rPr>
          <w:rFonts w:eastAsia="Times New Roman" w:cs="Segoe UI"/>
          <w:lang w:eastAsia="en-AU"/>
        </w:rPr>
        <w:t xml:space="preserve"> gender data</w:t>
      </w:r>
      <w:r w:rsidR="00534CB5" w:rsidRPr="00714225">
        <w:rPr>
          <w:rFonts w:eastAsia="Times New Roman" w:cs="Segoe UI"/>
          <w:lang w:eastAsia="en-AU"/>
        </w:rPr>
        <w:t xml:space="preserve"> </w:t>
      </w:r>
      <w:hyperlink r:id="rId16">
        <w:r w:rsidR="00534CB5" w:rsidRPr="00714225">
          <w:rPr>
            <w:rStyle w:val="Hyperlink"/>
            <w:rFonts w:eastAsia="Times New Roman" w:cs="Segoe UI"/>
            <w:lang w:eastAsia="en-AU"/>
          </w:rPr>
          <w:t>Insights Portal</w:t>
        </w:r>
      </w:hyperlink>
      <w:r w:rsidR="00534CB5" w:rsidRPr="00714225">
        <w:rPr>
          <w:rFonts w:eastAsia="Times New Roman" w:cs="Segoe UI"/>
          <w:lang w:eastAsia="en-AU"/>
        </w:rPr>
        <w:t xml:space="preserve">, which provides </w:t>
      </w:r>
      <w:r w:rsidR="009B13C9" w:rsidRPr="00714225">
        <w:rPr>
          <w:rFonts w:eastAsia="Times New Roman" w:cs="Segoe UI"/>
          <w:lang w:eastAsia="en-AU"/>
        </w:rPr>
        <w:t xml:space="preserve">public </w:t>
      </w:r>
      <w:r w:rsidR="074599C6" w:rsidRPr="00714225">
        <w:rPr>
          <w:rFonts w:eastAsia="Times New Roman" w:cs="Segoe UI"/>
          <w:lang w:eastAsia="en-AU"/>
        </w:rPr>
        <w:t>accountability and</w:t>
      </w:r>
      <w:r w:rsidR="00534CB5" w:rsidRPr="00714225">
        <w:rPr>
          <w:rFonts w:eastAsia="Times New Roman" w:cs="Segoe UI"/>
          <w:lang w:eastAsia="en-AU"/>
        </w:rPr>
        <w:t xml:space="preserve"> transparency as to the state and nature of gender equality in public sector workplaces</w:t>
      </w:r>
      <w:r w:rsidR="00714225">
        <w:rPr>
          <w:rFonts w:eastAsia="Times New Roman" w:cs="Segoe UI"/>
          <w:lang w:eastAsia="en-AU"/>
        </w:rPr>
        <w:t>.</w:t>
      </w:r>
    </w:p>
    <w:p w14:paraId="5F77EB1F" w14:textId="59E08D48" w:rsidR="001B48A9" w:rsidRPr="00714225" w:rsidRDefault="001142CB" w:rsidP="005354FB">
      <w:pPr>
        <w:spacing w:before="120" w:after="120" w:line="240" w:lineRule="auto"/>
        <w:textAlignment w:val="baseline"/>
        <w:rPr>
          <w:rFonts w:eastAsia="Times New Roman" w:cs="Segoe UI"/>
          <w:lang w:eastAsia="en-AU"/>
        </w:rPr>
      </w:pPr>
      <w:r>
        <w:t>Im</w:t>
      </w:r>
      <w:r w:rsidR="00B20455">
        <w:t xml:space="preserve">plementation of the GE Act </w:t>
      </w:r>
      <w:r w:rsidR="00005728">
        <w:t xml:space="preserve">to date </w:t>
      </w:r>
      <w:r w:rsidR="00B20455">
        <w:t xml:space="preserve">and </w:t>
      </w:r>
      <w:r w:rsidR="0098012E">
        <w:t xml:space="preserve">ongoing </w:t>
      </w:r>
      <w:r w:rsidR="00B20455">
        <w:t>c</w:t>
      </w:r>
      <w:r w:rsidR="00957B33">
        <w:t>onsultation with</w:t>
      </w:r>
      <w:r w:rsidR="008A599A">
        <w:t xml:space="preserve"> </w:t>
      </w:r>
      <w:r w:rsidR="00957B33">
        <w:t xml:space="preserve">key stakeholders </w:t>
      </w:r>
      <w:r w:rsidR="008A599A">
        <w:t xml:space="preserve">has </w:t>
      </w:r>
      <w:r w:rsidR="00F64BC1">
        <w:t xml:space="preserve">revealed </w:t>
      </w:r>
      <w:r w:rsidR="00F35B6D">
        <w:t>potential</w:t>
      </w:r>
      <w:r w:rsidR="00F64BC1">
        <w:t xml:space="preserve"> areas for reform of the GE Act </w:t>
      </w:r>
      <w:r w:rsidR="5714A9F9">
        <w:t xml:space="preserve">to ensure </w:t>
      </w:r>
      <w:r w:rsidR="00E3543F">
        <w:t xml:space="preserve">it </w:t>
      </w:r>
      <w:r w:rsidR="5714A9F9">
        <w:t>continues to</w:t>
      </w:r>
      <w:r w:rsidR="00F40684">
        <w:t xml:space="preserve"> fulfill its objective</w:t>
      </w:r>
      <w:r w:rsidR="00932A7E">
        <w:t>s</w:t>
      </w:r>
      <w:r w:rsidR="1924361E">
        <w:t xml:space="preserve"> </w:t>
      </w:r>
      <w:r w:rsidR="636B9E6B">
        <w:t xml:space="preserve">and lead the way. As such, I would </w:t>
      </w:r>
      <w:r w:rsidR="005832DB">
        <w:t>strongly</w:t>
      </w:r>
      <w:r w:rsidR="0051630C">
        <w:t xml:space="preserve"> suggest </w:t>
      </w:r>
      <w:r w:rsidR="002F78D9">
        <w:t>that any</w:t>
      </w:r>
      <w:r w:rsidR="003B404A">
        <w:t xml:space="preserve"> corresponding State</w:t>
      </w:r>
      <w:r w:rsidR="00CB2C53">
        <w:t>/</w:t>
      </w:r>
      <w:r w:rsidR="003B404A">
        <w:t>Territory legislation</w:t>
      </w:r>
      <w:r w:rsidR="002F78D9">
        <w:t xml:space="preserve"> have </w:t>
      </w:r>
      <w:r w:rsidR="00714225">
        <w:t>a larger</w:t>
      </w:r>
      <w:r w:rsidR="002F78D9">
        <w:t xml:space="preserve"> scope</w:t>
      </w:r>
      <w:r w:rsidR="007324C0">
        <w:t xml:space="preserve"> than that of the GE Act at present, by ensuring coverage of</w:t>
      </w:r>
      <w:r w:rsidR="00714225">
        <w:t xml:space="preserve"> </w:t>
      </w:r>
      <w:r w:rsidR="079C5592">
        <w:t>the</w:t>
      </w:r>
      <w:r w:rsidR="00A02005">
        <w:t xml:space="preserve"> private sector</w:t>
      </w:r>
      <w:r w:rsidR="00714225">
        <w:t>,</w:t>
      </w:r>
      <w:r w:rsidR="00714225">
        <w:rPr>
          <w:rStyle w:val="FootnoteReference"/>
        </w:rPr>
        <w:footnoteReference w:id="13"/>
      </w:r>
      <w:r w:rsidR="63C29985">
        <w:t xml:space="preserve"> </w:t>
      </w:r>
      <w:r w:rsidR="004358CB">
        <w:t xml:space="preserve">entities with </w:t>
      </w:r>
      <w:r w:rsidR="10E91A4A">
        <w:t xml:space="preserve">less than </w:t>
      </w:r>
      <w:r w:rsidR="00CD71B7">
        <w:t>50 employees</w:t>
      </w:r>
      <w:r w:rsidR="001B48A9">
        <w:rPr>
          <w:rStyle w:val="FootnoteReference"/>
        </w:rPr>
        <w:footnoteReference w:id="14"/>
      </w:r>
      <w:r w:rsidR="00714225">
        <w:t xml:space="preserve"> and</w:t>
      </w:r>
      <w:r w:rsidR="00714225">
        <w:rPr>
          <w:rFonts w:eastAsia="Times New Roman" w:cs="Segoe UI"/>
          <w:lang w:eastAsia="en-AU"/>
        </w:rPr>
        <w:t xml:space="preserve"> </w:t>
      </w:r>
      <w:r w:rsidR="00752385">
        <w:t>volunteers.</w:t>
      </w:r>
      <w:r w:rsidR="006A78A4">
        <w:rPr>
          <w:rStyle w:val="FootnoteReference"/>
        </w:rPr>
        <w:footnoteReference w:id="15"/>
      </w:r>
      <w:r w:rsidR="007816CD">
        <w:t xml:space="preserve"> </w:t>
      </w:r>
    </w:p>
    <w:p w14:paraId="1802A379" w14:textId="66D91482" w:rsidR="002E2024" w:rsidRDefault="002E2024" w:rsidP="005354FB">
      <w:pPr>
        <w:spacing w:before="120" w:after="120"/>
      </w:pPr>
      <w:r>
        <w:t xml:space="preserve">The Victorian Government undertook a significant amount of consultation prior to the enactment of the GE Act to ensure defined entities covered by legislation understood, </w:t>
      </w:r>
      <w:r>
        <w:lastRenderedPageBreak/>
        <w:t>and were able to comply with, their obligations. This included the development and piloting of various tools</w:t>
      </w:r>
      <w:r w:rsidR="00C840D7">
        <w:t xml:space="preserve"> and materials</w:t>
      </w:r>
      <w:r>
        <w:t xml:space="preserve">. I strongly recommend that </w:t>
      </w:r>
      <w:r w:rsidR="0034467B">
        <w:t>a similar approach is taken in the other States</w:t>
      </w:r>
      <w:r w:rsidR="009B13C9">
        <w:t>/</w:t>
      </w:r>
      <w:r w:rsidR="0034467B">
        <w:t xml:space="preserve">Territories, as stakeholder buy-in has been crucial to the ongoing success of the GE Act. </w:t>
      </w:r>
    </w:p>
    <w:tbl>
      <w:tblPr>
        <w:tblStyle w:val="TableGrid"/>
        <w:tblpPr w:leftFromText="181" w:rightFromText="181" w:vertAnchor="text" w:tblpY="1"/>
        <w:tblOverlap w:val="never"/>
        <w:tblW w:w="0" w:type="auto"/>
        <w:tblLook w:val="04A0" w:firstRow="1" w:lastRow="0" w:firstColumn="1" w:lastColumn="0" w:noHBand="0" w:noVBand="1"/>
      </w:tblPr>
      <w:tblGrid>
        <w:gridCol w:w="8866"/>
      </w:tblGrid>
      <w:tr w:rsidR="006A32D7" w14:paraId="76B7B676" w14:textId="77777777" w:rsidTr="00C205C3">
        <w:trPr>
          <w:trHeight w:val="5366"/>
        </w:trPr>
        <w:tc>
          <w:tcPr>
            <w:tcW w:w="8866" w:type="dxa"/>
            <w:tcBorders>
              <w:top w:val="nil"/>
              <w:left w:val="nil"/>
              <w:bottom w:val="nil"/>
              <w:right w:val="nil"/>
            </w:tcBorders>
            <w:shd w:val="clear" w:color="auto" w:fill="E7E6E6" w:themeFill="background2"/>
          </w:tcPr>
          <w:p w14:paraId="55A550CE" w14:textId="77777777" w:rsidR="006A32D7" w:rsidRPr="006A32D7" w:rsidRDefault="006A32D7" w:rsidP="00C205C3">
            <w:pPr>
              <w:keepNext/>
              <w:keepLines/>
              <w:spacing w:before="120" w:after="120"/>
              <w:outlineLvl w:val="2"/>
              <w:rPr>
                <w:rFonts w:ascii="VIC SemiBold" w:eastAsiaTheme="majorEastAsia" w:hAnsi="VIC SemiBold" w:cstheme="minorHAnsi"/>
                <w:color w:val="5C308D"/>
                <w:sz w:val="24"/>
                <w:szCs w:val="24"/>
              </w:rPr>
            </w:pPr>
            <w:r w:rsidRPr="006A32D7">
              <w:rPr>
                <w:rFonts w:ascii="VIC SemiBold" w:eastAsiaTheme="majorEastAsia" w:hAnsi="VIC SemiBold" w:cstheme="minorHAnsi"/>
                <w:color w:val="5C308D"/>
                <w:sz w:val="24"/>
                <w:szCs w:val="24"/>
              </w:rPr>
              <w:t>Recommendation 3</w:t>
            </w:r>
          </w:p>
          <w:p w14:paraId="4219D3C4" w14:textId="3007344E" w:rsidR="006A32D7" w:rsidRPr="006A32D7" w:rsidRDefault="006A32D7" w:rsidP="00C205C3">
            <w:pPr>
              <w:spacing w:before="120" w:after="120"/>
              <w:rPr>
                <w:sz w:val="22"/>
                <w:szCs w:val="22"/>
              </w:rPr>
            </w:pPr>
            <w:r w:rsidRPr="006A32D7">
              <w:rPr>
                <w:sz w:val="22"/>
                <w:szCs w:val="22"/>
              </w:rPr>
              <w:t xml:space="preserve">That the </w:t>
            </w:r>
            <w:r w:rsidR="0086721C">
              <w:rPr>
                <w:sz w:val="22"/>
                <w:szCs w:val="22"/>
              </w:rPr>
              <w:t>National</w:t>
            </w:r>
            <w:r w:rsidRPr="006A32D7">
              <w:rPr>
                <w:sz w:val="22"/>
                <w:szCs w:val="22"/>
              </w:rPr>
              <w:t xml:space="preserve"> Strategy should:</w:t>
            </w:r>
          </w:p>
          <w:p w14:paraId="73DDD360" w14:textId="1698D6A1" w:rsidR="006A32D7" w:rsidRPr="006A32D7" w:rsidRDefault="006A32D7" w:rsidP="00DE4C1F">
            <w:pPr>
              <w:numPr>
                <w:ilvl w:val="0"/>
                <w:numId w:val="5"/>
              </w:numPr>
              <w:spacing w:before="120" w:after="120"/>
              <w:ind w:hanging="357"/>
              <w:rPr>
                <w:sz w:val="22"/>
                <w:szCs w:val="22"/>
              </w:rPr>
            </w:pPr>
            <w:r w:rsidRPr="006A32D7">
              <w:rPr>
                <w:sz w:val="22"/>
                <w:szCs w:val="22"/>
              </w:rPr>
              <w:t xml:space="preserve">Clearly establish a responsibility for the </w:t>
            </w:r>
            <w:r w:rsidR="009B6EB9">
              <w:rPr>
                <w:sz w:val="22"/>
                <w:szCs w:val="22"/>
              </w:rPr>
              <w:t>Federal</w:t>
            </w:r>
            <w:r w:rsidRPr="006A32D7">
              <w:rPr>
                <w:sz w:val="22"/>
                <w:szCs w:val="22"/>
              </w:rPr>
              <w:t xml:space="preserve"> Office for Women to work collaboratively with States and Territories to develop and enact </w:t>
            </w:r>
            <w:r w:rsidR="00EA6B46">
              <w:rPr>
                <w:sz w:val="22"/>
                <w:szCs w:val="22"/>
              </w:rPr>
              <w:t xml:space="preserve">consistent </w:t>
            </w:r>
            <w:r w:rsidRPr="006A32D7">
              <w:rPr>
                <w:sz w:val="22"/>
                <w:szCs w:val="22"/>
              </w:rPr>
              <w:t>gender equality legislation</w:t>
            </w:r>
          </w:p>
          <w:p w14:paraId="01EDCAE1" w14:textId="2EE22B62" w:rsidR="00AF4A46" w:rsidRDefault="006A32D7" w:rsidP="00DE4C1F">
            <w:pPr>
              <w:numPr>
                <w:ilvl w:val="1"/>
                <w:numId w:val="20"/>
              </w:numPr>
              <w:spacing w:before="120" w:after="120"/>
              <w:ind w:hanging="357"/>
              <w:rPr>
                <w:sz w:val="22"/>
                <w:szCs w:val="22"/>
              </w:rPr>
            </w:pPr>
            <w:r w:rsidRPr="006A32D7">
              <w:rPr>
                <w:sz w:val="22"/>
                <w:szCs w:val="22"/>
              </w:rPr>
              <w:t xml:space="preserve">State/Territory legislation should be modelled on the </w:t>
            </w:r>
            <w:bookmarkStart w:id="1" w:name="_Hlk130988300"/>
            <w:r w:rsidRPr="006A32D7">
              <w:rPr>
                <w:i/>
                <w:iCs/>
                <w:sz w:val="22"/>
                <w:szCs w:val="22"/>
              </w:rPr>
              <w:t>Gender Equality Act 2020</w:t>
            </w:r>
            <w:r w:rsidRPr="006A32D7">
              <w:rPr>
                <w:sz w:val="22"/>
                <w:szCs w:val="22"/>
              </w:rPr>
              <w:t>(Vic)</w:t>
            </w:r>
            <w:bookmarkEnd w:id="1"/>
            <w:r w:rsidRPr="006A32D7">
              <w:rPr>
                <w:sz w:val="22"/>
                <w:szCs w:val="22"/>
              </w:rPr>
              <w:t>. However, coverage of State/Territory legislation should extend to private sector organisations and their workers, and to any public sector or private sector organisation with more than 25 workers, which includes employees and volunteers</w:t>
            </w:r>
          </w:p>
          <w:p w14:paraId="5EC9244E" w14:textId="6803DD04" w:rsidR="00E35874" w:rsidRPr="008D4C56" w:rsidRDefault="00E35874" w:rsidP="00DE4C1F">
            <w:pPr>
              <w:numPr>
                <w:ilvl w:val="1"/>
                <w:numId w:val="20"/>
              </w:numPr>
              <w:spacing w:before="120" w:after="120"/>
              <w:ind w:hanging="357"/>
              <w:rPr>
                <w:sz w:val="22"/>
                <w:szCs w:val="22"/>
              </w:rPr>
            </w:pPr>
            <w:r>
              <w:rPr>
                <w:sz w:val="22"/>
                <w:szCs w:val="22"/>
              </w:rPr>
              <w:t xml:space="preserve">The </w:t>
            </w:r>
            <w:r w:rsidR="00147CEE">
              <w:rPr>
                <w:sz w:val="22"/>
                <w:szCs w:val="22"/>
              </w:rPr>
              <w:t>F</w:t>
            </w:r>
            <w:r>
              <w:rPr>
                <w:sz w:val="22"/>
                <w:szCs w:val="22"/>
              </w:rPr>
              <w:t>ederal Office for Women should work collaboratively with WGEA to</w:t>
            </w:r>
            <w:r w:rsidR="009037FA">
              <w:rPr>
                <w:sz w:val="22"/>
                <w:szCs w:val="22"/>
              </w:rPr>
              <w:t>, where possible, ensure alignment of obligations</w:t>
            </w:r>
            <w:r w:rsidR="003D412B">
              <w:rPr>
                <w:sz w:val="22"/>
                <w:szCs w:val="22"/>
              </w:rPr>
              <w:t>,</w:t>
            </w:r>
            <w:r w:rsidR="009037FA">
              <w:rPr>
                <w:sz w:val="22"/>
                <w:szCs w:val="22"/>
              </w:rPr>
              <w:t xml:space="preserve"> </w:t>
            </w:r>
            <w:r w:rsidR="003D412B">
              <w:rPr>
                <w:sz w:val="22"/>
                <w:szCs w:val="22"/>
              </w:rPr>
              <w:t xml:space="preserve">and </w:t>
            </w:r>
            <w:r w:rsidR="00FA41C0">
              <w:rPr>
                <w:sz w:val="22"/>
                <w:szCs w:val="22"/>
              </w:rPr>
              <w:t xml:space="preserve">ensure any conflict or overlap in State/Territory legislation with the WGE Act </w:t>
            </w:r>
            <w:r w:rsidR="00DD7EB6">
              <w:rPr>
                <w:sz w:val="22"/>
                <w:szCs w:val="22"/>
              </w:rPr>
              <w:t xml:space="preserve">does not create </w:t>
            </w:r>
            <w:r w:rsidR="005D5450">
              <w:rPr>
                <w:sz w:val="22"/>
                <w:szCs w:val="22"/>
              </w:rPr>
              <w:t>any</w:t>
            </w:r>
            <w:r w:rsidR="00DD7EB6">
              <w:rPr>
                <w:sz w:val="22"/>
                <w:szCs w:val="22"/>
              </w:rPr>
              <w:t xml:space="preserve"> additional burden on relevant entities</w:t>
            </w:r>
          </w:p>
          <w:p w14:paraId="484E163B" w14:textId="7742D624" w:rsidR="006A32D7" w:rsidRPr="006A32D7" w:rsidRDefault="006A32D7" w:rsidP="00DE4C1F">
            <w:pPr>
              <w:numPr>
                <w:ilvl w:val="1"/>
                <w:numId w:val="20"/>
              </w:numPr>
              <w:spacing w:before="120" w:after="120"/>
              <w:ind w:hanging="357"/>
              <w:rPr>
                <w:sz w:val="22"/>
                <w:szCs w:val="22"/>
              </w:rPr>
            </w:pPr>
            <w:r w:rsidRPr="006A32D7">
              <w:rPr>
                <w:sz w:val="22"/>
                <w:szCs w:val="22"/>
              </w:rPr>
              <w:t xml:space="preserve">The </w:t>
            </w:r>
            <w:r w:rsidR="00147CEE">
              <w:rPr>
                <w:sz w:val="22"/>
                <w:szCs w:val="22"/>
              </w:rPr>
              <w:t>F</w:t>
            </w:r>
            <w:r w:rsidRPr="006A32D7">
              <w:rPr>
                <w:sz w:val="22"/>
                <w:szCs w:val="22"/>
              </w:rPr>
              <w:t xml:space="preserve">ederal Office for Women should work collaboratively with the Victorian Office for Women and the Public Sector Gender Equality Commissioner to facilitate inter-State/Territory collaboration, particularly in the development of corresponding legislation but also in the development of tools, guidelines, and resources available to defined entities </w:t>
            </w:r>
          </w:p>
        </w:tc>
      </w:tr>
    </w:tbl>
    <w:p w14:paraId="7713C35B" w14:textId="5254F4EE" w:rsidR="00134178" w:rsidRDefault="00B9781C" w:rsidP="005354FB">
      <w:pPr>
        <w:pStyle w:val="ListParagraph"/>
        <w:keepNext/>
        <w:keepLines/>
        <w:numPr>
          <w:ilvl w:val="1"/>
          <w:numId w:val="4"/>
        </w:numPr>
        <w:spacing w:before="120" w:after="120"/>
        <w:contextualSpacing w:val="0"/>
        <w:outlineLvl w:val="1"/>
        <w:rPr>
          <w:rFonts w:eastAsiaTheme="majorEastAsia" w:cstheme="majorBidi"/>
          <w:color w:val="5C308D"/>
          <w:sz w:val="36"/>
          <w:szCs w:val="36"/>
        </w:rPr>
      </w:pPr>
      <w:r>
        <w:rPr>
          <w:rFonts w:eastAsiaTheme="majorEastAsia" w:cstheme="majorBidi"/>
          <w:color w:val="5C308D"/>
          <w:sz w:val="36"/>
          <w:szCs w:val="36"/>
        </w:rPr>
        <w:t xml:space="preserve">Facilitate </w:t>
      </w:r>
      <w:r w:rsidR="00BA235E">
        <w:rPr>
          <w:rFonts w:eastAsiaTheme="majorEastAsia" w:cstheme="majorBidi"/>
          <w:color w:val="5C308D"/>
          <w:sz w:val="36"/>
          <w:szCs w:val="36"/>
        </w:rPr>
        <w:t xml:space="preserve">effective </w:t>
      </w:r>
      <w:r w:rsidR="00134178" w:rsidRPr="4DCAD34D">
        <w:rPr>
          <w:rFonts w:eastAsiaTheme="majorEastAsia" w:cstheme="majorBidi"/>
          <w:color w:val="5C308D"/>
          <w:sz w:val="36"/>
          <w:szCs w:val="36"/>
        </w:rPr>
        <w:t xml:space="preserve">gender equality </w:t>
      </w:r>
      <w:r w:rsidR="003F1978">
        <w:rPr>
          <w:rFonts w:eastAsiaTheme="majorEastAsia" w:cstheme="majorBidi"/>
          <w:color w:val="5C308D"/>
          <w:sz w:val="36"/>
          <w:szCs w:val="36"/>
        </w:rPr>
        <w:t>data</w:t>
      </w:r>
      <w:r>
        <w:rPr>
          <w:rFonts w:eastAsiaTheme="majorEastAsia" w:cstheme="majorBidi"/>
          <w:color w:val="5C308D"/>
          <w:sz w:val="36"/>
          <w:szCs w:val="36"/>
        </w:rPr>
        <w:t xml:space="preserve"> collection</w:t>
      </w:r>
      <w:r w:rsidR="002B57D5">
        <w:rPr>
          <w:rFonts w:eastAsiaTheme="majorEastAsia" w:cstheme="majorBidi"/>
          <w:color w:val="5C308D"/>
          <w:sz w:val="36"/>
          <w:szCs w:val="36"/>
        </w:rPr>
        <w:t>, use</w:t>
      </w:r>
      <w:r>
        <w:rPr>
          <w:rFonts w:eastAsiaTheme="majorEastAsia" w:cstheme="majorBidi"/>
          <w:color w:val="5C308D"/>
          <w:sz w:val="36"/>
          <w:szCs w:val="36"/>
        </w:rPr>
        <w:t xml:space="preserve"> and s</w:t>
      </w:r>
      <w:r w:rsidR="008103D9">
        <w:rPr>
          <w:rFonts w:eastAsiaTheme="majorEastAsia" w:cstheme="majorBidi"/>
          <w:color w:val="5C308D"/>
          <w:sz w:val="36"/>
          <w:szCs w:val="36"/>
        </w:rPr>
        <w:t>haring</w:t>
      </w:r>
    </w:p>
    <w:p w14:paraId="0D785E78" w14:textId="2E0282A9" w:rsidR="005F285C" w:rsidRPr="00AC0BF2" w:rsidRDefault="008614A4" w:rsidP="005354FB">
      <w:pPr>
        <w:pStyle w:val="Heading3"/>
        <w:spacing w:before="120" w:after="120"/>
      </w:pPr>
      <w:r>
        <w:t xml:space="preserve">Facilitate </w:t>
      </w:r>
      <w:r w:rsidRPr="00B679C9">
        <w:t xml:space="preserve">sharing and </w:t>
      </w:r>
      <w:r w:rsidR="1B5AC6F7" w:rsidRPr="00BE17D9">
        <w:t>greater</w:t>
      </w:r>
      <w:r w:rsidR="1B5AC6F7">
        <w:t xml:space="preserve"> </w:t>
      </w:r>
      <w:r>
        <w:t>use of gender data</w:t>
      </w:r>
    </w:p>
    <w:p w14:paraId="5C9C5B7F" w14:textId="6EEDCD47" w:rsidR="00BA2F95" w:rsidRPr="00A05074" w:rsidRDefault="005170D0" w:rsidP="005354FB">
      <w:pPr>
        <w:spacing w:before="120" w:after="120" w:line="280" w:lineRule="atLeast"/>
        <w:rPr>
          <w:rFonts w:eastAsia="Calibri" w:cs="Arial"/>
        </w:rPr>
      </w:pPr>
      <w:r>
        <w:rPr>
          <w:rFonts w:eastAsia="Arial" w:cs="Arial"/>
        </w:rPr>
        <w:t>International r</w:t>
      </w:r>
      <w:r w:rsidR="005947DE" w:rsidRPr="005947DE">
        <w:rPr>
          <w:rFonts w:eastAsia="Arial" w:cs="Arial"/>
        </w:rPr>
        <w:t>esearch indicates that</w:t>
      </w:r>
      <w:r w:rsidR="002913DE">
        <w:rPr>
          <w:rFonts w:eastAsia="Arial" w:cs="Arial"/>
        </w:rPr>
        <w:t xml:space="preserve"> a key constraint in the achievement of gender equality </w:t>
      </w:r>
      <w:r w:rsidR="0025196E">
        <w:rPr>
          <w:rFonts w:eastAsia="Arial" w:cs="Arial"/>
        </w:rPr>
        <w:t>is a lack of reliable gender-disaggregated data.</w:t>
      </w:r>
      <w:r w:rsidR="005947DE" w:rsidRPr="005947DE">
        <w:rPr>
          <w:rFonts w:cs="Arial"/>
          <w:vertAlign w:val="superscript"/>
        </w:rPr>
        <w:footnoteReference w:id="16"/>
      </w:r>
      <w:r w:rsidR="005947DE" w:rsidRPr="005947DE">
        <w:rPr>
          <w:rFonts w:eastAsia="Arial" w:cs="Arial"/>
        </w:rPr>
        <w:t xml:space="preserve"> </w:t>
      </w:r>
      <w:r w:rsidR="008915D2">
        <w:rPr>
          <w:rFonts w:eastAsia="Arial" w:cs="Arial"/>
        </w:rPr>
        <w:t xml:space="preserve">Feedback from defined entities reporting under the GE Act suggests that </w:t>
      </w:r>
      <w:r w:rsidR="00AE5A82">
        <w:rPr>
          <w:rFonts w:eastAsia="Arial" w:cs="Arial"/>
        </w:rPr>
        <w:t xml:space="preserve">many entities do not have </w:t>
      </w:r>
      <w:r w:rsidR="008B0FC8">
        <w:rPr>
          <w:rFonts w:eastAsia="Arial" w:cs="Arial"/>
        </w:rPr>
        <w:t>established systems, processes</w:t>
      </w:r>
      <w:r w:rsidR="00AB6609">
        <w:rPr>
          <w:rFonts w:eastAsia="Arial" w:cs="Arial"/>
        </w:rPr>
        <w:t>,</w:t>
      </w:r>
      <w:r w:rsidR="008B0FC8">
        <w:rPr>
          <w:rFonts w:eastAsia="Arial" w:cs="Arial"/>
        </w:rPr>
        <w:t xml:space="preserve"> and capabilities to collect the data that is required to </w:t>
      </w:r>
      <w:r w:rsidR="008B0FC8">
        <w:rPr>
          <w:rFonts w:eastAsia="Arial" w:cs="Arial"/>
        </w:rPr>
        <w:lastRenderedPageBreak/>
        <w:t xml:space="preserve">assess the state and nature of gender equality in their organisations. </w:t>
      </w:r>
      <w:r w:rsidR="00BF578E">
        <w:rPr>
          <w:rFonts w:eastAsia="Arial" w:cs="Arial"/>
        </w:rPr>
        <w:t xml:space="preserve">It was also apparent from the 2021 workplace gender audit process that </w:t>
      </w:r>
      <w:r w:rsidR="00060AF8">
        <w:rPr>
          <w:rFonts w:eastAsia="Arial" w:cs="Arial"/>
        </w:rPr>
        <w:t>data standards and specifications are required to ensure data collected is</w:t>
      </w:r>
      <w:r w:rsidR="00AB6609">
        <w:rPr>
          <w:rFonts w:eastAsia="Arial" w:cs="Arial"/>
        </w:rPr>
        <w:t xml:space="preserve"> accurate, complete, </w:t>
      </w:r>
      <w:r w:rsidR="007061B5">
        <w:rPr>
          <w:rFonts w:eastAsia="Arial" w:cs="Arial"/>
        </w:rPr>
        <w:t xml:space="preserve">and </w:t>
      </w:r>
      <w:r w:rsidR="00AB6609">
        <w:rPr>
          <w:rFonts w:eastAsia="Arial" w:cs="Arial"/>
        </w:rPr>
        <w:t>comparable.</w:t>
      </w:r>
      <w:r w:rsidR="00680188">
        <w:rPr>
          <w:rFonts w:eastAsia="Arial" w:cs="Arial"/>
        </w:rPr>
        <w:t xml:space="preserve"> </w:t>
      </w:r>
    </w:p>
    <w:p w14:paraId="6A2760AF" w14:textId="49FCD80A" w:rsidR="00C205C3" w:rsidRDefault="00942103" w:rsidP="005354FB">
      <w:pPr>
        <w:spacing w:before="120" w:after="120" w:line="280" w:lineRule="atLeast"/>
      </w:pPr>
      <w:r>
        <w:rPr>
          <w:rFonts w:eastAsia="Arial" w:cs="Arial"/>
        </w:rPr>
        <w:t>I</w:t>
      </w:r>
      <w:r w:rsidR="003F1944">
        <w:rPr>
          <w:rFonts w:eastAsia="Arial" w:cs="Arial"/>
        </w:rPr>
        <w:t xml:space="preserve"> </w:t>
      </w:r>
      <w:r w:rsidR="00AB6609">
        <w:rPr>
          <w:rFonts w:eastAsia="Arial" w:cs="Arial"/>
        </w:rPr>
        <w:t>recommend that the</w:t>
      </w:r>
      <w:r w:rsidR="0086721C">
        <w:rPr>
          <w:rFonts w:eastAsia="Arial" w:cs="Arial"/>
        </w:rPr>
        <w:t xml:space="preserve"> National</w:t>
      </w:r>
      <w:r w:rsidR="00D01FDA">
        <w:rPr>
          <w:rFonts w:eastAsia="Arial" w:cs="Arial"/>
        </w:rPr>
        <w:t xml:space="preserve"> Strategy </w:t>
      </w:r>
      <w:r w:rsidR="00DC59CD">
        <w:rPr>
          <w:rFonts w:eastAsia="Arial" w:cs="Arial"/>
        </w:rPr>
        <w:t>express a clear responsibility for the</w:t>
      </w:r>
      <w:r w:rsidR="00AB6609">
        <w:rPr>
          <w:rFonts w:eastAsia="Arial" w:cs="Arial"/>
        </w:rPr>
        <w:t xml:space="preserve"> </w:t>
      </w:r>
      <w:r w:rsidR="008614A4" w:rsidRPr="005947DE">
        <w:t>Federal Gender Data Steering Group</w:t>
      </w:r>
      <w:r w:rsidR="00DC59CD">
        <w:t xml:space="preserve">, or </w:t>
      </w:r>
      <w:r w:rsidR="00F2580E">
        <w:t>an alternative federal body</w:t>
      </w:r>
      <w:r w:rsidR="00DC59CD">
        <w:t xml:space="preserve"> </w:t>
      </w:r>
      <w:r w:rsidR="00F2580E">
        <w:t xml:space="preserve">as </w:t>
      </w:r>
      <w:r w:rsidR="00DC59CD">
        <w:t>deemed appropriate</w:t>
      </w:r>
      <w:r w:rsidR="007061B5">
        <w:t>,</w:t>
      </w:r>
      <w:r w:rsidR="00397B89">
        <w:t xml:space="preserve"> to </w:t>
      </w:r>
      <w:r w:rsidR="00B77743">
        <w:t>undertake activities to</w:t>
      </w:r>
      <w:r w:rsidR="00BA2F95">
        <w:t xml:space="preserve"> </w:t>
      </w:r>
      <w:r w:rsidR="00B77743" w:rsidRPr="00BA2F95">
        <w:rPr>
          <w:rFonts w:eastAsia="Times New Roman" w:cs="Calibri"/>
          <w:lang w:eastAsia="en-AU"/>
        </w:rPr>
        <w:t>ensure data standardisation, comparison, and benchmarking (national</w:t>
      </w:r>
      <w:r w:rsidR="00F05BDA" w:rsidRPr="00BA2F95">
        <w:rPr>
          <w:rFonts w:eastAsia="Times New Roman" w:cs="Calibri"/>
          <w:lang w:eastAsia="en-AU"/>
        </w:rPr>
        <w:t>ly</w:t>
      </w:r>
      <w:r w:rsidR="00B77743" w:rsidRPr="00BA2F95">
        <w:rPr>
          <w:rFonts w:eastAsia="Times New Roman" w:cs="Calibri"/>
          <w:lang w:eastAsia="en-AU"/>
        </w:rPr>
        <w:t xml:space="preserve"> and internationally), including by determining data level and format specifications (with a preference for the submission of unit-level gender-disaggregated workforce data)</w:t>
      </w:r>
      <w:r w:rsidR="00BA2F95">
        <w:rPr>
          <w:rFonts w:eastAsia="Times New Roman" w:cs="Calibri"/>
          <w:lang w:eastAsia="en-AU"/>
        </w:rPr>
        <w:t>. This body should also</w:t>
      </w:r>
      <w:r w:rsidR="00BA2F95">
        <w:t xml:space="preserve"> </w:t>
      </w:r>
      <w:r w:rsidR="009F1408" w:rsidRPr="00BA2F95">
        <w:rPr>
          <w:rFonts w:eastAsia="Arial" w:cs="Arial"/>
        </w:rPr>
        <w:t xml:space="preserve">promote data </w:t>
      </w:r>
      <w:r w:rsidR="009841BB" w:rsidRPr="00BA2F95">
        <w:rPr>
          <w:rFonts w:eastAsia="Arial" w:cs="Arial"/>
        </w:rPr>
        <w:t>dissemination coordination</w:t>
      </w:r>
      <w:r w:rsidR="00970154">
        <w:rPr>
          <w:rFonts w:eastAsia="Arial" w:cs="Arial"/>
        </w:rPr>
        <w:t xml:space="preserve"> between relevant organisations</w:t>
      </w:r>
      <w:r w:rsidR="009841BB" w:rsidRPr="00BA2F95">
        <w:rPr>
          <w:rFonts w:eastAsia="Arial" w:cs="Arial"/>
        </w:rPr>
        <w:t>,</w:t>
      </w:r>
      <w:r w:rsidR="00085512" w:rsidRPr="00BA2F95">
        <w:rPr>
          <w:rFonts w:eastAsia="Arial" w:cs="Arial"/>
        </w:rPr>
        <w:t xml:space="preserve"> and transparency</w:t>
      </w:r>
      <w:r w:rsidR="009F1408" w:rsidRPr="00BA2F95">
        <w:rPr>
          <w:rFonts w:eastAsia="Arial" w:cs="Arial"/>
        </w:rPr>
        <w:t xml:space="preserve"> </w:t>
      </w:r>
      <w:r w:rsidR="00F25732" w:rsidRPr="00BA2F95">
        <w:rPr>
          <w:rFonts w:eastAsia="Arial" w:cs="Arial"/>
        </w:rPr>
        <w:t>across federal and State</w:t>
      </w:r>
      <w:r w:rsidR="003E75C2" w:rsidRPr="00BA2F95">
        <w:rPr>
          <w:rFonts w:eastAsia="Arial" w:cs="Arial"/>
        </w:rPr>
        <w:t>/</w:t>
      </w:r>
      <w:r w:rsidR="00F25732" w:rsidRPr="00BA2F95">
        <w:rPr>
          <w:rFonts w:eastAsia="Arial" w:cs="Arial"/>
        </w:rPr>
        <w:t>Territory agencies</w:t>
      </w:r>
      <w:r w:rsidR="00F25732">
        <w:rPr>
          <w:rStyle w:val="FootnoteReference"/>
          <w:rFonts w:eastAsia="Arial" w:cs="Arial"/>
        </w:rPr>
        <w:footnoteReference w:id="17"/>
      </w:r>
      <w:r w:rsidR="00F25732" w:rsidRPr="00BA2F95">
        <w:rPr>
          <w:rFonts w:eastAsia="Arial" w:cs="Arial"/>
        </w:rPr>
        <w:t xml:space="preserve"> </w:t>
      </w:r>
      <w:r w:rsidR="009604A7" w:rsidRPr="00BA2F95">
        <w:rPr>
          <w:rFonts w:eastAsia="Arial" w:cs="Arial"/>
        </w:rPr>
        <w:t>and</w:t>
      </w:r>
      <w:bookmarkStart w:id="2" w:name="_Hlk131001397"/>
      <w:r w:rsidR="009841BB" w:rsidRPr="00BA2F95">
        <w:rPr>
          <w:rFonts w:eastAsia="Arial" w:cs="Arial"/>
        </w:rPr>
        <w:t xml:space="preserve"> </w:t>
      </w:r>
      <w:r w:rsidR="009B3851" w:rsidRPr="00BA2F95">
        <w:rPr>
          <w:rFonts w:eastAsia="Arial" w:cs="Arial"/>
        </w:rPr>
        <w:t xml:space="preserve">data collection </w:t>
      </w:r>
      <w:r w:rsidR="009B3851" w:rsidRPr="00147CEE">
        <w:rPr>
          <w:rFonts w:eastAsia="Arial" w:cs="Arial"/>
        </w:rPr>
        <w:t>bodies</w:t>
      </w:r>
      <w:bookmarkEnd w:id="2"/>
      <w:r w:rsidR="009604A7" w:rsidRPr="00147CEE">
        <w:t>.</w:t>
      </w:r>
    </w:p>
    <w:p w14:paraId="0A951751" w14:textId="5A1E0E4D" w:rsidR="006A32D7" w:rsidRDefault="00703152" w:rsidP="005354FB">
      <w:pPr>
        <w:spacing w:before="120" w:after="120" w:line="280" w:lineRule="atLeast"/>
      </w:pPr>
      <w:r w:rsidRPr="00085512">
        <w:rPr>
          <w:rFonts w:eastAsia="Times New Roman" w:cs="Calibri"/>
          <w:lang w:eastAsia="en-AU"/>
        </w:rPr>
        <w:t>Th</w:t>
      </w:r>
      <w:r w:rsidR="00F019CA" w:rsidRPr="00085512">
        <w:rPr>
          <w:rFonts w:eastAsia="Times New Roman" w:cs="Calibri"/>
          <w:lang w:eastAsia="en-AU"/>
        </w:rPr>
        <w:t>ese activities</w:t>
      </w:r>
      <w:r w:rsidRPr="00085512">
        <w:rPr>
          <w:rFonts w:eastAsia="Times New Roman" w:cs="Calibri"/>
          <w:lang w:eastAsia="en-AU"/>
        </w:rPr>
        <w:t xml:space="preserve"> will</w:t>
      </w:r>
      <w:r w:rsidR="00754006" w:rsidRPr="00085512">
        <w:rPr>
          <w:rFonts w:eastAsia="Times New Roman" w:cs="Calibri"/>
          <w:lang w:eastAsia="en-AU"/>
        </w:rPr>
        <w:t xml:space="preserve"> not only</w:t>
      </w:r>
      <w:r w:rsidRPr="00085512">
        <w:rPr>
          <w:rFonts w:eastAsia="Times New Roman" w:cs="Calibri"/>
          <w:lang w:eastAsia="en-AU"/>
        </w:rPr>
        <w:t xml:space="preserve"> enable monitoring and compliance agencies to</w:t>
      </w:r>
      <w:r w:rsidR="00754006" w:rsidRPr="00085512">
        <w:rPr>
          <w:rFonts w:eastAsia="Times New Roman" w:cs="Calibri"/>
          <w:lang w:eastAsia="en-AU"/>
        </w:rPr>
        <w:t xml:space="preserve"> effectively track and compare gender data but further</w:t>
      </w:r>
      <w:r w:rsidR="007061B5">
        <w:rPr>
          <w:rFonts w:eastAsia="Times New Roman" w:cs="Calibri"/>
          <w:lang w:eastAsia="en-AU"/>
        </w:rPr>
        <w:t>,</w:t>
      </w:r>
      <w:r w:rsidR="00754006" w:rsidRPr="00085512">
        <w:rPr>
          <w:rFonts w:eastAsia="Times New Roman" w:cs="Calibri"/>
          <w:lang w:eastAsia="en-AU"/>
        </w:rPr>
        <w:t xml:space="preserve"> to</w:t>
      </w:r>
      <w:r w:rsidRPr="00085512">
        <w:rPr>
          <w:rFonts w:eastAsia="Times New Roman" w:cs="Calibri"/>
          <w:lang w:eastAsia="en-AU"/>
        </w:rPr>
        <w:t xml:space="preserve"> develop</w:t>
      </w:r>
      <w:r w:rsidR="006A571A" w:rsidRPr="00085512">
        <w:rPr>
          <w:rFonts w:eastAsia="Times New Roman" w:cs="Calibri"/>
          <w:lang w:eastAsia="en-AU"/>
        </w:rPr>
        <w:t xml:space="preserve"> and</w:t>
      </w:r>
      <w:r w:rsidRPr="00085512">
        <w:rPr>
          <w:rFonts w:eastAsia="Times New Roman" w:cs="Calibri"/>
          <w:lang w:eastAsia="en-AU"/>
        </w:rPr>
        <w:t xml:space="preserve"> tailor</w:t>
      </w:r>
      <w:r w:rsidR="006A571A" w:rsidRPr="00085512">
        <w:rPr>
          <w:rFonts w:eastAsia="Times New Roman" w:cs="Calibri"/>
          <w:lang w:eastAsia="en-AU"/>
        </w:rPr>
        <w:t xml:space="preserve"> reasonable and sector-specific</w:t>
      </w:r>
      <w:r w:rsidRPr="00085512">
        <w:rPr>
          <w:rFonts w:eastAsia="Times New Roman" w:cs="Calibri"/>
          <w:lang w:eastAsia="en-AU"/>
        </w:rPr>
        <w:t xml:space="preserve"> gender equality targets</w:t>
      </w:r>
      <w:r w:rsidR="00C14B9C" w:rsidRPr="00085512">
        <w:rPr>
          <w:rFonts w:eastAsia="Times New Roman" w:cs="Calibri"/>
          <w:lang w:eastAsia="en-AU"/>
        </w:rPr>
        <w:t xml:space="preserve">. See </w:t>
      </w:r>
      <w:r w:rsidR="00B17B0B" w:rsidRPr="00085512">
        <w:rPr>
          <w:rFonts w:eastAsia="Times New Roman" w:cs="Calibri"/>
          <w:lang w:eastAsia="en-AU"/>
        </w:rPr>
        <w:t>b</w:t>
      </w:r>
      <w:r w:rsidR="00C14B9C" w:rsidRPr="00085512">
        <w:rPr>
          <w:rFonts w:eastAsia="Times New Roman" w:cs="Calibri"/>
          <w:lang w:eastAsia="en-AU"/>
        </w:rPr>
        <w:t>elow</w:t>
      </w:r>
      <w:r w:rsidR="00B17B0B" w:rsidRPr="00085512">
        <w:rPr>
          <w:rFonts w:eastAsia="Times New Roman" w:cs="Calibri"/>
          <w:lang w:eastAsia="en-AU"/>
        </w:rPr>
        <w:t>, at</w:t>
      </w:r>
      <w:r w:rsidR="00C14B9C" w:rsidRPr="00085512">
        <w:rPr>
          <w:rFonts w:eastAsia="Times New Roman" w:cs="Calibri"/>
          <w:lang w:eastAsia="en-AU"/>
        </w:rPr>
        <w:t xml:space="preserve"> </w:t>
      </w:r>
      <w:r w:rsidR="00B17B0B" w:rsidRPr="00085512">
        <w:rPr>
          <w:rFonts w:eastAsia="Times New Roman" w:cs="Calibri"/>
          <w:lang w:eastAsia="en-AU"/>
        </w:rPr>
        <w:t>R</w:t>
      </w:r>
      <w:r w:rsidR="00C14B9C" w:rsidRPr="00085512">
        <w:rPr>
          <w:rFonts w:eastAsia="Times New Roman" w:cs="Calibri"/>
          <w:lang w:eastAsia="en-AU"/>
        </w:rPr>
        <w:t xml:space="preserve">ecommendation </w:t>
      </w:r>
      <w:r w:rsidR="00B17B0B" w:rsidRPr="00085512">
        <w:rPr>
          <w:rFonts w:eastAsia="Times New Roman" w:cs="Calibri"/>
          <w:lang w:eastAsia="en-AU"/>
        </w:rPr>
        <w:t>15, for a further discussion of targets.</w:t>
      </w:r>
      <w:r w:rsidR="001D0815" w:rsidRPr="00085512">
        <w:rPr>
          <w:rFonts w:cs="Arial"/>
        </w:rPr>
        <w:t xml:space="preserve"> </w:t>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6A32D7" w14:paraId="6A78A031" w14:textId="77777777" w:rsidTr="00290608">
        <w:tc>
          <w:tcPr>
            <w:tcW w:w="9016" w:type="dxa"/>
            <w:tcBorders>
              <w:top w:val="nil"/>
              <w:left w:val="nil"/>
              <w:bottom w:val="nil"/>
              <w:right w:val="nil"/>
            </w:tcBorders>
            <w:shd w:val="clear" w:color="auto" w:fill="E7E6E6" w:themeFill="background2"/>
          </w:tcPr>
          <w:p w14:paraId="72FA104E" w14:textId="77777777" w:rsidR="006A32D7" w:rsidRDefault="006A32D7" w:rsidP="005354FB">
            <w:pPr>
              <w:pStyle w:val="Heading3"/>
              <w:spacing w:before="120" w:after="120"/>
            </w:pPr>
            <w:r>
              <w:t>Recommendation 4</w:t>
            </w:r>
          </w:p>
          <w:p w14:paraId="7E5070BA" w14:textId="51A2D816" w:rsidR="006A32D7" w:rsidRPr="006A32D7" w:rsidRDefault="006A32D7" w:rsidP="005354FB">
            <w:pPr>
              <w:spacing w:before="120" w:after="120"/>
              <w:rPr>
                <w:sz w:val="22"/>
                <w:szCs w:val="22"/>
              </w:rPr>
            </w:pPr>
            <w:r w:rsidRPr="006A32D7">
              <w:rPr>
                <w:sz w:val="22"/>
                <w:szCs w:val="22"/>
              </w:rPr>
              <w:t xml:space="preserve">That the </w:t>
            </w:r>
            <w:r w:rsidR="0086721C">
              <w:rPr>
                <w:sz w:val="22"/>
                <w:szCs w:val="22"/>
              </w:rPr>
              <w:t>National</w:t>
            </w:r>
            <w:r w:rsidRPr="006A32D7">
              <w:rPr>
                <w:sz w:val="22"/>
                <w:szCs w:val="22"/>
              </w:rPr>
              <w:t xml:space="preserve"> Strategy:</w:t>
            </w:r>
          </w:p>
          <w:p w14:paraId="6F017B17" w14:textId="4E17771D" w:rsidR="006A32D7" w:rsidRPr="006A32D7" w:rsidRDefault="006A32D7" w:rsidP="00DE4C1F">
            <w:pPr>
              <w:pStyle w:val="ListParagraph"/>
              <w:numPr>
                <w:ilvl w:val="0"/>
                <w:numId w:val="6"/>
              </w:numPr>
              <w:spacing w:before="120" w:after="120"/>
              <w:ind w:hanging="357"/>
              <w:contextualSpacing w:val="0"/>
              <w:rPr>
                <w:sz w:val="22"/>
                <w:szCs w:val="22"/>
              </w:rPr>
            </w:pPr>
            <w:r w:rsidRPr="006A32D7">
              <w:rPr>
                <w:rFonts w:eastAsia="Arial" w:cs="Arial"/>
                <w:sz w:val="22"/>
                <w:szCs w:val="22"/>
              </w:rPr>
              <w:t xml:space="preserve">Express a clear responsibility for the </w:t>
            </w:r>
            <w:r w:rsidRPr="006A32D7">
              <w:rPr>
                <w:sz w:val="22"/>
                <w:szCs w:val="22"/>
              </w:rPr>
              <w:t>Federal Gender Data Steering Group, or an alternative federal body as deemed appropriate, to facilitate greater collection, sharing and use of gender data</w:t>
            </w:r>
          </w:p>
          <w:p w14:paraId="26DC145F" w14:textId="77777777" w:rsidR="006A32D7" w:rsidRPr="006A32D7" w:rsidRDefault="006A32D7" w:rsidP="00DE4C1F">
            <w:pPr>
              <w:pStyle w:val="ListParagraph"/>
              <w:numPr>
                <w:ilvl w:val="1"/>
                <w:numId w:val="6"/>
              </w:numPr>
              <w:spacing w:before="120" w:after="120"/>
              <w:ind w:hanging="357"/>
              <w:contextualSpacing w:val="0"/>
              <w:rPr>
                <w:sz w:val="22"/>
                <w:szCs w:val="22"/>
              </w:rPr>
            </w:pPr>
            <w:r w:rsidRPr="006A32D7">
              <w:rPr>
                <w:rFonts w:cs="Calibri"/>
                <w:sz w:val="22"/>
                <w:szCs w:val="22"/>
              </w:rPr>
              <w:t>This body should be responsible for the development and implementation of agreed data</w:t>
            </w:r>
            <w:r w:rsidRPr="006A32D7">
              <w:rPr>
                <w:rFonts w:ascii="Cambria" w:hAnsi="Cambria" w:cs="Cambria"/>
                <w:sz w:val="22"/>
                <w:szCs w:val="22"/>
              </w:rPr>
              <w:t> </w:t>
            </w:r>
            <w:r w:rsidRPr="006A32D7">
              <w:rPr>
                <w:rFonts w:cs="Calibri"/>
                <w:sz w:val="22"/>
                <w:szCs w:val="22"/>
              </w:rPr>
              <w:t>standards that ensure gender data is nationally and internationally comparable, as well as</w:t>
            </w:r>
            <w:r w:rsidRPr="006A32D7">
              <w:rPr>
                <w:rFonts w:ascii="Cambria" w:hAnsi="Cambria" w:cs="Cambria"/>
                <w:sz w:val="22"/>
                <w:szCs w:val="22"/>
              </w:rPr>
              <w:t> </w:t>
            </w:r>
            <w:r w:rsidRPr="006A32D7">
              <w:rPr>
                <w:rFonts w:cs="Calibri"/>
                <w:sz w:val="22"/>
                <w:szCs w:val="22"/>
              </w:rPr>
              <w:t>establish an appropriate governance model for their use and ongoing development and maintenance</w:t>
            </w:r>
          </w:p>
          <w:p w14:paraId="64065375" w14:textId="08D1BED3" w:rsidR="006A32D7" w:rsidRPr="006A32D7" w:rsidRDefault="006A32D7" w:rsidP="00DE4C1F">
            <w:pPr>
              <w:pStyle w:val="ListParagraph"/>
              <w:numPr>
                <w:ilvl w:val="1"/>
                <w:numId w:val="6"/>
              </w:numPr>
              <w:spacing w:before="120" w:after="120"/>
              <w:ind w:hanging="357"/>
              <w:contextualSpacing w:val="0"/>
              <w:rPr>
                <w:sz w:val="22"/>
                <w:szCs w:val="22"/>
              </w:rPr>
            </w:pPr>
            <w:r w:rsidRPr="006A32D7">
              <w:rPr>
                <w:rFonts w:eastAsia="Arial" w:cs="Arial"/>
                <w:sz w:val="22"/>
                <w:szCs w:val="22"/>
              </w:rPr>
              <w:t xml:space="preserve">Promotion of data dissemination and facilitation of access to gender equality performance information across federal and State/Territory agencies and organisations should be a key priority under the </w:t>
            </w:r>
            <w:r w:rsidR="007B60EC">
              <w:rPr>
                <w:rFonts w:eastAsia="Arial" w:cs="Arial"/>
                <w:sz w:val="22"/>
                <w:szCs w:val="22"/>
              </w:rPr>
              <w:t xml:space="preserve">National </w:t>
            </w:r>
            <w:r w:rsidRPr="006A32D7">
              <w:rPr>
                <w:rFonts w:eastAsia="Arial" w:cs="Arial"/>
                <w:sz w:val="22"/>
                <w:szCs w:val="22"/>
              </w:rPr>
              <w:t>Strategy</w:t>
            </w:r>
          </w:p>
          <w:p w14:paraId="61BC8C43" w14:textId="77777777" w:rsidR="006A32D7" w:rsidRPr="006A32D7" w:rsidRDefault="006A32D7" w:rsidP="00DE4C1F">
            <w:pPr>
              <w:pStyle w:val="ListParagraph"/>
              <w:numPr>
                <w:ilvl w:val="1"/>
                <w:numId w:val="6"/>
              </w:numPr>
              <w:spacing w:before="120" w:after="120"/>
              <w:ind w:hanging="357"/>
              <w:contextualSpacing w:val="0"/>
              <w:rPr>
                <w:sz w:val="22"/>
                <w:szCs w:val="22"/>
              </w:rPr>
            </w:pPr>
            <w:r w:rsidRPr="006A32D7">
              <w:rPr>
                <w:rFonts w:eastAsia="Arial" w:cs="Arial"/>
                <w:sz w:val="22"/>
                <w:szCs w:val="22"/>
              </w:rPr>
              <w:t xml:space="preserve">This body should increase coordination among data collection and procuring bodies and collaborate with relevant State/Territory stakeholders to develop and facilitate gender </w:t>
            </w:r>
            <w:r w:rsidRPr="006A32D7">
              <w:rPr>
                <w:sz w:val="22"/>
                <w:szCs w:val="22"/>
              </w:rPr>
              <w:t>data sharing mechanisms and agreements</w:t>
            </w:r>
          </w:p>
          <w:p w14:paraId="7443DCC0" w14:textId="58A52356" w:rsidR="006A32D7" w:rsidRDefault="006A32D7" w:rsidP="00DE4C1F">
            <w:pPr>
              <w:pStyle w:val="ListParagraph"/>
              <w:numPr>
                <w:ilvl w:val="1"/>
                <w:numId w:val="6"/>
              </w:numPr>
              <w:spacing w:before="120" w:after="120"/>
              <w:contextualSpacing w:val="0"/>
            </w:pPr>
            <w:r w:rsidRPr="006A32D7">
              <w:rPr>
                <w:sz w:val="22"/>
                <w:szCs w:val="22"/>
              </w:rPr>
              <w:t xml:space="preserve">The Australian Government should ensure that </w:t>
            </w:r>
            <w:r w:rsidRPr="006A32D7">
              <w:rPr>
                <w:rFonts w:cs="Calibri"/>
                <w:sz w:val="22"/>
                <w:szCs w:val="22"/>
              </w:rPr>
              <w:t xml:space="preserve">in the compilation of official reports, interviews and surveys, a distinction is drawn between genders </w:t>
            </w:r>
            <w:r w:rsidR="00C34CAC">
              <w:rPr>
                <w:rFonts w:cs="Calibri"/>
                <w:sz w:val="22"/>
                <w:szCs w:val="22"/>
              </w:rPr>
              <w:t>(including non-binary and gender diverse individuals)</w:t>
            </w:r>
            <w:r w:rsidRPr="006A32D7">
              <w:rPr>
                <w:rFonts w:cs="Calibri"/>
                <w:sz w:val="22"/>
                <w:szCs w:val="22"/>
              </w:rPr>
              <w:t xml:space="preserve"> in the collection, analysis</w:t>
            </w:r>
            <w:r w:rsidR="00E275AE">
              <w:rPr>
                <w:rFonts w:cs="Calibri"/>
                <w:sz w:val="22"/>
                <w:szCs w:val="22"/>
              </w:rPr>
              <w:t>,</w:t>
            </w:r>
            <w:r w:rsidRPr="006A32D7">
              <w:rPr>
                <w:rFonts w:cs="Calibri"/>
                <w:sz w:val="22"/>
                <w:szCs w:val="22"/>
              </w:rPr>
              <w:t xml:space="preserve"> and publication of data, subject to privacy and data restrictions</w:t>
            </w:r>
          </w:p>
        </w:tc>
      </w:tr>
    </w:tbl>
    <w:p w14:paraId="7C899821" w14:textId="68174F06" w:rsidR="00B34206" w:rsidRPr="00754006" w:rsidRDefault="00934F7D" w:rsidP="005354FB">
      <w:pPr>
        <w:pStyle w:val="Heading3"/>
        <w:spacing w:before="120" w:after="120"/>
      </w:pPr>
      <w:r w:rsidRPr="00754006">
        <w:lastRenderedPageBreak/>
        <w:t xml:space="preserve">Strengthen focus on intersectional gender equality </w:t>
      </w:r>
      <w:r w:rsidR="003A7630" w:rsidRPr="00754006">
        <w:t>data</w:t>
      </w:r>
    </w:p>
    <w:p w14:paraId="7FCE23B9" w14:textId="6B7ADD1F" w:rsidR="00713442" w:rsidRDefault="003D5DDA" w:rsidP="005354FB">
      <w:pPr>
        <w:spacing w:before="120" w:after="120"/>
      </w:pPr>
      <w:r>
        <w:t>T</w:t>
      </w:r>
      <w:r w:rsidR="00DF334C">
        <w:t xml:space="preserve">he work we do to address gender inequality must be </w:t>
      </w:r>
      <w:r>
        <w:t xml:space="preserve">informed </w:t>
      </w:r>
      <w:r w:rsidR="00F05BDA">
        <w:t xml:space="preserve">by </w:t>
      </w:r>
      <w:r w:rsidR="00BD1FF2">
        <w:t>the concept of intersectionality</w:t>
      </w:r>
      <w:r w:rsidR="00655D95">
        <w:t>. This will</w:t>
      </w:r>
      <w:r w:rsidR="00623161">
        <w:t xml:space="preserve"> ensure that we </w:t>
      </w:r>
      <w:r w:rsidR="001911CD">
        <w:t xml:space="preserve">focus </w:t>
      </w:r>
      <w:r w:rsidR="00623161">
        <w:t xml:space="preserve">not only on </w:t>
      </w:r>
      <w:r w:rsidR="001911CD">
        <w:t xml:space="preserve">the experience of women, </w:t>
      </w:r>
      <w:r w:rsidR="00623161">
        <w:t>but on</w:t>
      </w:r>
      <w:r w:rsidR="00FA73FB">
        <w:t xml:space="preserve"> the</w:t>
      </w:r>
      <w:r w:rsidR="00623161">
        <w:t xml:space="preserve"> unique</w:t>
      </w:r>
      <w:r w:rsidR="00FA73FB">
        <w:t xml:space="preserve"> experience</w:t>
      </w:r>
      <w:r w:rsidR="00623161">
        <w:t>s</w:t>
      </w:r>
      <w:r w:rsidR="00FA73FB">
        <w:t xml:space="preserve"> of gender discrimination faced by women du</w:t>
      </w:r>
      <w:r w:rsidR="00A27A20">
        <w:t xml:space="preserve">e to the other discrimination they face, such as racism, homophobia, </w:t>
      </w:r>
      <w:r w:rsidR="00C34CAC">
        <w:t>transphobia,</w:t>
      </w:r>
      <w:r w:rsidR="00A27A20">
        <w:t xml:space="preserve"> ageism</w:t>
      </w:r>
      <w:r w:rsidR="00A77BFF">
        <w:t>,</w:t>
      </w:r>
      <w:r w:rsidR="00A27A20">
        <w:t xml:space="preserve"> or ableism.</w:t>
      </w:r>
      <w:r w:rsidR="00BF0E7D">
        <w:t xml:space="preserve"> </w:t>
      </w:r>
      <w:r w:rsidR="00713442">
        <w:t>For example, existing Australian data demonstrates that:</w:t>
      </w:r>
    </w:p>
    <w:p w14:paraId="223D7090" w14:textId="6381D570" w:rsidR="00713442" w:rsidRDefault="00713442" w:rsidP="005354FB">
      <w:pPr>
        <w:pStyle w:val="ListParagraph"/>
        <w:numPr>
          <w:ilvl w:val="0"/>
          <w:numId w:val="8"/>
        </w:numPr>
        <w:spacing w:before="120" w:after="120"/>
        <w:contextualSpacing w:val="0"/>
      </w:pPr>
      <w:r>
        <w:t>culturally diverse women experience additional barriers to workplace gender equality</w:t>
      </w:r>
      <w:r w:rsidR="000E08F4">
        <w:t>,</w:t>
      </w:r>
      <w:r>
        <w:t xml:space="preserve"> including tokenism, devaluation of skills, and language barrie</w:t>
      </w:r>
      <w:r w:rsidR="00E86C8B">
        <w:t>r</w:t>
      </w:r>
      <w:r>
        <w:t>s;</w:t>
      </w:r>
      <w:r>
        <w:rPr>
          <w:rStyle w:val="FootnoteReference"/>
        </w:rPr>
        <w:footnoteReference w:id="18"/>
      </w:r>
    </w:p>
    <w:p w14:paraId="2A13FDA2" w14:textId="5E372CA2" w:rsidR="00713442" w:rsidRDefault="00713442" w:rsidP="005354FB">
      <w:pPr>
        <w:pStyle w:val="ListParagraph"/>
        <w:numPr>
          <w:ilvl w:val="0"/>
          <w:numId w:val="8"/>
        </w:numPr>
        <w:spacing w:before="120" w:after="120"/>
        <w:contextualSpacing w:val="0"/>
      </w:pPr>
      <w:r>
        <w:t xml:space="preserve">women with disabilities experience greater levels of </w:t>
      </w:r>
      <w:r w:rsidR="00361B91">
        <w:t xml:space="preserve">workplace </w:t>
      </w:r>
      <w:r>
        <w:t>violence and discrimination</w:t>
      </w:r>
      <w:r w:rsidR="00661724">
        <w:t xml:space="preserve"> </w:t>
      </w:r>
      <w:r>
        <w:t>and face economic barriers to being ‘work ready’;</w:t>
      </w:r>
      <w:r>
        <w:rPr>
          <w:rStyle w:val="FootnoteReference"/>
        </w:rPr>
        <w:footnoteReference w:id="19"/>
      </w:r>
      <w:r>
        <w:t xml:space="preserve"> and</w:t>
      </w:r>
    </w:p>
    <w:p w14:paraId="5BF607F7" w14:textId="06E6082D" w:rsidR="00713442" w:rsidRDefault="00713442" w:rsidP="005354FB">
      <w:pPr>
        <w:pStyle w:val="ListParagraph"/>
        <w:numPr>
          <w:ilvl w:val="0"/>
          <w:numId w:val="8"/>
        </w:numPr>
        <w:spacing w:before="120" w:after="120"/>
        <w:contextualSpacing w:val="0"/>
      </w:pPr>
      <w:r>
        <w:t xml:space="preserve">almost half of all LGBTQI+ employees hide their sexual orientation, gender identity or intersex status at work and one third of those people expend a significant amount of energy </w:t>
      </w:r>
      <w:r w:rsidR="00E86C8B">
        <w:t>doing so</w:t>
      </w:r>
      <w:r>
        <w:t>.</w:t>
      </w:r>
      <w:r>
        <w:rPr>
          <w:rStyle w:val="FootnoteReference"/>
        </w:rPr>
        <w:footnoteReference w:id="20"/>
      </w:r>
      <w:r>
        <w:t xml:space="preserve"> </w:t>
      </w:r>
    </w:p>
    <w:p w14:paraId="36C9AE3A" w14:textId="511B8BF1" w:rsidR="006A32D7" w:rsidRDefault="00E04EB0" w:rsidP="005354FB">
      <w:pPr>
        <w:spacing w:before="120" w:after="120"/>
      </w:pPr>
      <w:r>
        <w:t>The GE Act</w:t>
      </w:r>
      <w:r w:rsidR="00122FBA">
        <w:t xml:space="preserve"> requires entities to take intersectionality into account in various ways when complying with their obligations</w:t>
      </w:r>
      <w:r w:rsidR="00030944">
        <w:t>.</w:t>
      </w:r>
      <w:r w:rsidR="00CF36E5">
        <w:rPr>
          <w:rStyle w:val="FootnoteReference"/>
        </w:rPr>
        <w:footnoteReference w:id="21"/>
      </w:r>
      <w:r w:rsidR="00EC0754">
        <w:t xml:space="preserve"> </w:t>
      </w:r>
      <w:r w:rsidR="00CB1680">
        <w:t>My experience in the implementation of the GE Act has demonstrated that</w:t>
      </w:r>
      <w:r w:rsidR="00615844">
        <w:t xml:space="preserve"> not only is</w:t>
      </w:r>
      <w:r w:rsidR="00CB1680">
        <w:t xml:space="preserve"> intersectionality a </w:t>
      </w:r>
      <w:r w:rsidR="00E275AE">
        <w:t>new</w:t>
      </w:r>
      <w:r w:rsidR="00CB1680">
        <w:t xml:space="preserve"> and</w:t>
      </w:r>
      <w:r w:rsidR="00746034">
        <w:t xml:space="preserve"> often</w:t>
      </w:r>
      <w:r w:rsidR="00CB1680">
        <w:t xml:space="preserve"> confusing concept for many </w:t>
      </w:r>
      <w:r w:rsidR="00646A32">
        <w:t>organisations</w:t>
      </w:r>
      <w:r w:rsidR="00615844">
        <w:t>, but that there is a dearth of</w:t>
      </w:r>
      <w:r w:rsidR="00746034">
        <w:t xml:space="preserve"> accessible</w:t>
      </w:r>
      <w:r w:rsidR="00615844">
        <w:t xml:space="preserve"> intersectional gender data</w:t>
      </w:r>
      <w:r w:rsidR="005E5951">
        <w:t>, as well as</w:t>
      </w:r>
      <w:r w:rsidR="003B1C3F">
        <w:t xml:space="preserve"> a reluctance to </w:t>
      </w:r>
      <w:r w:rsidR="00A33F72">
        <w:t xml:space="preserve"> collect</w:t>
      </w:r>
      <w:r w:rsidR="00796E9C">
        <w:t xml:space="preserve"> and </w:t>
      </w:r>
      <w:r w:rsidR="003B1C3F">
        <w:t>share</w:t>
      </w:r>
      <w:r w:rsidR="00A33F72">
        <w:t xml:space="preserve"> such data</w:t>
      </w:r>
      <w:r w:rsidR="00615844">
        <w:t xml:space="preserve">. </w:t>
      </w:r>
      <w:r w:rsidR="006A32D7">
        <w:t xml:space="preserve">Intersectional gender data </w:t>
      </w:r>
      <w:r w:rsidR="00DD50F3">
        <w:t>(i.e.</w:t>
      </w:r>
      <w:r w:rsidR="008F16D7">
        <w:t>,</w:t>
      </w:r>
      <w:r w:rsidR="00DD50F3">
        <w:t xml:space="preserve"> data that is disaggregated </w:t>
      </w:r>
      <w:r w:rsidR="0064391C">
        <w:t>by particular attributes, such as Aboriginality, age and disability</w:t>
      </w:r>
      <w:r w:rsidR="00DD50F3">
        <w:t>)</w:t>
      </w:r>
      <w:r w:rsidR="006A32D7">
        <w:t xml:space="preserve"> is necessary to bring into focus issues that are often invisible in the broader discussions around gender inequality. It is therefore critical that the National Strategy </w:t>
      </w:r>
      <w:r w:rsidR="006A32D7" w:rsidRPr="00D773E6">
        <w:t>includes specific measures that ensure prioritisation</w:t>
      </w:r>
      <w:r w:rsidR="006A32D7">
        <w:t xml:space="preserve"> of</w:t>
      </w:r>
      <w:r w:rsidR="006A32D7" w:rsidRPr="00D773E6">
        <w:t xml:space="preserve"> the collection of intersectional gender data</w:t>
      </w:r>
      <w:r w:rsidR="006A32D7">
        <w:t>.</w:t>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6A32D7" w14:paraId="6ECBC232" w14:textId="77777777" w:rsidTr="00C205C3">
        <w:tc>
          <w:tcPr>
            <w:tcW w:w="9016" w:type="dxa"/>
            <w:tcBorders>
              <w:top w:val="nil"/>
              <w:left w:val="nil"/>
              <w:bottom w:val="nil"/>
              <w:right w:val="nil"/>
            </w:tcBorders>
            <w:shd w:val="clear" w:color="auto" w:fill="E7E6E6" w:themeFill="background2"/>
          </w:tcPr>
          <w:p w14:paraId="5D93CCDF" w14:textId="77777777" w:rsidR="006A32D7" w:rsidRDefault="006A32D7" w:rsidP="00C205C3">
            <w:pPr>
              <w:pStyle w:val="Heading3"/>
              <w:spacing w:before="120" w:after="120"/>
            </w:pPr>
            <w:r>
              <w:t>Recommendation 5 and 6</w:t>
            </w:r>
          </w:p>
          <w:p w14:paraId="0A2775FC" w14:textId="0D88887D" w:rsidR="006A32D7" w:rsidRPr="006A32D7" w:rsidRDefault="006A32D7" w:rsidP="00C205C3">
            <w:pPr>
              <w:spacing w:before="120" w:after="120"/>
              <w:rPr>
                <w:sz w:val="22"/>
                <w:szCs w:val="22"/>
              </w:rPr>
            </w:pPr>
            <w:r w:rsidRPr="006A32D7">
              <w:rPr>
                <w:sz w:val="22"/>
                <w:szCs w:val="22"/>
              </w:rPr>
              <w:t xml:space="preserve">That the </w:t>
            </w:r>
            <w:r w:rsidR="007B60EC">
              <w:rPr>
                <w:sz w:val="22"/>
                <w:szCs w:val="22"/>
              </w:rPr>
              <w:t>National</w:t>
            </w:r>
            <w:r w:rsidRPr="006A32D7">
              <w:rPr>
                <w:sz w:val="22"/>
                <w:szCs w:val="22"/>
              </w:rPr>
              <w:t xml:space="preserve"> Strategy:</w:t>
            </w:r>
          </w:p>
          <w:p w14:paraId="26E5F866" w14:textId="77777777" w:rsidR="006A32D7" w:rsidRPr="006A32D7" w:rsidRDefault="006A32D7" w:rsidP="00016164">
            <w:pPr>
              <w:pStyle w:val="ListParagraph"/>
              <w:numPr>
                <w:ilvl w:val="0"/>
                <w:numId w:val="39"/>
              </w:numPr>
              <w:spacing w:before="120" w:after="120"/>
              <w:ind w:left="751"/>
              <w:contextualSpacing w:val="0"/>
              <w:rPr>
                <w:sz w:val="22"/>
                <w:szCs w:val="22"/>
              </w:rPr>
            </w:pPr>
            <w:r w:rsidRPr="006A32D7">
              <w:rPr>
                <w:rFonts w:eastAsia="Arial" w:cs="Arial"/>
                <w:sz w:val="22"/>
                <w:szCs w:val="22"/>
              </w:rPr>
              <w:t>Express a commitment to the collection of intersectional gender data and the use of such data to enhance intersectional gender equality.</w:t>
            </w:r>
          </w:p>
          <w:p w14:paraId="5F772F34" w14:textId="5BEFD561" w:rsidR="006A32D7" w:rsidRPr="006A32D7" w:rsidRDefault="006A32D7" w:rsidP="00DE4C1F">
            <w:pPr>
              <w:pStyle w:val="ListParagraph"/>
              <w:numPr>
                <w:ilvl w:val="1"/>
                <w:numId w:val="21"/>
              </w:numPr>
              <w:spacing w:before="120" w:after="120"/>
              <w:ind w:hanging="357"/>
              <w:contextualSpacing w:val="0"/>
              <w:rPr>
                <w:sz w:val="22"/>
                <w:szCs w:val="22"/>
              </w:rPr>
            </w:pPr>
            <w:r w:rsidRPr="006A32D7">
              <w:rPr>
                <w:sz w:val="22"/>
                <w:szCs w:val="22"/>
              </w:rPr>
              <w:t xml:space="preserve">Express a clear responsibility for the </w:t>
            </w:r>
            <w:bookmarkStart w:id="3" w:name="_Hlk131423731"/>
            <w:r w:rsidRPr="006A32D7">
              <w:rPr>
                <w:sz w:val="22"/>
                <w:szCs w:val="22"/>
              </w:rPr>
              <w:t xml:space="preserve">Federal Gender Data Steering Group, or an alternative federal body as deemed appropriate, </w:t>
            </w:r>
            <w:bookmarkEnd w:id="3"/>
            <w:r w:rsidRPr="006A32D7">
              <w:rPr>
                <w:sz w:val="22"/>
                <w:szCs w:val="22"/>
              </w:rPr>
              <w:t>to facilitate greater collection, sharing and use of intersectional gender data</w:t>
            </w:r>
          </w:p>
          <w:p w14:paraId="6BF275B1" w14:textId="292077CC" w:rsidR="00E0702F" w:rsidRPr="00F6670C" w:rsidRDefault="006A32D7" w:rsidP="00DE4C1F">
            <w:pPr>
              <w:pStyle w:val="ListParagraph"/>
              <w:numPr>
                <w:ilvl w:val="1"/>
                <w:numId w:val="21"/>
              </w:numPr>
              <w:spacing w:before="120" w:after="120"/>
              <w:ind w:hanging="357"/>
              <w:contextualSpacing w:val="0"/>
              <w:rPr>
                <w:sz w:val="22"/>
                <w:szCs w:val="22"/>
              </w:rPr>
            </w:pPr>
            <w:r w:rsidRPr="006A32D7">
              <w:rPr>
                <w:sz w:val="22"/>
                <w:szCs w:val="22"/>
              </w:rPr>
              <w:lastRenderedPageBreak/>
              <w:t xml:space="preserve">In the development of any agreed intersectional gender data standards, the Federal Gender Data Steering Group, or an alternative federal body as deemed appropriate, must consult with </w:t>
            </w:r>
            <w:r w:rsidR="00BF36A3">
              <w:rPr>
                <w:sz w:val="22"/>
                <w:szCs w:val="22"/>
              </w:rPr>
              <w:t>a</w:t>
            </w:r>
            <w:r w:rsidRPr="006A32D7">
              <w:rPr>
                <w:sz w:val="22"/>
                <w:szCs w:val="22"/>
              </w:rPr>
              <w:t xml:space="preserve"> diverse range of stakeholders</w:t>
            </w:r>
            <w:r w:rsidR="00BF36A3">
              <w:rPr>
                <w:sz w:val="22"/>
                <w:szCs w:val="22"/>
              </w:rPr>
              <w:t xml:space="preserve">, </w:t>
            </w:r>
            <w:r w:rsidR="00982580">
              <w:rPr>
                <w:sz w:val="22"/>
                <w:szCs w:val="22"/>
              </w:rPr>
              <w:t xml:space="preserve">including </w:t>
            </w:r>
            <w:r w:rsidR="001C0DF6">
              <w:rPr>
                <w:sz w:val="22"/>
                <w:szCs w:val="22"/>
              </w:rPr>
              <w:t>community groups</w:t>
            </w:r>
            <w:r w:rsidR="006D7AD5">
              <w:rPr>
                <w:sz w:val="22"/>
                <w:szCs w:val="22"/>
              </w:rPr>
              <w:t xml:space="preserve"> </w:t>
            </w:r>
            <w:r w:rsidR="001C0DF6">
              <w:rPr>
                <w:sz w:val="22"/>
                <w:szCs w:val="22"/>
              </w:rPr>
              <w:t>and advocacy organisations</w:t>
            </w:r>
            <w:r w:rsidR="006D7AD5">
              <w:rPr>
                <w:sz w:val="22"/>
                <w:szCs w:val="22"/>
              </w:rPr>
              <w:t xml:space="preserve"> relevant to the specific intersectional attribute in question</w:t>
            </w:r>
            <w:r w:rsidR="00BF36A3">
              <w:rPr>
                <w:sz w:val="22"/>
                <w:szCs w:val="22"/>
              </w:rPr>
              <w:t>.</w:t>
            </w:r>
          </w:p>
          <w:p w14:paraId="07DF54BC" w14:textId="0E8018A5" w:rsidR="006A32D7" w:rsidRPr="006A32D7" w:rsidRDefault="006A32D7" w:rsidP="00016164">
            <w:pPr>
              <w:pStyle w:val="ListParagraph"/>
              <w:numPr>
                <w:ilvl w:val="0"/>
                <w:numId w:val="39"/>
              </w:numPr>
              <w:spacing w:before="120" w:after="120"/>
              <w:ind w:left="751"/>
              <w:contextualSpacing w:val="0"/>
              <w:rPr>
                <w:sz w:val="22"/>
                <w:szCs w:val="22"/>
              </w:rPr>
            </w:pPr>
            <w:r w:rsidRPr="006A32D7">
              <w:rPr>
                <w:sz w:val="22"/>
                <w:szCs w:val="22"/>
              </w:rPr>
              <w:t xml:space="preserve">Include specific strategies and measures to raise awareness in relation to intersectional gender inequality and address the manifestations of intersectional gender inequality across the community. </w:t>
            </w:r>
          </w:p>
          <w:p w14:paraId="1DC26A85" w14:textId="5DA08C59" w:rsidR="006A32D7" w:rsidRPr="006A32D7" w:rsidRDefault="006A32D7" w:rsidP="00DE4C1F">
            <w:pPr>
              <w:pStyle w:val="ListParagraph"/>
              <w:numPr>
                <w:ilvl w:val="1"/>
                <w:numId w:val="21"/>
              </w:numPr>
              <w:spacing w:before="120" w:after="120"/>
              <w:ind w:hanging="357"/>
              <w:contextualSpacing w:val="0"/>
              <w:rPr>
                <w:sz w:val="22"/>
                <w:szCs w:val="22"/>
              </w:rPr>
            </w:pPr>
            <w:r w:rsidRPr="006A32D7">
              <w:rPr>
                <w:sz w:val="22"/>
                <w:szCs w:val="22"/>
              </w:rPr>
              <w:t>Research funding should be allocated to the investigation of intersectional gender inequality in Australia</w:t>
            </w:r>
            <w:r w:rsidR="00CB3E44">
              <w:rPr>
                <w:sz w:val="22"/>
                <w:szCs w:val="22"/>
              </w:rPr>
              <w:t xml:space="preserve">, as well as </w:t>
            </w:r>
            <w:r w:rsidRPr="006A32D7">
              <w:rPr>
                <w:sz w:val="22"/>
                <w:szCs w:val="22"/>
              </w:rPr>
              <w:t>evidence-based strategies and measures to address intersectional gender inequality</w:t>
            </w:r>
          </w:p>
          <w:p w14:paraId="350A7F8B" w14:textId="228377D6" w:rsidR="006A32D7" w:rsidRPr="006A32D7" w:rsidRDefault="006A32D7" w:rsidP="00DE4C1F">
            <w:pPr>
              <w:pStyle w:val="ListParagraph"/>
              <w:numPr>
                <w:ilvl w:val="1"/>
                <w:numId w:val="21"/>
              </w:numPr>
              <w:spacing w:before="120" w:after="120"/>
              <w:ind w:hanging="357"/>
              <w:contextualSpacing w:val="0"/>
            </w:pPr>
            <w:r w:rsidRPr="006A32D7">
              <w:rPr>
                <w:sz w:val="22"/>
                <w:szCs w:val="22"/>
              </w:rPr>
              <w:t xml:space="preserve">Any strategies and measures relating to intersectional gender inequality must be developed in consultation with </w:t>
            </w:r>
            <w:r w:rsidR="006D7AD5">
              <w:rPr>
                <w:sz w:val="22"/>
                <w:szCs w:val="22"/>
              </w:rPr>
              <w:t>community groups and advocacy organisations relevant to the specific intersectional attribute in question</w:t>
            </w:r>
            <w:r w:rsidR="00CB3E44">
              <w:rPr>
                <w:sz w:val="22"/>
                <w:szCs w:val="22"/>
              </w:rPr>
              <w:t>.</w:t>
            </w:r>
          </w:p>
        </w:tc>
      </w:tr>
    </w:tbl>
    <w:p w14:paraId="6990217B" w14:textId="6C377939" w:rsidR="002A4E89" w:rsidRPr="0070335F" w:rsidRDefault="00F54B3E" w:rsidP="005354FB">
      <w:pPr>
        <w:pStyle w:val="ListParagraph"/>
        <w:keepNext/>
        <w:keepLines/>
        <w:numPr>
          <w:ilvl w:val="1"/>
          <w:numId w:val="4"/>
        </w:numPr>
        <w:spacing w:before="120" w:after="120"/>
        <w:contextualSpacing w:val="0"/>
        <w:outlineLvl w:val="1"/>
        <w:rPr>
          <w:rFonts w:eastAsiaTheme="majorEastAsia" w:cstheme="majorBidi"/>
          <w:color w:val="5C308D"/>
          <w:sz w:val="36"/>
          <w:szCs w:val="36"/>
        </w:rPr>
      </w:pPr>
      <w:r w:rsidRPr="0070335F">
        <w:rPr>
          <w:rFonts w:eastAsiaTheme="majorEastAsia" w:cstheme="majorBidi"/>
          <w:color w:val="5C308D"/>
          <w:sz w:val="36"/>
          <w:szCs w:val="36"/>
        </w:rPr>
        <w:lastRenderedPageBreak/>
        <w:t>Strengthen accountability, oversight</w:t>
      </w:r>
      <w:r w:rsidR="00DE665F">
        <w:rPr>
          <w:rFonts w:eastAsiaTheme="majorEastAsia" w:cstheme="majorBidi"/>
          <w:color w:val="5C308D"/>
          <w:sz w:val="36"/>
          <w:szCs w:val="36"/>
        </w:rPr>
        <w:t>,</w:t>
      </w:r>
      <w:r w:rsidRPr="0070335F">
        <w:rPr>
          <w:rFonts w:eastAsiaTheme="majorEastAsia" w:cstheme="majorBidi"/>
          <w:color w:val="5C308D"/>
          <w:sz w:val="36"/>
          <w:szCs w:val="36"/>
        </w:rPr>
        <w:t xml:space="preserve"> and enforcement</w:t>
      </w:r>
      <w:r w:rsidR="009C2F69" w:rsidRPr="0070335F">
        <w:rPr>
          <w:rFonts w:eastAsiaTheme="majorEastAsia" w:cstheme="majorBidi"/>
          <w:color w:val="5C308D"/>
          <w:sz w:val="36"/>
          <w:szCs w:val="36"/>
        </w:rPr>
        <w:t xml:space="preserve"> mechanisms</w:t>
      </w:r>
      <w:r w:rsidR="5C2CBCCE" w:rsidRPr="0070335F">
        <w:rPr>
          <w:rFonts w:eastAsiaTheme="majorEastAsia" w:cstheme="majorBidi"/>
          <w:color w:val="5C308D"/>
          <w:sz w:val="36"/>
          <w:szCs w:val="36"/>
        </w:rPr>
        <w:t xml:space="preserve"> through legislation</w:t>
      </w:r>
    </w:p>
    <w:p w14:paraId="6F566F95" w14:textId="673983DB" w:rsidR="001F27D8" w:rsidRPr="0070335F" w:rsidRDefault="00E532AC" w:rsidP="005354FB">
      <w:pPr>
        <w:pStyle w:val="Heading3"/>
        <w:spacing w:before="120" w:after="120"/>
      </w:pPr>
      <w:r w:rsidRPr="0070335F">
        <w:t xml:space="preserve">Strengthen </w:t>
      </w:r>
      <w:r w:rsidR="00E2504A" w:rsidRPr="0070335F">
        <w:t xml:space="preserve">the </w:t>
      </w:r>
      <w:r w:rsidR="00E2504A" w:rsidRPr="0070335F">
        <w:rPr>
          <w:i/>
          <w:iCs/>
        </w:rPr>
        <w:t xml:space="preserve">Workplace Gender Equality Act </w:t>
      </w:r>
      <w:r w:rsidR="00FB262F" w:rsidRPr="0070335F">
        <w:rPr>
          <w:i/>
          <w:iCs/>
        </w:rPr>
        <w:t>2012</w:t>
      </w:r>
      <w:r w:rsidR="00FB262F" w:rsidRPr="0070335F">
        <w:t xml:space="preserve"> </w:t>
      </w:r>
    </w:p>
    <w:p w14:paraId="15955B18" w14:textId="7BE4EC2D" w:rsidR="002426A6" w:rsidRDefault="002426A6" w:rsidP="005354FB">
      <w:pPr>
        <w:pStyle w:val="Heading4"/>
        <w:spacing w:before="120" w:after="120"/>
      </w:pPr>
      <w:r>
        <w:t>Gender pay equity principles</w:t>
      </w:r>
    </w:p>
    <w:p w14:paraId="55080136" w14:textId="5913CE8E" w:rsidR="003260A0" w:rsidRDefault="00FB0B69" w:rsidP="005354FB">
      <w:pPr>
        <w:spacing w:before="120" w:after="120"/>
        <w:rPr>
          <w:rFonts w:cstheme="minorHAnsi"/>
        </w:rPr>
      </w:pPr>
      <w:r>
        <w:rPr>
          <w:rFonts w:cstheme="minorHAnsi"/>
        </w:rPr>
        <w:t xml:space="preserve">While </w:t>
      </w:r>
      <w:r w:rsidR="007C3633">
        <w:rPr>
          <w:rFonts w:cstheme="minorHAnsi"/>
        </w:rPr>
        <w:t xml:space="preserve">the changes introduced by </w:t>
      </w:r>
      <w:r>
        <w:rPr>
          <w:rFonts w:cstheme="minorHAnsi"/>
        </w:rPr>
        <w:t>Division 1</w:t>
      </w:r>
      <w:r w:rsidR="007C3633">
        <w:rPr>
          <w:rFonts w:cstheme="minorHAnsi"/>
        </w:rPr>
        <w:t xml:space="preserve"> of the </w:t>
      </w:r>
      <w:r w:rsidR="0071793E" w:rsidRPr="0071793E">
        <w:rPr>
          <w:rFonts w:cstheme="minorHAnsi"/>
          <w:i/>
          <w:iCs/>
        </w:rPr>
        <w:t>Workplace Gender Equality Amendment (</w:t>
      </w:r>
      <w:r w:rsidR="007C3633" w:rsidRPr="0071793E">
        <w:rPr>
          <w:rFonts w:cstheme="minorHAnsi"/>
          <w:i/>
          <w:iCs/>
        </w:rPr>
        <w:t>C</w:t>
      </w:r>
      <w:r w:rsidR="006B75A2" w:rsidRPr="0071793E">
        <w:rPr>
          <w:rFonts w:cstheme="minorHAnsi"/>
          <w:i/>
          <w:iCs/>
        </w:rPr>
        <w:t xml:space="preserve">losing the </w:t>
      </w:r>
      <w:r w:rsidR="007C3633" w:rsidRPr="0071793E">
        <w:rPr>
          <w:rFonts w:cstheme="minorHAnsi"/>
          <w:i/>
          <w:iCs/>
        </w:rPr>
        <w:t>G</w:t>
      </w:r>
      <w:r w:rsidR="006B75A2" w:rsidRPr="0071793E">
        <w:rPr>
          <w:rFonts w:cstheme="minorHAnsi"/>
          <w:i/>
          <w:iCs/>
        </w:rPr>
        <w:t xml:space="preserve">ender </w:t>
      </w:r>
      <w:r w:rsidR="007C3633" w:rsidRPr="0071793E">
        <w:rPr>
          <w:rFonts w:cstheme="minorHAnsi"/>
          <w:i/>
          <w:iCs/>
        </w:rPr>
        <w:t>P</w:t>
      </w:r>
      <w:r w:rsidR="006B75A2" w:rsidRPr="0071793E">
        <w:rPr>
          <w:rFonts w:cstheme="minorHAnsi"/>
          <w:i/>
          <w:iCs/>
        </w:rPr>
        <w:t>ay Gap</w:t>
      </w:r>
      <w:r w:rsidR="0071793E" w:rsidRPr="0071793E">
        <w:rPr>
          <w:rFonts w:cstheme="minorHAnsi"/>
          <w:i/>
          <w:iCs/>
        </w:rPr>
        <w:t>)</w:t>
      </w:r>
      <w:r w:rsidR="007C3633" w:rsidRPr="0071793E">
        <w:rPr>
          <w:rFonts w:cstheme="minorHAnsi"/>
          <w:i/>
          <w:iCs/>
        </w:rPr>
        <w:t xml:space="preserve"> Act</w:t>
      </w:r>
      <w:r w:rsidR="0071793E" w:rsidRPr="0071793E">
        <w:rPr>
          <w:rFonts w:cstheme="minorHAnsi"/>
          <w:i/>
          <w:iCs/>
        </w:rPr>
        <w:t xml:space="preserve"> 2023</w:t>
      </w:r>
      <w:r>
        <w:rPr>
          <w:rFonts w:cstheme="minorHAnsi"/>
        </w:rPr>
        <w:t xml:space="preserve"> </w:t>
      </w:r>
      <w:r w:rsidR="004775D7">
        <w:rPr>
          <w:rFonts w:cstheme="minorHAnsi"/>
        </w:rPr>
        <w:t xml:space="preserve">(CGPG Act) </w:t>
      </w:r>
      <w:r>
        <w:rPr>
          <w:rFonts w:cstheme="minorHAnsi"/>
        </w:rPr>
        <w:t xml:space="preserve">will significantly improve gender pay gap transparency across Australia, I also recommend that these changes are underpinned by a set of gender pay equity principles. </w:t>
      </w:r>
    </w:p>
    <w:p w14:paraId="68794803" w14:textId="3152EAD7" w:rsidR="00FB0B69" w:rsidRPr="00AB32E8" w:rsidRDefault="00FB0B69" w:rsidP="005354FB">
      <w:pPr>
        <w:spacing w:before="120" w:after="120"/>
        <w:rPr>
          <w:rFonts w:cstheme="minorHAnsi"/>
        </w:rPr>
      </w:pPr>
      <w:r>
        <w:rPr>
          <w:rFonts w:cstheme="minorHAnsi"/>
        </w:rPr>
        <w:t xml:space="preserve">Victoria has prescribed a set of gender pay equity </w:t>
      </w:r>
      <w:r w:rsidRPr="00EE570D">
        <w:rPr>
          <w:rFonts w:cstheme="minorHAnsi"/>
        </w:rPr>
        <w:t>principles</w:t>
      </w:r>
      <w:r w:rsidR="00C840D7" w:rsidRPr="00EE570D">
        <w:rPr>
          <w:rFonts w:cstheme="minorHAnsi"/>
        </w:rPr>
        <w:t xml:space="preserve"> (see </w:t>
      </w:r>
      <w:r w:rsidR="00C840D7" w:rsidRPr="00EE570D">
        <w:rPr>
          <w:rFonts w:cstheme="minorHAnsi"/>
          <w:b/>
          <w:bCs/>
        </w:rPr>
        <w:t xml:space="preserve">Appendix </w:t>
      </w:r>
      <w:r w:rsidR="00EE570D" w:rsidRPr="00EE570D">
        <w:rPr>
          <w:rFonts w:cstheme="minorHAnsi"/>
          <w:b/>
          <w:bCs/>
        </w:rPr>
        <w:t>2</w:t>
      </w:r>
      <w:r w:rsidR="00EE570D" w:rsidRPr="00EE570D">
        <w:rPr>
          <w:rFonts w:cstheme="minorHAnsi"/>
        </w:rPr>
        <w:t>)</w:t>
      </w:r>
      <w:r w:rsidRPr="00EE570D">
        <w:rPr>
          <w:rFonts w:cstheme="minorHAnsi"/>
        </w:rPr>
        <w:t xml:space="preserve"> that</w:t>
      </w:r>
      <w:r>
        <w:rPr>
          <w:rFonts w:cstheme="minorHAnsi"/>
        </w:rPr>
        <w:t xml:space="preserve"> organisations subject to the GE Act must have regard to when developing their </w:t>
      </w:r>
      <w:r w:rsidR="007763F5">
        <w:rPr>
          <w:rFonts w:cstheme="minorHAnsi"/>
        </w:rPr>
        <w:t>GEAPs</w:t>
      </w:r>
      <w:r>
        <w:rPr>
          <w:rFonts w:cstheme="minorHAnsi"/>
        </w:rPr>
        <w:t>.</w:t>
      </w:r>
      <w:r>
        <w:rPr>
          <w:rStyle w:val="FootnoteReference"/>
          <w:rFonts w:cstheme="minorHAnsi"/>
        </w:rPr>
        <w:footnoteReference w:id="22"/>
      </w:r>
      <w:r>
        <w:rPr>
          <w:rFonts w:cstheme="minorHAnsi"/>
        </w:rPr>
        <w:t xml:space="preserve"> The </w:t>
      </w:r>
      <w:r w:rsidR="007C3633">
        <w:rPr>
          <w:rFonts w:cstheme="minorHAnsi"/>
        </w:rPr>
        <w:t>FW</w:t>
      </w:r>
      <w:r>
        <w:rPr>
          <w:rFonts w:cstheme="minorHAnsi"/>
        </w:rPr>
        <w:t xml:space="preserve"> Act was also amended in December 2022 to include a set of gender pay equity principles, which the Fair Work Commission must now consider when performing their functions and exercising their powers.</w:t>
      </w:r>
      <w:r>
        <w:rPr>
          <w:rStyle w:val="FootnoteReference"/>
          <w:rFonts w:cstheme="minorHAnsi"/>
        </w:rPr>
        <w:footnoteReference w:id="23"/>
      </w:r>
      <w:r>
        <w:rPr>
          <w:rFonts w:cstheme="minorHAnsi"/>
        </w:rPr>
        <w:t xml:space="preserve"> These principles include the need to achieve gender equality in the workplace by ensuring equal remuneration for work of equal or comparable value, eliminating gender-based undervaluation of work, providing workplace conditions that facilitate women’s full economic participation, and addressing gender pay gaps.</w:t>
      </w:r>
    </w:p>
    <w:p w14:paraId="0FCC869D" w14:textId="76A7BF5F" w:rsidR="00FB0B69" w:rsidRDefault="00FB0B69" w:rsidP="005354FB">
      <w:pPr>
        <w:spacing w:before="120" w:after="120"/>
        <w:rPr>
          <w:rFonts w:cstheme="minorHAnsi"/>
        </w:rPr>
      </w:pPr>
      <w:r>
        <w:rPr>
          <w:rFonts w:cstheme="minorHAnsi"/>
        </w:rPr>
        <w:lastRenderedPageBreak/>
        <w:t>The Australian Government should consider strengthening the objectives the WGE Ac</w:t>
      </w:r>
      <w:r w:rsidR="00801EC4">
        <w:rPr>
          <w:rFonts w:cstheme="minorHAnsi"/>
        </w:rPr>
        <w:t>t</w:t>
      </w:r>
      <w:r>
        <w:rPr>
          <w:rFonts w:cstheme="minorHAnsi"/>
        </w:rPr>
        <w:t xml:space="preserve"> by incorporating a similar set of gender pay equity principles, </w:t>
      </w:r>
      <w:r w:rsidR="00C840D7">
        <w:rPr>
          <w:rFonts w:cstheme="minorHAnsi"/>
        </w:rPr>
        <w:t>developed in consultation with WGEA</w:t>
      </w:r>
      <w:r w:rsidR="00A45E45">
        <w:rPr>
          <w:rFonts w:cstheme="minorHAnsi"/>
        </w:rPr>
        <w:t>.</w:t>
      </w:r>
    </w:p>
    <w:p w14:paraId="58344D53" w14:textId="7D3BF492" w:rsidR="008A6668" w:rsidRDefault="002708F5" w:rsidP="005354FB">
      <w:pPr>
        <w:pStyle w:val="Heading4"/>
        <w:spacing w:before="120" w:after="120"/>
      </w:pPr>
      <w:r>
        <w:t>Measurable genuine t</w:t>
      </w:r>
      <w:r w:rsidR="00E27DFC">
        <w:t>argets in relation to the g</w:t>
      </w:r>
      <w:r w:rsidR="00536716">
        <w:t>ender equality indicator</w:t>
      </w:r>
      <w:r w:rsidR="00E27DFC">
        <w:t>s</w:t>
      </w:r>
    </w:p>
    <w:p w14:paraId="675654B6" w14:textId="316EA952" w:rsidR="0029035F" w:rsidRDefault="00E27DFC" w:rsidP="005833B6">
      <w:pPr>
        <w:pStyle w:val="Body"/>
        <w:spacing w:before="120" w:line="259" w:lineRule="auto"/>
      </w:pPr>
      <w:r>
        <w:t xml:space="preserve">Recommendation 3.1(a) of the </w:t>
      </w:r>
      <w:r w:rsidR="00757F6C">
        <w:rPr>
          <w:rFonts w:cs="Calibri"/>
          <w:szCs w:val="22"/>
        </w:rPr>
        <w:t>WGEA Review Report</w:t>
      </w:r>
      <w:r w:rsidR="000F2D2B">
        <w:rPr>
          <w:rFonts w:cs="Calibri"/>
          <w:szCs w:val="22"/>
        </w:rPr>
        <w:t xml:space="preserve"> (Report)</w:t>
      </w:r>
      <w:r w:rsidR="00CB60DF">
        <w:t xml:space="preserve"> recommended that the </w:t>
      </w:r>
      <w:r w:rsidR="002708F5" w:rsidRPr="002708F5">
        <w:rPr>
          <w:i/>
          <w:iCs/>
        </w:rPr>
        <w:t>Workplace Gender Equality (Minimum Standards) Instrument 2014</w:t>
      </w:r>
      <w:r w:rsidR="002708F5">
        <w:t xml:space="preserve"> be amended to add a new minimum standard to require relevant employers with 500 or more employees to commit to, achieve and report to WGEA on measurable genuine targets to improve gender equality in their workplace.</w:t>
      </w:r>
      <w:r w:rsidR="000F2D2B">
        <w:rPr>
          <w:rStyle w:val="FootnoteReference"/>
          <w:rFonts w:cs="Calibri"/>
          <w:szCs w:val="22"/>
        </w:rPr>
        <w:footnoteReference w:id="24"/>
      </w:r>
      <w:r w:rsidR="000F2D2B">
        <w:t xml:space="preserve"> </w:t>
      </w:r>
      <w:r w:rsidR="002708F5">
        <w:t xml:space="preserve"> </w:t>
      </w:r>
    </w:p>
    <w:p w14:paraId="0643939E" w14:textId="0C3F71B9" w:rsidR="00714EC4" w:rsidRDefault="00E74F00" w:rsidP="005833B6">
      <w:pPr>
        <w:pStyle w:val="Body"/>
        <w:spacing w:before="120" w:line="259" w:lineRule="auto"/>
      </w:pPr>
      <w:r>
        <w:t>Unfortunately</w:t>
      </w:r>
      <w:r w:rsidR="00C66753">
        <w:t>,</w:t>
      </w:r>
      <w:r>
        <w:t xml:space="preserve"> the 2023 Standards Instrument</w:t>
      </w:r>
      <w:r w:rsidR="00A95223">
        <w:t xml:space="preserve"> </w:t>
      </w:r>
      <w:r>
        <w:t>did not implement this recommendation.</w:t>
      </w:r>
      <w:r w:rsidR="00A95223">
        <w:rPr>
          <w:rStyle w:val="FootnoteReference"/>
        </w:rPr>
        <w:footnoteReference w:id="25"/>
      </w:r>
      <w:r w:rsidR="00A95223">
        <w:t xml:space="preserve"> </w:t>
      </w:r>
      <w:r w:rsidR="005E1C6F" w:rsidRPr="005E1C6F">
        <w:t>I note and welcome Minister Gallagher’s commitment to consulting on and progressing this reform</w:t>
      </w:r>
      <w:r w:rsidR="00543304">
        <w:t xml:space="preserve"> </w:t>
      </w:r>
      <w:r w:rsidR="00365ACF">
        <w:t>and</w:t>
      </w:r>
      <w:r w:rsidR="006E4BFE">
        <w:t xml:space="preserve"> </w:t>
      </w:r>
      <w:r w:rsidR="00D540D8">
        <w:t xml:space="preserve">appreciate </w:t>
      </w:r>
      <w:r w:rsidR="0014554B">
        <w:t>the</w:t>
      </w:r>
      <w:r w:rsidR="006E4BFE">
        <w:t xml:space="preserve"> opportunity to consult </w:t>
      </w:r>
      <w:r w:rsidR="00365ACF">
        <w:t>on this matter</w:t>
      </w:r>
      <w:r w:rsidR="0014554B">
        <w:t xml:space="preserve">, particularly </w:t>
      </w:r>
      <w:r w:rsidR="00C66753">
        <w:t>considering</w:t>
      </w:r>
      <w:r w:rsidR="007B6A92">
        <w:t xml:space="preserve"> </w:t>
      </w:r>
      <w:r w:rsidR="00365ACF">
        <w:t>my</w:t>
      </w:r>
      <w:r w:rsidR="007B6A92">
        <w:t xml:space="preserve"> experience </w:t>
      </w:r>
      <w:r w:rsidR="0014554B">
        <w:t>with progress and reporting.</w:t>
      </w:r>
      <w:r w:rsidR="00A95223">
        <w:rPr>
          <w:rStyle w:val="FootnoteReference"/>
        </w:rPr>
        <w:footnoteReference w:id="26"/>
      </w:r>
      <w:r w:rsidR="0014554B">
        <w:t xml:space="preserve"> </w:t>
      </w:r>
    </w:p>
    <w:p w14:paraId="0BE9BF21" w14:textId="6A38534B" w:rsidR="001E0A42" w:rsidRDefault="00714EC4" w:rsidP="005833B6">
      <w:pPr>
        <w:pStyle w:val="Body"/>
        <w:spacing w:before="120" w:line="259" w:lineRule="auto"/>
      </w:pPr>
      <w:r>
        <w:t xml:space="preserve">I also note that the </w:t>
      </w:r>
      <w:r w:rsidR="00365ACF" w:rsidRPr="00365ACF">
        <w:t xml:space="preserve">2023 Standards Instrument </w:t>
      </w:r>
      <w:r>
        <w:t>applies only to</w:t>
      </w:r>
      <w:r w:rsidR="00252553">
        <w:t xml:space="preserve"> ‘</w:t>
      </w:r>
      <w:r w:rsidR="00D728F6">
        <w:t>designated relevant employer</w:t>
      </w:r>
      <w:r w:rsidR="00A95223">
        <w:t>s</w:t>
      </w:r>
      <w:r w:rsidR="00252553">
        <w:t>’ – being</w:t>
      </w:r>
      <w:r>
        <w:t xml:space="preserve"> </w:t>
      </w:r>
      <w:r w:rsidR="00362778" w:rsidRPr="00362778">
        <w:t>employers with 500 or more employees</w:t>
      </w:r>
      <w:r w:rsidR="00D728F6">
        <w:t xml:space="preserve"> in Australia</w:t>
      </w:r>
      <w:r w:rsidR="00362778" w:rsidRPr="00362778">
        <w:t>.</w:t>
      </w:r>
      <w:r w:rsidR="00E93DF0">
        <w:rPr>
          <w:rStyle w:val="FootnoteReference"/>
        </w:rPr>
        <w:footnoteReference w:id="27"/>
      </w:r>
      <w:r w:rsidR="00E52724">
        <w:t xml:space="preserve"> </w:t>
      </w:r>
      <w:r w:rsidR="00743B1A">
        <w:t>Not</w:t>
      </w:r>
      <w:r w:rsidR="00CB4E12">
        <w:t xml:space="preserve"> </w:t>
      </w:r>
      <w:r w:rsidR="00E52724">
        <w:t>apply</w:t>
      </w:r>
      <w:r w:rsidR="00743B1A">
        <w:t>ing</w:t>
      </w:r>
      <w:r w:rsidR="00E52724">
        <w:t xml:space="preserve"> </w:t>
      </w:r>
      <w:r w:rsidR="004278C4">
        <w:t>the new gender equality standards to employers with 100-499 employees will mean that progress in these workplaces will be limited</w:t>
      </w:r>
      <w:r w:rsidR="00B43CAC">
        <w:t xml:space="preserve">. </w:t>
      </w:r>
      <w:r w:rsidR="00365ACF">
        <w:t>Medium</w:t>
      </w:r>
      <w:r w:rsidR="001E0A42">
        <w:t>-sized businesses (</w:t>
      </w:r>
      <w:r w:rsidR="004775D7">
        <w:t>with</w:t>
      </w:r>
      <w:r w:rsidR="001E0A42">
        <w:t xml:space="preserve"> 20 </w:t>
      </w:r>
      <w:r w:rsidR="004775D7">
        <w:t>-</w:t>
      </w:r>
      <w:r w:rsidR="001E0A42">
        <w:t xml:space="preserve"> 199 employees) </w:t>
      </w:r>
      <w:r w:rsidR="00A45E45">
        <w:t>employ</w:t>
      </w:r>
      <w:r w:rsidR="001E0A42">
        <w:t xml:space="preserve"> 2.8 million employees – almost a quarter of all employed persons in Australia.</w:t>
      </w:r>
      <w:r w:rsidR="001E0A42">
        <w:rPr>
          <w:rStyle w:val="FootnoteReference"/>
        </w:rPr>
        <w:footnoteReference w:id="28"/>
      </w:r>
      <w:r w:rsidR="001E0A42">
        <w:t xml:space="preserve"> </w:t>
      </w:r>
      <w:r w:rsidR="00F80A44">
        <w:t>R</w:t>
      </w:r>
      <w:r w:rsidR="004F3758">
        <w:t xml:space="preserve">esearch </w:t>
      </w:r>
      <w:r w:rsidR="00F34563">
        <w:t>undertaken by</w:t>
      </w:r>
      <w:r w:rsidR="006C639C">
        <w:t xml:space="preserve"> </w:t>
      </w:r>
      <w:r w:rsidR="004F3758">
        <w:t xml:space="preserve">the Victorian Equal Opportunity and Human Rights Commission (VEOHRC) </w:t>
      </w:r>
      <w:r w:rsidR="00815D40">
        <w:t>demonstrated</w:t>
      </w:r>
      <w:r w:rsidR="004F3758">
        <w:t xml:space="preserve"> </w:t>
      </w:r>
      <w:r w:rsidR="00815D40">
        <w:t>that</w:t>
      </w:r>
      <w:r w:rsidR="004F3758">
        <w:t xml:space="preserve"> small-to-medium enterprises are not currently supported to embed in gender equality concepts sufficiently. Noting the</w:t>
      </w:r>
      <w:r w:rsidR="00512F16">
        <w:t xml:space="preserve"> significant</w:t>
      </w:r>
      <w:r w:rsidR="004F3758">
        <w:t xml:space="preserve"> portion of the workforce within these businesses</w:t>
      </w:r>
      <w:r w:rsidR="00512F16">
        <w:t>,</w:t>
      </w:r>
      <w:r w:rsidR="004F3758">
        <w:t xml:space="preserve"> </w:t>
      </w:r>
      <w:r w:rsidR="00A56685">
        <w:t>th</w:t>
      </w:r>
      <w:r w:rsidR="00236CEC">
        <w:t>e failure to apply the 2023 Standards Instrument to them</w:t>
      </w:r>
      <w:r w:rsidR="00A56685">
        <w:t xml:space="preserve"> means that </w:t>
      </w:r>
      <w:r w:rsidR="004F3758">
        <w:t xml:space="preserve"> an </w:t>
      </w:r>
      <w:r w:rsidR="005861A7">
        <w:t>im</w:t>
      </w:r>
      <w:r w:rsidR="00BE7F4E">
        <w:t xml:space="preserve">portant </w:t>
      </w:r>
      <w:r w:rsidR="004F3758">
        <w:t>opportunity to improve gender equality across Australia</w:t>
      </w:r>
      <w:r w:rsidR="00BE7F4E">
        <w:t xml:space="preserve"> will be missed</w:t>
      </w:r>
      <w:r w:rsidR="004F3758">
        <w:t>.</w:t>
      </w:r>
      <w:r w:rsidR="004F3758">
        <w:rPr>
          <w:rStyle w:val="FootnoteReference"/>
        </w:rPr>
        <w:footnoteReference w:id="29"/>
      </w:r>
      <w:r w:rsidR="00DB443A" w:rsidRPr="00DB443A">
        <w:t xml:space="preserve"> </w:t>
      </w:r>
    </w:p>
    <w:p w14:paraId="6B230EBD" w14:textId="068F1D21" w:rsidR="00714EC4" w:rsidRDefault="00D728F6" w:rsidP="005354FB">
      <w:pPr>
        <w:pStyle w:val="Heading4"/>
        <w:spacing w:before="120" w:after="120"/>
      </w:pPr>
      <w:r>
        <w:t>Strengthen compliance and enforcement mechanisms under the WG</w:t>
      </w:r>
      <w:r w:rsidR="002810D9">
        <w:t>E</w:t>
      </w:r>
      <w:r>
        <w:t xml:space="preserve"> Act</w:t>
      </w:r>
    </w:p>
    <w:p w14:paraId="5B60EF09" w14:textId="0FA51477" w:rsidR="000F2D2B" w:rsidRDefault="002E3046" w:rsidP="005354FB">
      <w:pPr>
        <w:spacing w:before="120" w:after="120"/>
      </w:pPr>
      <w:r w:rsidRPr="002E3046">
        <w:t xml:space="preserve">I welcome the </w:t>
      </w:r>
      <w:r>
        <w:t xml:space="preserve">recent </w:t>
      </w:r>
      <w:r w:rsidRPr="002E3046">
        <w:t>change</w:t>
      </w:r>
      <w:r>
        <w:t xml:space="preserve"> to the WGE Act</w:t>
      </w:r>
      <w:r w:rsidRPr="002E3046">
        <w:t xml:space="preserve"> that requires relevant employers to provide executive summary reports and industry benchmark reports to their governing body.</w:t>
      </w:r>
      <w:r w:rsidR="00565DCD">
        <w:t xml:space="preserve"> I note that section 19CA of the CGP</w:t>
      </w:r>
      <w:r w:rsidR="004775D7">
        <w:t>G</w:t>
      </w:r>
      <w:r w:rsidR="00565DCD">
        <w:t xml:space="preserve"> Act provides that the relevant employer will fail to comply with the WGE Act if these reports are not given to the governing body. </w:t>
      </w:r>
      <w:r w:rsidRPr="002E3046">
        <w:t xml:space="preserve">This is </w:t>
      </w:r>
      <w:r w:rsidR="00D67BBB">
        <w:t>an i</w:t>
      </w:r>
      <w:r w:rsidRPr="002E3046">
        <w:t>mportant step in fostering a culture of transparency and embedding accountability into the reporting process.</w:t>
      </w:r>
      <w:r w:rsidR="007919C9">
        <w:t xml:space="preserve"> </w:t>
      </w:r>
      <w:r w:rsidR="000F2D2B">
        <w:t xml:space="preserve">Evidence shows that accountability </w:t>
      </w:r>
      <w:r w:rsidR="000F2D2B">
        <w:lastRenderedPageBreak/>
        <w:t xml:space="preserve">measures, including reporting the outcomes of a workplace gender audit </w:t>
      </w:r>
      <w:r w:rsidR="008049E3">
        <w:t>to</w:t>
      </w:r>
      <w:r w:rsidR="000F2D2B">
        <w:t xml:space="preserve"> a Board, results in narrowing of the gender pay gap.</w:t>
      </w:r>
      <w:r w:rsidR="000F2D2B">
        <w:rPr>
          <w:rStyle w:val="FootnoteReference"/>
        </w:rPr>
        <w:footnoteReference w:id="30"/>
      </w:r>
      <w:r w:rsidR="000F2D2B">
        <w:t xml:space="preserve"> </w:t>
      </w:r>
    </w:p>
    <w:p w14:paraId="2AE2723C" w14:textId="70439D89" w:rsidR="006D2525" w:rsidRPr="000F2D2B" w:rsidRDefault="12AE9EAB" w:rsidP="005833B6">
      <w:pPr>
        <w:pStyle w:val="Body"/>
        <w:spacing w:before="120" w:line="259" w:lineRule="auto"/>
      </w:pPr>
      <w:r>
        <w:t xml:space="preserve">However, </w:t>
      </w:r>
      <w:r w:rsidR="046A59A6">
        <w:t>I consider that the current compliance and enforcement mechanisms</w:t>
      </w:r>
      <w:r w:rsidR="75EBC66E">
        <w:t xml:space="preserve"> under the WGE Act </w:t>
      </w:r>
      <w:r w:rsidR="046A59A6">
        <w:t>are insufficient</w:t>
      </w:r>
      <w:r w:rsidR="143989A7">
        <w:t xml:space="preserve"> to support this new obligation</w:t>
      </w:r>
      <w:r w:rsidR="046A59A6">
        <w:t>.</w:t>
      </w:r>
      <w:r w:rsidR="001949B7">
        <w:rPr>
          <w:rStyle w:val="FootnoteReference"/>
        </w:rPr>
        <w:footnoteReference w:id="31"/>
      </w:r>
      <w:r w:rsidR="7F57F93A">
        <w:t xml:space="preserve">  I </w:t>
      </w:r>
      <w:r w:rsidR="001C3E1A">
        <w:t>urge</w:t>
      </w:r>
      <w:r w:rsidR="00723AD8">
        <w:t xml:space="preserve"> </w:t>
      </w:r>
      <w:r w:rsidR="00810DA4">
        <w:t>you to</w:t>
      </w:r>
      <w:r w:rsidR="001C3E1A">
        <w:t xml:space="preserve"> </w:t>
      </w:r>
      <w:r w:rsidR="00810DA4">
        <w:t xml:space="preserve">implement </w:t>
      </w:r>
      <w:r w:rsidR="3E1C3154">
        <w:t>Recommendation 8 of the Report</w:t>
      </w:r>
      <w:r w:rsidR="767C24DC">
        <w:t>.</w:t>
      </w:r>
      <w:r w:rsidR="004C44EA">
        <w:rPr>
          <w:rStyle w:val="FootnoteReference"/>
        </w:rPr>
        <w:footnoteReference w:id="32"/>
      </w:r>
      <w:r w:rsidR="3AC8D8E6">
        <w:t xml:space="preserve"> </w:t>
      </w:r>
      <w:r w:rsidR="767C24DC">
        <w:t xml:space="preserve">However, </w:t>
      </w:r>
      <w:r w:rsidR="7F57F93A">
        <w:t>as</w:t>
      </w:r>
      <w:r w:rsidR="767C24DC">
        <w:t xml:space="preserve"> this compliance mechanism</w:t>
      </w:r>
      <w:r w:rsidR="7F57F93A">
        <w:t xml:space="preserve"> does not account for employers who are not seeking Commonwealth grants or procurement </w:t>
      </w:r>
      <w:r w:rsidR="7F57F93A" w:rsidRPr="0005074B">
        <w:t>participatio</w:t>
      </w:r>
      <w:r w:rsidR="767C24DC">
        <w:t>n,</w:t>
      </w:r>
      <w:r w:rsidR="7F57F93A" w:rsidRPr="0005074B">
        <w:t xml:space="preserve"> I recommend that the Australian Government strengthen WGEA’s compliance and enforcement powers</w:t>
      </w:r>
      <w:r w:rsidR="44725DA6" w:rsidRPr="0005074B">
        <w:t>.</w:t>
      </w:r>
      <w:r w:rsidR="44725DA6">
        <w:t xml:space="preserve"> Th</w:t>
      </w:r>
      <w:r w:rsidR="6AB2A383">
        <w:t>ese powers should go beyond those contained in the GE Act</w:t>
      </w:r>
      <w:r w:rsidR="09D740B9">
        <w:t xml:space="preserve"> (</w:t>
      </w:r>
      <w:r w:rsidR="71689795">
        <w:t xml:space="preserve">which </w:t>
      </w:r>
      <w:r w:rsidR="00BD5804">
        <w:t xml:space="preserve">include </w:t>
      </w:r>
      <w:r w:rsidR="71689795">
        <w:t>the issu</w:t>
      </w:r>
      <w:r w:rsidR="00BD5804">
        <w:t>ing</w:t>
      </w:r>
      <w:r w:rsidR="71689795">
        <w:t xml:space="preserve"> of a compliance notice</w:t>
      </w:r>
      <w:r w:rsidR="03597837">
        <w:t xml:space="preserve">, ‘name and shame’ mechanisms, and referral to the Minister or an administrative tribunal </w:t>
      </w:r>
      <w:r w:rsidR="34F64270">
        <w:t>in the instance of further non-compliance</w:t>
      </w:r>
      <w:r w:rsidR="00D12CFE">
        <w:rPr>
          <w:rStyle w:val="FootnoteReference"/>
        </w:rPr>
        <w:footnoteReference w:id="33"/>
      </w:r>
      <w:r w:rsidR="34F64270">
        <w:t xml:space="preserve"> </w:t>
      </w:r>
      <w:r w:rsidR="461B0CCB">
        <w:t xml:space="preserve">I recommend that the </w:t>
      </w:r>
      <w:r w:rsidR="00EF666A">
        <w:t xml:space="preserve">National </w:t>
      </w:r>
      <w:r w:rsidR="461B0CCB">
        <w:t xml:space="preserve">Strategy supports </w:t>
      </w:r>
      <w:r w:rsidR="09D740B9">
        <w:t>the</w:t>
      </w:r>
      <w:r w:rsidR="34F64270">
        <w:t xml:space="preserve"> imposition of financial penalties, as is the case in </w:t>
      </w:r>
      <w:r w:rsidR="34F64270" w:rsidRPr="00677F19">
        <w:t>jurisdictions</w:t>
      </w:r>
      <w:r w:rsidR="17912CAE">
        <w:t xml:space="preserve"> such as Iceland.</w:t>
      </w:r>
      <w:r w:rsidR="004F08BB" w:rsidRPr="00677F19">
        <w:rPr>
          <w:rStyle w:val="FootnoteReference"/>
        </w:rPr>
        <w:footnoteReference w:id="34"/>
      </w:r>
    </w:p>
    <w:p w14:paraId="204FBB09" w14:textId="30474264" w:rsidR="00F25367" w:rsidRDefault="00A82136" w:rsidP="005354FB">
      <w:pPr>
        <w:pStyle w:val="Heading4"/>
        <w:spacing w:before="120" w:after="120"/>
      </w:pPr>
      <w:r>
        <w:t>Collect more nuanced data in relation to workplace sexual harassment</w:t>
      </w:r>
    </w:p>
    <w:p w14:paraId="3F3EF4FE" w14:textId="4A311128" w:rsidR="000F7770" w:rsidRDefault="00BA2CB4" w:rsidP="005354FB">
      <w:pPr>
        <w:spacing w:before="120" w:after="120"/>
      </w:pPr>
      <w:r>
        <w:t>I consider there is opportunity to build on th</w:t>
      </w:r>
      <w:r w:rsidR="00677F19">
        <w:t>e existing</w:t>
      </w:r>
      <w:r>
        <w:t xml:space="preserve"> </w:t>
      </w:r>
      <w:r w:rsidR="00A82136">
        <w:t>data collection</w:t>
      </w:r>
      <w:r w:rsidR="00677F19">
        <w:t xml:space="preserve"> under the WGE Act</w:t>
      </w:r>
      <w:r>
        <w:t>, b</w:t>
      </w:r>
      <w:r w:rsidR="00A82136">
        <w:t xml:space="preserve">oth </w:t>
      </w:r>
      <w:r>
        <w:t>to generate more detailed and fulsome data insights as well as to provide clearer guidance on key areas for employer attention and action</w:t>
      </w:r>
      <w:r w:rsidR="0053544F">
        <w:t xml:space="preserve"> to improve gender equality outcomes</w:t>
      </w:r>
      <w:r>
        <w:t>.</w:t>
      </w:r>
    </w:p>
    <w:p w14:paraId="7DFA4797" w14:textId="5F130C31" w:rsidR="00204C18" w:rsidRDefault="2468BFF8" w:rsidP="005833B6">
      <w:pPr>
        <w:pStyle w:val="Body"/>
        <w:spacing w:before="120" w:line="259" w:lineRule="auto"/>
        <w:rPr>
          <w:lang w:eastAsia="en-AU"/>
        </w:rPr>
      </w:pPr>
      <w:r>
        <w:rPr>
          <w:lang w:eastAsia="en-AU"/>
        </w:rPr>
        <w:t>In particular,</w:t>
      </w:r>
      <w:r w:rsidR="37995205">
        <w:rPr>
          <w:lang w:eastAsia="en-AU"/>
        </w:rPr>
        <w:t xml:space="preserve"> </w:t>
      </w:r>
      <w:r>
        <w:rPr>
          <w:lang w:eastAsia="en-AU"/>
        </w:rPr>
        <w:t xml:space="preserve">I consider that the </w:t>
      </w:r>
      <w:r w:rsidR="5B3CB0C4">
        <w:rPr>
          <w:lang w:eastAsia="en-AU"/>
        </w:rPr>
        <w:t xml:space="preserve">2023 </w:t>
      </w:r>
      <w:r w:rsidR="4A51F85D" w:rsidRPr="155C1719">
        <w:rPr>
          <w:lang w:eastAsia="en-AU"/>
        </w:rPr>
        <w:t>Standard</w:t>
      </w:r>
      <w:r w:rsidR="37995205">
        <w:rPr>
          <w:lang w:eastAsia="en-AU"/>
        </w:rPr>
        <w:t>s Instrument should prescribe the collection of data in relation to the incidence of sex-based harassment and discrimination, provided via anonymous staff survey data</w:t>
      </w:r>
      <w:r w:rsidR="18DB240C">
        <w:rPr>
          <w:lang w:eastAsia="en-AU"/>
        </w:rPr>
        <w:t xml:space="preserve"> to account for lack of formal reporting</w:t>
      </w:r>
      <w:r w:rsidR="37995205">
        <w:rPr>
          <w:lang w:eastAsia="en-AU"/>
        </w:rPr>
        <w:t>.</w:t>
      </w:r>
      <w:r w:rsidR="5B3CB0C4">
        <w:rPr>
          <w:lang w:eastAsia="en-AU"/>
        </w:rPr>
        <w:t xml:space="preserve"> </w:t>
      </w:r>
      <w:r w:rsidR="58AC361D" w:rsidRPr="155C1719">
        <w:rPr>
          <w:lang w:eastAsia="en-AU"/>
        </w:rPr>
        <w:t>VEOHRC’s guideline on workplace sexual harassment outlines how data collection and evaluation are essential to both preventing and responding to sexual harassment.</w:t>
      </w:r>
      <w:r w:rsidR="00AF514C">
        <w:rPr>
          <w:rStyle w:val="FootnoteReference"/>
          <w:lang w:eastAsia="en-AU"/>
        </w:rPr>
        <w:footnoteReference w:id="35"/>
      </w:r>
      <w:r w:rsidR="58AC361D" w:rsidRPr="155C1719">
        <w:rPr>
          <w:lang w:eastAsia="en-AU"/>
        </w:rPr>
        <w:t xml:space="preserve"> However, barriers to reporting mean that this data is not often captured through</w:t>
      </w:r>
      <w:r w:rsidR="15A78AEF" w:rsidRPr="155C1719">
        <w:rPr>
          <w:lang w:eastAsia="en-AU"/>
        </w:rPr>
        <w:t xml:space="preserve"> formal</w:t>
      </w:r>
      <w:r w:rsidR="58AC361D" w:rsidRPr="155C1719">
        <w:rPr>
          <w:lang w:eastAsia="en-AU"/>
        </w:rPr>
        <w:t xml:space="preserve"> reporting </w:t>
      </w:r>
      <w:r w:rsidR="15A78AEF" w:rsidRPr="155C1719">
        <w:rPr>
          <w:lang w:eastAsia="en-AU"/>
        </w:rPr>
        <w:t>mechanisms</w:t>
      </w:r>
      <w:r w:rsidR="58AC361D" w:rsidRPr="155C1719">
        <w:rPr>
          <w:lang w:eastAsia="en-AU"/>
        </w:rPr>
        <w:t xml:space="preserve">. </w:t>
      </w:r>
    </w:p>
    <w:p w14:paraId="575EC8D8" w14:textId="4CC7CCCA" w:rsidR="00E0702F" w:rsidRPr="00E0702F" w:rsidRDefault="277C3C64" w:rsidP="005833B6">
      <w:pPr>
        <w:pStyle w:val="Body"/>
        <w:spacing w:before="120" w:line="259" w:lineRule="auto"/>
        <w:rPr>
          <w:szCs w:val="22"/>
          <w:lang w:eastAsia="en-AU"/>
        </w:rPr>
      </w:pPr>
      <w:r w:rsidRPr="155C1719">
        <w:rPr>
          <w:lang w:eastAsia="en-AU"/>
        </w:rPr>
        <w:t>In addition, t</w:t>
      </w:r>
      <w:r w:rsidR="37995205">
        <w:rPr>
          <w:lang w:eastAsia="en-AU"/>
        </w:rPr>
        <w:t xml:space="preserve">he </w:t>
      </w:r>
      <w:r w:rsidR="31ADE6EC">
        <w:t>Australian Human Rights Commission’s (AHRC)</w:t>
      </w:r>
      <w:r w:rsidR="37995205">
        <w:rPr>
          <w:lang w:eastAsia="en-AU"/>
        </w:rPr>
        <w:t xml:space="preserve"> most recent national survey on workplace sexual harassment found that only 18% of people who experienced sexual harassment in the last 5 years made a formal report or complaint.</w:t>
      </w:r>
      <w:r w:rsidR="00946752">
        <w:rPr>
          <w:rStyle w:val="FootnoteReference"/>
          <w:lang w:eastAsia="en-AU"/>
        </w:rPr>
        <w:footnoteReference w:id="36"/>
      </w:r>
      <w:r w:rsidR="37995205">
        <w:rPr>
          <w:lang w:eastAsia="en-AU"/>
        </w:rPr>
        <w:t xml:space="preserve"> </w:t>
      </w:r>
      <w:r w:rsidR="07C99871">
        <w:rPr>
          <w:lang w:eastAsia="en-AU"/>
        </w:rPr>
        <w:t xml:space="preserve"> V</w:t>
      </w:r>
      <w:r w:rsidR="37995205">
        <w:rPr>
          <w:lang w:eastAsia="en-AU"/>
        </w:rPr>
        <w:t xml:space="preserve">ictoria’s </w:t>
      </w:r>
      <w:hyperlink r:id="rId17" w:history="1">
        <w:r w:rsidR="37995205" w:rsidRPr="00575230">
          <w:rPr>
            <w:rStyle w:val="Hyperlink"/>
            <w:lang w:eastAsia="en-AU"/>
          </w:rPr>
          <w:t>Baseline report</w:t>
        </w:r>
      </w:hyperlink>
      <w:r w:rsidR="37995205">
        <w:rPr>
          <w:lang w:eastAsia="en-AU"/>
        </w:rPr>
        <w:t xml:space="preserve"> found that, across all organisations covered by the GE Act, only 4% of women and 3% of men who said they </w:t>
      </w:r>
      <w:r w:rsidR="37995205" w:rsidRPr="00154459">
        <w:rPr>
          <w:lang w:eastAsia="en-AU"/>
        </w:rPr>
        <w:t>had experience</w:t>
      </w:r>
      <w:r w:rsidR="3906A2E5" w:rsidRPr="155C1719">
        <w:rPr>
          <w:lang w:eastAsia="en-AU"/>
        </w:rPr>
        <w:t>d</w:t>
      </w:r>
      <w:r w:rsidR="37995205" w:rsidRPr="00154459">
        <w:rPr>
          <w:lang w:eastAsia="en-AU"/>
        </w:rPr>
        <w:t xml:space="preserve"> sexual harassment in the </w:t>
      </w:r>
      <w:r w:rsidR="37995205" w:rsidRPr="00154459">
        <w:rPr>
          <w:lang w:eastAsia="en-AU"/>
        </w:rPr>
        <w:lastRenderedPageBreak/>
        <w:t xml:space="preserve">workplace went on to make a formal </w:t>
      </w:r>
      <w:r w:rsidR="37995205" w:rsidRPr="46818B57">
        <w:rPr>
          <w:lang w:eastAsia="en-AU"/>
        </w:rPr>
        <w:t>complaint.</w:t>
      </w:r>
      <w:r w:rsidR="00946752" w:rsidRPr="46818B57">
        <w:rPr>
          <w:rStyle w:val="FootnoteReference"/>
          <w:lang w:eastAsia="en-AU"/>
        </w:rPr>
        <w:footnoteReference w:id="37"/>
      </w:r>
      <w:r w:rsidR="3E198820">
        <w:rPr>
          <w:lang w:eastAsia="en-AU"/>
        </w:rPr>
        <w:t xml:space="preserve">  </w:t>
      </w:r>
      <w:r w:rsidR="00E0702F">
        <w:rPr>
          <w:szCs w:val="22"/>
          <w:lang w:eastAsia="en-AU"/>
        </w:rPr>
        <w:t xml:space="preserve">This demonstrates that the collection of data on formal reporting alone will tell us little about the rates of sexual harassment in the workplace. To understand the state and nature of workplace sexual harassment across Australia, WGEA must collect anonymous </w:t>
      </w:r>
      <w:r w:rsidR="00084419">
        <w:rPr>
          <w:szCs w:val="22"/>
          <w:lang w:eastAsia="en-AU"/>
        </w:rPr>
        <w:t xml:space="preserve">employee </w:t>
      </w:r>
      <w:r w:rsidR="00E0702F">
        <w:rPr>
          <w:szCs w:val="22"/>
          <w:lang w:eastAsia="en-AU"/>
        </w:rPr>
        <w:t>survey data.</w:t>
      </w:r>
    </w:p>
    <w:tbl>
      <w:tblPr>
        <w:tblStyle w:val="TableGrid"/>
        <w:tblpPr w:leftFromText="181" w:rightFromText="181" w:vertAnchor="text" w:horzAnchor="margin" w:tblpY="1"/>
        <w:tblW w:w="0" w:type="auto"/>
        <w:tblLook w:val="04A0" w:firstRow="1" w:lastRow="0" w:firstColumn="1" w:lastColumn="0" w:noHBand="0" w:noVBand="1"/>
      </w:tblPr>
      <w:tblGrid>
        <w:gridCol w:w="9016"/>
      </w:tblGrid>
      <w:tr w:rsidR="00E0702F" w14:paraId="3E6DB8C3" w14:textId="77777777" w:rsidTr="00C359BF">
        <w:trPr>
          <w:cantSplit/>
        </w:trPr>
        <w:tc>
          <w:tcPr>
            <w:tcW w:w="9016" w:type="dxa"/>
            <w:tcBorders>
              <w:top w:val="nil"/>
              <w:left w:val="nil"/>
              <w:bottom w:val="nil"/>
              <w:right w:val="nil"/>
            </w:tcBorders>
            <w:shd w:val="clear" w:color="auto" w:fill="E7E6E6" w:themeFill="background2"/>
          </w:tcPr>
          <w:p w14:paraId="5CBEAD7A" w14:textId="77777777" w:rsidR="00E0702F" w:rsidRDefault="00E0702F" w:rsidP="005354FB">
            <w:pPr>
              <w:pStyle w:val="Heading3"/>
              <w:spacing w:before="120" w:after="120"/>
            </w:pPr>
            <w:r>
              <w:t>Recommendation 7</w:t>
            </w:r>
          </w:p>
          <w:p w14:paraId="1A1210BE" w14:textId="4CC80148" w:rsidR="00E0702F" w:rsidRPr="00E0702F" w:rsidRDefault="00E0702F" w:rsidP="005354FB">
            <w:pPr>
              <w:spacing w:before="120" w:after="120"/>
              <w:rPr>
                <w:sz w:val="22"/>
                <w:szCs w:val="22"/>
              </w:rPr>
            </w:pPr>
            <w:r w:rsidRPr="00E0702F">
              <w:rPr>
                <w:sz w:val="22"/>
                <w:szCs w:val="22"/>
              </w:rPr>
              <w:t xml:space="preserve">That the </w:t>
            </w:r>
            <w:r w:rsidR="00DB5020">
              <w:rPr>
                <w:sz w:val="22"/>
                <w:szCs w:val="22"/>
              </w:rPr>
              <w:t xml:space="preserve">National </w:t>
            </w:r>
            <w:r w:rsidRPr="00E0702F">
              <w:rPr>
                <w:sz w:val="22"/>
                <w:szCs w:val="22"/>
              </w:rPr>
              <w:t>Strategy:</w:t>
            </w:r>
          </w:p>
          <w:p w14:paraId="42190052" w14:textId="77777777" w:rsidR="00E0702F" w:rsidRPr="00E0702F" w:rsidRDefault="00E0702F" w:rsidP="00DE4C1F">
            <w:pPr>
              <w:pStyle w:val="ListParagraph"/>
              <w:numPr>
                <w:ilvl w:val="0"/>
                <w:numId w:val="10"/>
              </w:numPr>
              <w:spacing w:before="120" w:after="120"/>
              <w:contextualSpacing w:val="0"/>
              <w:rPr>
                <w:sz w:val="22"/>
                <w:szCs w:val="22"/>
              </w:rPr>
            </w:pPr>
            <w:r w:rsidRPr="00E0702F">
              <w:rPr>
                <w:sz w:val="22"/>
                <w:szCs w:val="22"/>
              </w:rPr>
              <w:t xml:space="preserve">Include an express commitment to further amend the </w:t>
            </w:r>
            <w:r w:rsidRPr="00E0702F">
              <w:rPr>
                <w:i/>
                <w:iCs/>
                <w:sz w:val="22"/>
                <w:szCs w:val="22"/>
              </w:rPr>
              <w:t>Workplace Gender Equality Act 2012</w:t>
            </w:r>
            <w:r w:rsidRPr="00E0702F">
              <w:rPr>
                <w:sz w:val="22"/>
                <w:szCs w:val="22"/>
              </w:rPr>
              <w:t xml:space="preserve"> (Cth)(WGE Act) to implement remaining recommendations of the WGEA Review Report (Report) and further strengthen the legislation.</w:t>
            </w:r>
          </w:p>
          <w:p w14:paraId="542E2593" w14:textId="2642BEF4" w:rsidR="00E0702F" w:rsidRPr="00E0702F" w:rsidRDefault="00E0702F" w:rsidP="00DE4C1F">
            <w:pPr>
              <w:pStyle w:val="ListParagraph"/>
              <w:numPr>
                <w:ilvl w:val="1"/>
                <w:numId w:val="10"/>
              </w:numPr>
              <w:spacing w:before="120" w:after="120"/>
              <w:contextualSpacing w:val="0"/>
              <w:rPr>
                <w:sz w:val="22"/>
                <w:szCs w:val="22"/>
              </w:rPr>
            </w:pPr>
            <w:r w:rsidRPr="00E0702F">
              <w:rPr>
                <w:sz w:val="22"/>
                <w:szCs w:val="22"/>
              </w:rPr>
              <w:t>Incorporate a set of gender pay equity principles into the WGE Act</w:t>
            </w:r>
          </w:p>
          <w:p w14:paraId="096465CD" w14:textId="77777777" w:rsidR="00E0702F" w:rsidRPr="00E0702F" w:rsidRDefault="00E0702F" w:rsidP="00DE4C1F">
            <w:pPr>
              <w:pStyle w:val="ListParagraph"/>
              <w:numPr>
                <w:ilvl w:val="1"/>
                <w:numId w:val="10"/>
              </w:numPr>
              <w:spacing w:before="120" w:after="120"/>
              <w:contextualSpacing w:val="0"/>
              <w:rPr>
                <w:sz w:val="22"/>
                <w:szCs w:val="22"/>
              </w:rPr>
            </w:pPr>
            <w:r w:rsidRPr="00E0702F">
              <w:rPr>
                <w:sz w:val="22"/>
                <w:szCs w:val="22"/>
              </w:rPr>
              <w:t xml:space="preserve">Implement recommendation 3.1(a) of the Report by amending the </w:t>
            </w:r>
            <w:r w:rsidRPr="00E0702F">
              <w:rPr>
                <w:i/>
                <w:iCs/>
                <w:sz w:val="22"/>
                <w:szCs w:val="22"/>
              </w:rPr>
              <w:t xml:space="preserve">Workplace Gender Equality (Gender Equality Standards) Instrument 2023 </w:t>
            </w:r>
            <w:r w:rsidRPr="00E0702F">
              <w:rPr>
                <w:sz w:val="22"/>
                <w:szCs w:val="22"/>
              </w:rPr>
              <w:t>to require relevant employers (not just employers with 500 or more employees) to commit to, achieve and report to WGEA on measurable genuine targets</w:t>
            </w:r>
          </w:p>
          <w:p w14:paraId="6BA22470" w14:textId="77777777" w:rsidR="00E0702F" w:rsidRPr="00E0702F" w:rsidRDefault="00E0702F" w:rsidP="00DE4C1F">
            <w:pPr>
              <w:pStyle w:val="ListParagraph"/>
              <w:numPr>
                <w:ilvl w:val="1"/>
                <w:numId w:val="10"/>
              </w:numPr>
              <w:spacing w:before="120" w:after="120"/>
              <w:contextualSpacing w:val="0"/>
              <w:rPr>
                <w:sz w:val="22"/>
                <w:szCs w:val="22"/>
              </w:rPr>
            </w:pPr>
            <w:r w:rsidRPr="00E0702F">
              <w:rPr>
                <w:sz w:val="22"/>
                <w:szCs w:val="22"/>
              </w:rPr>
              <w:t>Strengthen the compliance and enforcement mechanisms in the WGE Act by:</w:t>
            </w:r>
          </w:p>
          <w:p w14:paraId="465CDB04" w14:textId="77777777" w:rsidR="00E0702F" w:rsidRPr="00E0702F" w:rsidRDefault="00E0702F" w:rsidP="00DE4C1F">
            <w:pPr>
              <w:pStyle w:val="ListParagraph"/>
              <w:numPr>
                <w:ilvl w:val="2"/>
                <w:numId w:val="10"/>
              </w:numPr>
              <w:spacing w:before="120" w:after="120"/>
              <w:contextualSpacing w:val="0"/>
              <w:rPr>
                <w:sz w:val="22"/>
                <w:szCs w:val="22"/>
              </w:rPr>
            </w:pPr>
            <w:r w:rsidRPr="00E0702F">
              <w:rPr>
                <w:sz w:val="22"/>
                <w:szCs w:val="22"/>
              </w:rPr>
              <w:t>mirroring the compliance mechanisms under Victoria’s GE Act; and</w:t>
            </w:r>
          </w:p>
          <w:p w14:paraId="734B0BE1" w14:textId="77777777" w:rsidR="00E0702F" w:rsidRPr="00E0702F" w:rsidRDefault="00E0702F" w:rsidP="00DE4C1F">
            <w:pPr>
              <w:pStyle w:val="ListParagraph"/>
              <w:numPr>
                <w:ilvl w:val="2"/>
                <w:numId w:val="10"/>
              </w:numPr>
              <w:spacing w:before="120" w:after="120"/>
              <w:contextualSpacing w:val="0"/>
              <w:rPr>
                <w:sz w:val="22"/>
                <w:szCs w:val="22"/>
              </w:rPr>
            </w:pPr>
            <w:r w:rsidRPr="00E0702F">
              <w:rPr>
                <w:sz w:val="22"/>
                <w:szCs w:val="22"/>
              </w:rPr>
              <w:t xml:space="preserve">implement recommendation 8 of the Report </w:t>
            </w:r>
          </w:p>
          <w:p w14:paraId="0C94AAEB" w14:textId="69A44BFD" w:rsidR="00E0702F" w:rsidRPr="00E0702F" w:rsidRDefault="00E0702F" w:rsidP="00DE4C1F">
            <w:pPr>
              <w:pStyle w:val="ListParagraph"/>
              <w:numPr>
                <w:ilvl w:val="1"/>
                <w:numId w:val="10"/>
              </w:numPr>
              <w:spacing w:before="120" w:after="120"/>
              <w:contextualSpacing w:val="0"/>
              <w:rPr>
                <w:sz w:val="22"/>
                <w:szCs w:val="22"/>
              </w:rPr>
            </w:pPr>
            <w:r w:rsidRPr="00E0702F">
              <w:rPr>
                <w:sz w:val="22"/>
                <w:szCs w:val="22"/>
              </w:rPr>
              <w:t xml:space="preserve">Prescribe the collection of data in relation to the incidence of sex-based harassment and discrimination, provided via anonymous </w:t>
            </w:r>
            <w:r w:rsidR="00032FA9">
              <w:rPr>
                <w:sz w:val="22"/>
                <w:szCs w:val="22"/>
              </w:rPr>
              <w:t>employee</w:t>
            </w:r>
            <w:r w:rsidR="00032FA9" w:rsidRPr="00E0702F">
              <w:rPr>
                <w:sz w:val="22"/>
                <w:szCs w:val="22"/>
              </w:rPr>
              <w:t xml:space="preserve"> </w:t>
            </w:r>
            <w:r w:rsidRPr="00E0702F">
              <w:rPr>
                <w:sz w:val="22"/>
                <w:szCs w:val="22"/>
              </w:rPr>
              <w:t>survey data</w:t>
            </w:r>
          </w:p>
        </w:tc>
      </w:tr>
    </w:tbl>
    <w:p w14:paraId="18A6386B" w14:textId="44FDFCF0" w:rsidR="009C2F69" w:rsidRPr="006F0D99" w:rsidRDefault="003F1C9B" w:rsidP="005354FB">
      <w:pPr>
        <w:pStyle w:val="ListParagraph"/>
        <w:keepNext/>
        <w:keepLines/>
        <w:numPr>
          <w:ilvl w:val="1"/>
          <w:numId w:val="4"/>
        </w:numPr>
        <w:tabs>
          <w:tab w:val="left" w:pos="567"/>
        </w:tabs>
        <w:spacing w:before="120" w:after="120"/>
        <w:contextualSpacing w:val="0"/>
        <w:outlineLvl w:val="1"/>
        <w:rPr>
          <w:rFonts w:eastAsiaTheme="majorEastAsia" w:cstheme="majorBidi"/>
          <w:color w:val="5C308D"/>
          <w:sz w:val="36"/>
          <w:szCs w:val="26"/>
        </w:rPr>
      </w:pPr>
      <w:r w:rsidRPr="0000399F">
        <w:rPr>
          <w:rFonts w:eastAsiaTheme="majorEastAsia" w:cstheme="majorBidi"/>
          <w:color w:val="5C308D"/>
          <w:sz w:val="36"/>
          <w:szCs w:val="26"/>
        </w:rPr>
        <w:t>Strengthen gender equality rights in the workplace</w:t>
      </w:r>
      <w:r w:rsidRPr="006F0D99">
        <w:rPr>
          <w:rFonts w:eastAsiaTheme="majorEastAsia" w:cstheme="majorBidi"/>
          <w:color w:val="5C308D"/>
          <w:sz w:val="36"/>
          <w:szCs w:val="26"/>
        </w:rPr>
        <w:t xml:space="preserve"> </w:t>
      </w:r>
    </w:p>
    <w:p w14:paraId="467B9E12" w14:textId="6A854D3A" w:rsidR="00D732CE" w:rsidRPr="006F0D99" w:rsidRDefault="00AF2AC4" w:rsidP="005354FB">
      <w:pPr>
        <w:pStyle w:val="Heading3"/>
        <w:spacing w:before="120" w:after="120"/>
        <w:rPr>
          <w:lang w:eastAsia="en-AU"/>
        </w:rPr>
      </w:pPr>
      <w:r w:rsidRPr="006F0D99">
        <w:rPr>
          <w:lang w:eastAsia="en-AU"/>
        </w:rPr>
        <w:t>Expand leave</w:t>
      </w:r>
      <w:r w:rsidR="0002004C" w:rsidRPr="006F0D99">
        <w:rPr>
          <w:lang w:eastAsia="en-AU"/>
        </w:rPr>
        <w:t xml:space="preserve"> </w:t>
      </w:r>
      <w:r w:rsidRPr="006F0D99">
        <w:rPr>
          <w:lang w:eastAsia="en-AU"/>
        </w:rPr>
        <w:t>entitlements under the National Employment Standards</w:t>
      </w:r>
    </w:p>
    <w:p w14:paraId="5085479B" w14:textId="0C0C5007" w:rsidR="00501039" w:rsidRPr="00627A90" w:rsidRDefault="00627A90" w:rsidP="005354FB">
      <w:pPr>
        <w:pStyle w:val="Heading4"/>
        <w:spacing w:before="120" w:after="120"/>
      </w:pPr>
      <w:r w:rsidRPr="00627A90">
        <w:t>Uniform entitlement to p</w:t>
      </w:r>
      <w:r w:rsidR="000B5DBE" w:rsidRPr="00627A90">
        <w:t>aid menstrual</w:t>
      </w:r>
      <w:r w:rsidR="00393593" w:rsidRPr="00627A90">
        <w:t xml:space="preserve"> and</w:t>
      </w:r>
      <w:r w:rsidR="000B5DBE" w:rsidRPr="00627A90">
        <w:t xml:space="preserve"> menopause</w:t>
      </w:r>
      <w:r w:rsidR="00E57E8C" w:rsidRPr="00627A90">
        <w:t xml:space="preserve"> </w:t>
      </w:r>
      <w:r w:rsidR="000B5DBE" w:rsidRPr="00627A90">
        <w:t xml:space="preserve">leave </w:t>
      </w:r>
    </w:p>
    <w:p w14:paraId="7A874FD5" w14:textId="3EA7372A" w:rsidR="003A7122" w:rsidRDefault="250E690D" w:rsidP="005354FB">
      <w:pPr>
        <w:spacing w:before="120" w:after="120"/>
      </w:pPr>
      <w:r w:rsidRPr="00627A90">
        <w:t xml:space="preserve">At present, Australian </w:t>
      </w:r>
      <w:r w:rsidR="008AADF1">
        <w:t>employees</w:t>
      </w:r>
      <w:r w:rsidRPr="00627A90">
        <w:t xml:space="preserve"> experiencing menstrual or menopause symptoms are required to utilise their paid personal/carer’s leave entitlement under the FW Act</w:t>
      </w:r>
      <w:r>
        <w:t>.</w:t>
      </w:r>
      <w:r w:rsidR="003A7122">
        <w:rPr>
          <w:rStyle w:val="FootnoteReference"/>
        </w:rPr>
        <w:footnoteReference w:id="38"/>
      </w:r>
      <w:r>
        <w:t xml:space="preserve"> This entitlement is inappropriate for these purposes for several key reasons:</w:t>
      </w:r>
    </w:p>
    <w:p w14:paraId="5BEED252" w14:textId="2FFC23EB" w:rsidR="0073266F" w:rsidRDefault="250E690D" w:rsidP="005354FB">
      <w:pPr>
        <w:pStyle w:val="ListParagraph"/>
        <w:numPr>
          <w:ilvl w:val="0"/>
          <w:numId w:val="12"/>
        </w:numPr>
        <w:spacing w:before="120" w:after="120"/>
        <w:contextualSpacing w:val="0"/>
      </w:pPr>
      <w:r>
        <w:t xml:space="preserve">the entitlement </w:t>
      </w:r>
      <w:r w:rsidRPr="00627A90">
        <w:t>require</w:t>
      </w:r>
      <w:r>
        <w:t>s</w:t>
      </w:r>
      <w:r w:rsidRPr="00627A90">
        <w:t xml:space="preserve"> ‘evidence to satisfy a reasonable person’</w:t>
      </w:r>
      <w:r w:rsidR="2FDBC1F7">
        <w:t xml:space="preserve"> (i.e.</w:t>
      </w:r>
      <w:r w:rsidR="00121F50">
        <w:t>,</w:t>
      </w:r>
      <w:r w:rsidR="2FDBC1F7">
        <w:t xml:space="preserve"> </w:t>
      </w:r>
      <w:r>
        <w:t>medical certificate</w:t>
      </w:r>
      <w:r w:rsidR="2FDBC1F7">
        <w:t>)</w:t>
      </w:r>
      <w:r w:rsidR="003A7122" w:rsidRPr="00627A90">
        <w:rPr>
          <w:rStyle w:val="FootnoteReference"/>
        </w:rPr>
        <w:footnoteReference w:id="39"/>
      </w:r>
      <w:r>
        <w:t xml:space="preserve"> </w:t>
      </w:r>
      <w:r w:rsidR="2FDBC1F7">
        <w:t>despite the fact that for</w:t>
      </w:r>
      <w:r>
        <w:t xml:space="preserve"> many </w:t>
      </w:r>
      <w:r w:rsidR="72587531">
        <w:t>people</w:t>
      </w:r>
      <w:r>
        <w:t xml:space="preserve">, treating menstrual or </w:t>
      </w:r>
      <w:r>
        <w:lastRenderedPageBreak/>
        <w:t xml:space="preserve">menopausal symptoms does not require </w:t>
      </w:r>
      <w:r w:rsidR="5B950202">
        <w:t xml:space="preserve">medical </w:t>
      </w:r>
      <w:r>
        <w:t>intervention on an ongoing and regular basis</w:t>
      </w:r>
      <w:r w:rsidR="2FDBC1F7">
        <w:t>;</w:t>
      </w:r>
    </w:p>
    <w:p w14:paraId="3A04B198" w14:textId="435CF4E0" w:rsidR="003A7122" w:rsidRDefault="003A7122" w:rsidP="005354FB">
      <w:pPr>
        <w:pStyle w:val="ListParagraph"/>
        <w:numPr>
          <w:ilvl w:val="0"/>
          <w:numId w:val="12"/>
        </w:numPr>
        <w:spacing w:before="120" w:after="120"/>
        <w:contextualSpacing w:val="0"/>
      </w:pPr>
      <w:r>
        <w:t xml:space="preserve">10 days of personal/carer’s leave </w:t>
      </w:r>
      <w:r w:rsidR="003F5167">
        <w:t xml:space="preserve">is </w:t>
      </w:r>
      <w:r w:rsidR="00CD1965">
        <w:t>insufficient</w:t>
      </w:r>
      <w:r>
        <w:t xml:space="preserve"> to account for the particular health concerns faced by women </w:t>
      </w:r>
      <w:r w:rsidR="006A0848">
        <w:t>and those who menstruate but do not identify as women</w:t>
      </w:r>
      <w:r>
        <w:t xml:space="preserve"> that are not faced by </w:t>
      </w:r>
      <w:r w:rsidR="006A0848">
        <w:t>cis-</w:t>
      </w:r>
      <w:r>
        <w:t xml:space="preserve">men (who receive the same paid leave entitlement but </w:t>
      </w:r>
      <w:r w:rsidR="00CB33CD">
        <w:t xml:space="preserve">do not </w:t>
      </w:r>
      <w:r>
        <w:t>experience these issues)</w:t>
      </w:r>
      <w:r w:rsidR="003F5167">
        <w:t>; and</w:t>
      </w:r>
    </w:p>
    <w:p w14:paraId="41CF6353" w14:textId="76FACA28" w:rsidR="003F5167" w:rsidRDefault="7C7DC3E6" w:rsidP="005354FB">
      <w:pPr>
        <w:pStyle w:val="ListParagraph"/>
        <w:numPr>
          <w:ilvl w:val="0"/>
          <w:numId w:val="12"/>
        </w:numPr>
        <w:spacing w:before="120" w:after="120"/>
        <w:contextualSpacing w:val="0"/>
      </w:pPr>
      <w:r>
        <w:t xml:space="preserve">for many </w:t>
      </w:r>
      <w:r w:rsidR="00137749">
        <w:t>women</w:t>
      </w:r>
      <w:r>
        <w:t xml:space="preserve">, </w:t>
      </w:r>
      <w:r w:rsidR="250E690D">
        <w:t>this entitlement is often depleted caring for sick children, elderly parents, and other dependants.</w:t>
      </w:r>
      <w:r w:rsidR="003A7122">
        <w:rPr>
          <w:rStyle w:val="FootnoteReference"/>
        </w:rPr>
        <w:footnoteReference w:id="40"/>
      </w:r>
    </w:p>
    <w:p w14:paraId="55BB4585" w14:textId="1928D969" w:rsidR="0091190C" w:rsidRPr="00CB33CD" w:rsidRDefault="0047451B" w:rsidP="005354FB">
      <w:pPr>
        <w:spacing w:before="120" w:after="120"/>
      </w:pPr>
      <w:r>
        <w:t>Employees’ menstrual</w:t>
      </w:r>
      <w:r w:rsidR="250E690D">
        <w:t xml:space="preserve"> </w:t>
      </w:r>
      <w:r>
        <w:t xml:space="preserve">and menopause </w:t>
      </w:r>
      <w:r w:rsidR="250E690D">
        <w:t xml:space="preserve">symptoms </w:t>
      </w:r>
      <w:r w:rsidR="008AADF1">
        <w:t>can be</w:t>
      </w:r>
      <w:r w:rsidR="250E690D">
        <w:t xml:space="preserve"> exacerbated by restricted access to toilets, inability to control ventilation and air conditioning, restrictive workwear, and uncomfortable workstations. </w:t>
      </w:r>
      <w:r w:rsidR="202CAB15">
        <w:t>Recent research has revealed that</w:t>
      </w:r>
      <w:r w:rsidR="63ED94F0">
        <w:t xml:space="preserve"> </w:t>
      </w:r>
      <w:r w:rsidR="202CAB15" w:rsidRPr="00CB33CD">
        <w:t>75</w:t>
      </w:r>
      <w:r w:rsidR="5F1DD0EB" w:rsidRPr="00CB33CD">
        <w:t>%</w:t>
      </w:r>
      <w:r w:rsidR="202CAB15" w:rsidRPr="00CB33CD">
        <w:t xml:space="preserve"> of women suffer from menstrual pain, and of those, 73</w:t>
      </w:r>
      <w:r w:rsidR="5F1DD0EB" w:rsidRPr="00CB33CD">
        <w:t>%</w:t>
      </w:r>
      <w:r w:rsidR="202CAB15" w:rsidRPr="00CB33CD">
        <w:t xml:space="preserve"> reported that the pain impacted their ability to work</w:t>
      </w:r>
      <w:r w:rsidR="63ED94F0" w:rsidRPr="00CB33CD">
        <w:t>,</w:t>
      </w:r>
      <w:r w:rsidR="0091190C" w:rsidRPr="00CB33CD">
        <w:rPr>
          <w:rStyle w:val="FootnoteReference"/>
        </w:rPr>
        <w:footnoteReference w:id="41"/>
      </w:r>
      <w:r w:rsidR="79331153" w:rsidRPr="00CB33CD">
        <w:t xml:space="preserve"> </w:t>
      </w:r>
      <w:r w:rsidR="202CAB15" w:rsidRPr="00CB33CD">
        <w:t>and</w:t>
      </w:r>
      <w:r w:rsidR="63ED94F0" w:rsidRPr="00CB33CD">
        <w:t xml:space="preserve"> </w:t>
      </w:r>
      <w:r w:rsidR="202CAB15" w:rsidRPr="00CB33CD">
        <w:t>83</w:t>
      </w:r>
      <w:r w:rsidR="5F1DD0EB" w:rsidRPr="00CB33CD">
        <w:t>%</w:t>
      </w:r>
      <w:r w:rsidR="202CAB15" w:rsidRPr="00CB33CD">
        <w:t xml:space="preserve"> of </w:t>
      </w:r>
      <w:r w:rsidR="68D76820" w:rsidRPr="00CB33CD">
        <w:t>women who</w:t>
      </w:r>
      <w:r w:rsidR="202CAB15" w:rsidRPr="00CB33CD">
        <w:t xml:space="preserve"> had experienced menopause </w:t>
      </w:r>
      <w:r w:rsidR="6D222895">
        <w:t>reported that it</w:t>
      </w:r>
      <w:r w:rsidR="202CAB15" w:rsidRPr="00CB33CD">
        <w:t xml:space="preserve"> negatively affected their work life, with one in two women consider</w:t>
      </w:r>
      <w:r w:rsidR="6D222895">
        <w:t>ing</w:t>
      </w:r>
      <w:r w:rsidR="202CAB15" w:rsidRPr="00CB33CD">
        <w:t xml:space="preserve"> retirement or extended leave as a result.</w:t>
      </w:r>
      <w:r w:rsidR="0091190C" w:rsidRPr="00CB33CD">
        <w:rPr>
          <w:rStyle w:val="FootnoteReference"/>
        </w:rPr>
        <w:footnoteReference w:id="42"/>
      </w:r>
      <w:r w:rsidR="202CAB15" w:rsidRPr="00CB33CD">
        <w:t xml:space="preserve"> </w:t>
      </w:r>
      <w:r w:rsidR="620C15CC">
        <w:t xml:space="preserve">Research </w:t>
      </w:r>
      <w:r w:rsidR="4DB034B0">
        <w:t xml:space="preserve">also </w:t>
      </w:r>
      <w:r w:rsidR="620C15CC">
        <w:t xml:space="preserve">shows that women retire at an average of 52, with menopause affecting women on average from the age of 51 for 5 – 10 years. </w:t>
      </w:r>
      <w:r w:rsidR="1DA98B30">
        <w:t xml:space="preserve">This </w:t>
      </w:r>
      <w:r w:rsidR="42EC34E3">
        <w:t>suggests</w:t>
      </w:r>
      <w:r w:rsidR="1DA98B30">
        <w:t xml:space="preserve"> that </w:t>
      </w:r>
      <w:r w:rsidR="49B062D2">
        <w:t xml:space="preserve">menopause </w:t>
      </w:r>
      <w:r>
        <w:t>may be</w:t>
      </w:r>
      <w:r w:rsidR="73E06B53">
        <w:t xml:space="preserve"> a contributing </w:t>
      </w:r>
      <w:r w:rsidR="2342DE17">
        <w:t>factor when it comes to women’s retirement age</w:t>
      </w:r>
      <w:r w:rsidR="6BA84C47">
        <w:t xml:space="preserve"> </w:t>
      </w:r>
      <w:r w:rsidR="4873E253">
        <w:t>– which is 7 year</w:t>
      </w:r>
      <w:r w:rsidR="7197CAB1">
        <w:t>s younger than their male colleag</w:t>
      </w:r>
      <w:r w:rsidR="5E26A758">
        <w:t>ues. This</w:t>
      </w:r>
      <w:r w:rsidR="2347DC08">
        <w:t>, in turn,</w:t>
      </w:r>
      <w:r w:rsidR="5E26A758">
        <w:t xml:space="preserve"> </w:t>
      </w:r>
      <w:r w:rsidR="0ABBE82A">
        <w:t>has a significant impact on women’</w:t>
      </w:r>
      <w:r w:rsidR="2940A56B">
        <w:t>s super</w:t>
      </w:r>
      <w:r w:rsidR="59AC4598">
        <w:t>annuation</w:t>
      </w:r>
      <w:r w:rsidR="2940A56B">
        <w:t xml:space="preserve"> and retirement incomes (</w:t>
      </w:r>
      <w:r w:rsidR="6260C017">
        <w:t>see below</w:t>
      </w:r>
      <w:r w:rsidR="2347DC08">
        <w:t xml:space="preserve"> discussion in relation to Recommendation 10).</w:t>
      </w:r>
    </w:p>
    <w:p w14:paraId="2DB2BA27" w14:textId="7337F820" w:rsidR="00062BE5" w:rsidRDefault="35BCB659" w:rsidP="005354FB">
      <w:pPr>
        <w:spacing w:before="120" w:after="120"/>
      </w:pPr>
      <w:r>
        <w:t xml:space="preserve">The provision of </w:t>
      </w:r>
      <w:r w:rsidR="0D18908C">
        <w:t>uniform entitlements to paid</w:t>
      </w:r>
      <w:r w:rsidR="3BD69F78">
        <w:t xml:space="preserve"> </w:t>
      </w:r>
      <w:r w:rsidR="6D51B23E">
        <w:t>menstruation and menopause leave</w:t>
      </w:r>
      <w:r>
        <w:t xml:space="preserve"> is not novel – </w:t>
      </w:r>
      <w:r w:rsidR="23453606">
        <w:t xml:space="preserve">at least </w:t>
      </w:r>
      <w:r>
        <w:t>1</w:t>
      </w:r>
      <w:r w:rsidR="23453606">
        <w:t>8</w:t>
      </w:r>
      <w:r>
        <w:t xml:space="preserve"> countries</w:t>
      </w:r>
      <w:r w:rsidR="32BA5D2C">
        <w:t xml:space="preserve"> have </w:t>
      </w:r>
      <w:r w:rsidR="05A69595">
        <w:t xml:space="preserve">already </w:t>
      </w:r>
      <w:r>
        <w:t>implemented or are considering</w:t>
      </w:r>
      <w:r w:rsidR="05A69595">
        <w:t xml:space="preserve"> implementing</w:t>
      </w:r>
      <w:r>
        <w:t xml:space="preserve"> </w:t>
      </w:r>
      <w:r w:rsidR="50E0E127">
        <w:t>menstrual leave</w:t>
      </w:r>
      <w:r w:rsidR="3523C732">
        <w:t xml:space="preserve"> </w:t>
      </w:r>
      <w:r w:rsidR="32BA5D2C">
        <w:t>policies</w:t>
      </w:r>
      <w:r w:rsidR="5618E4E9">
        <w:t>.</w:t>
      </w:r>
      <w:r w:rsidR="00310814">
        <w:rPr>
          <w:rStyle w:val="FootnoteReference"/>
        </w:rPr>
        <w:footnoteReference w:id="43"/>
      </w:r>
      <w:r w:rsidR="5618E4E9">
        <w:t xml:space="preserve"> A number of </w:t>
      </w:r>
      <w:r w:rsidR="0B4BD48A">
        <w:t>organisations</w:t>
      </w:r>
      <w:r w:rsidR="5618E4E9">
        <w:t xml:space="preserve"> in Australia have also adopted </w:t>
      </w:r>
      <w:r w:rsidR="269E84EF">
        <w:t>such</w:t>
      </w:r>
      <w:r w:rsidR="5618E4E9">
        <w:t xml:space="preserve"> policies, including</w:t>
      </w:r>
      <w:r w:rsidR="0B4BD48A">
        <w:t xml:space="preserve"> Victori</w:t>
      </w:r>
      <w:r w:rsidR="1DECDD0B">
        <w:t>an Women’s Trust,</w:t>
      </w:r>
      <w:r w:rsidR="00535595">
        <w:rPr>
          <w:rStyle w:val="FootnoteReference"/>
        </w:rPr>
        <w:footnoteReference w:id="44"/>
      </w:r>
      <w:r w:rsidR="32BA5D2C">
        <w:t xml:space="preserve"> Future Super</w:t>
      </w:r>
      <w:r w:rsidR="63ED94F0">
        <w:t>, and</w:t>
      </w:r>
      <w:r w:rsidR="57583F4F">
        <w:t xml:space="preserve"> </w:t>
      </w:r>
      <w:proofErr w:type="spellStart"/>
      <w:r w:rsidR="16E9035E">
        <w:t>ModiBodi</w:t>
      </w:r>
      <w:proofErr w:type="spellEnd"/>
      <w:r w:rsidR="25939EA0">
        <w:t>.</w:t>
      </w:r>
      <w:r w:rsidR="32BA5D2C">
        <w:t xml:space="preserve"> </w:t>
      </w:r>
      <w:r w:rsidR="3F1587AE">
        <w:t xml:space="preserve">Anecdotal evidence from </w:t>
      </w:r>
      <w:r w:rsidR="3D4EBF01">
        <w:t xml:space="preserve">these organisations demonstrates </w:t>
      </w:r>
      <w:r w:rsidR="007D2BB7">
        <w:t>benefits</w:t>
      </w:r>
      <w:r w:rsidR="00564D91">
        <w:t>, including</w:t>
      </w:r>
      <w:r w:rsidR="60642469">
        <w:t>:</w:t>
      </w:r>
    </w:p>
    <w:p w14:paraId="3770AF21" w14:textId="2679F220" w:rsidR="000530DA" w:rsidRDefault="69F279B5" w:rsidP="005354FB">
      <w:pPr>
        <w:pStyle w:val="ListParagraph"/>
        <w:numPr>
          <w:ilvl w:val="0"/>
          <w:numId w:val="11"/>
        </w:numPr>
        <w:spacing w:before="120" w:after="120"/>
        <w:contextualSpacing w:val="0"/>
      </w:pPr>
      <w:r>
        <w:t>increasing workplace productivity</w:t>
      </w:r>
      <w:r w:rsidR="08D0D4A4">
        <w:t xml:space="preserve"> and staff </w:t>
      </w:r>
      <w:r w:rsidR="69F82C68">
        <w:t>acquisition and</w:t>
      </w:r>
      <w:r w:rsidR="08D0D4A4">
        <w:t xml:space="preserve"> retention</w:t>
      </w:r>
      <w:r w:rsidR="0A222B4A">
        <w:t>;</w:t>
      </w:r>
      <w:r w:rsidR="007C35D9">
        <w:rPr>
          <w:rStyle w:val="FootnoteReference"/>
        </w:rPr>
        <w:footnoteReference w:id="45"/>
      </w:r>
    </w:p>
    <w:p w14:paraId="42BD2D46" w14:textId="0329AD3F" w:rsidR="00014779" w:rsidRDefault="69F82C68" w:rsidP="005354FB">
      <w:pPr>
        <w:pStyle w:val="ListParagraph"/>
        <w:numPr>
          <w:ilvl w:val="0"/>
          <w:numId w:val="11"/>
        </w:numPr>
        <w:spacing w:before="120" w:after="120"/>
        <w:contextualSpacing w:val="0"/>
      </w:pPr>
      <w:r>
        <w:lastRenderedPageBreak/>
        <w:t>supporting</w:t>
      </w:r>
      <w:r w:rsidR="12262A26">
        <w:t xml:space="preserve"> </w:t>
      </w:r>
      <w:r>
        <w:t>the de-stigmatisation of these issues</w:t>
      </w:r>
      <w:r w:rsidR="12262A26">
        <w:t xml:space="preserve"> </w:t>
      </w:r>
      <w:r w:rsidR="66015041">
        <w:t>by opening up the</w:t>
      </w:r>
      <w:r w:rsidR="5C9A86B9">
        <w:t xml:space="preserve"> conversations in the office</w:t>
      </w:r>
      <w:r w:rsidR="0EF2E33F">
        <w:t xml:space="preserve"> </w:t>
      </w:r>
      <w:r w:rsidR="66015041">
        <w:t>with</w:t>
      </w:r>
      <w:r w:rsidR="0EF2E33F">
        <w:t xml:space="preserve"> the introduction of menstruation and menopause leave policies</w:t>
      </w:r>
      <w:r w:rsidR="51B51A9E">
        <w:t>;</w:t>
      </w:r>
      <w:r w:rsidR="00C21637">
        <w:rPr>
          <w:rStyle w:val="FootnoteReference"/>
        </w:rPr>
        <w:footnoteReference w:id="46"/>
      </w:r>
    </w:p>
    <w:p w14:paraId="0734CFF7" w14:textId="4FA63726" w:rsidR="00002828" w:rsidRDefault="50D919D8" w:rsidP="005354FB">
      <w:pPr>
        <w:pStyle w:val="ListParagraph"/>
        <w:numPr>
          <w:ilvl w:val="0"/>
          <w:numId w:val="11"/>
        </w:numPr>
        <w:spacing w:before="120" w:after="120"/>
        <w:contextualSpacing w:val="0"/>
      </w:pPr>
      <w:r>
        <w:t xml:space="preserve">redesigning the </w:t>
      </w:r>
      <w:r w:rsidR="533D1E7B">
        <w:t xml:space="preserve">workplace infrastructure </w:t>
      </w:r>
      <w:r>
        <w:t>to</w:t>
      </w:r>
      <w:r w:rsidR="38BBD85D">
        <w:t xml:space="preserve"> ensure it</w:t>
      </w:r>
      <w:r>
        <w:t xml:space="preserve"> suit</w:t>
      </w:r>
      <w:r w:rsidR="38BBD85D">
        <w:t>s</w:t>
      </w:r>
      <w:r>
        <w:t xml:space="preserve"> all employees, not just the </w:t>
      </w:r>
      <w:r w:rsidR="3DCBEAFD">
        <w:t xml:space="preserve">ideal worker </w:t>
      </w:r>
      <w:r w:rsidR="2E30DE97">
        <w:t>(i.e.</w:t>
      </w:r>
      <w:r w:rsidR="002D0898">
        <w:t>,</w:t>
      </w:r>
      <w:r w:rsidR="2E30DE97">
        <w:t xml:space="preserve"> the </w:t>
      </w:r>
      <w:r w:rsidR="6C1A80C7">
        <w:t xml:space="preserve">ideal male </w:t>
      </w:r>
      <w:r w:rsidR="2E30DE97">
        <w:t>breadwinner</w:t>
      </w:r>
      <w:r w:rsidR="2D00C8A8">
        <w:t xml:space="preserve"> who has no reproductive health obligations or issues</w:t>
      </w:r>
      <w:r w:rsidR="2E30DE97">
        <w:t>).</w:t>
      </w:r>
      <w:r w:rsidR="00A82E2A">
        <w:rPr>
          <w:rStyle w:val="FootnoteReference"/>
        </w:rPr>
        <w:footnoteReference w:id="47"/>
      </w:r>
      <w:r w:rsidR="3EC6DFC6">
        <w:t xml:space="preserve"> </w:t>
      </w:r>
    </w:p>
    <w:p w14:paraId="4EC58576" w14:textId="14F6B761" w:rsidR="00283667" w:rsidRPr="00283667" w:rsidRDefault="00B33978" w:rsidP="005354FB">
      <w:pPr>
        <w:spacing w:before="120" w:after="120"/>
      </w:pPr>
      <w:r>
        <w:t>I recommend</w:t>
      </w:r>
      <w:r w:rsidR="00283667">
        <w:t xml:space="preserve"> that the Australian </w:t>
      </w:r>
      <w:r w:rsidR="00D17BF7">
        <w:t>G</w:t>
      </w:r>
      <w:r w:rsidR="00283667">
        <w:t xml:space="preserve">overnment </w:t>
      </w:r>
      <w:r w:rsidR="00700AF6">
        <w:t>introduce paid menstruation and menopause leave</w:t>
      </w:r>
      <w:r w:rsidR="008F7943">
        <w:t xml:space="preserve"> into the FW Act.</w:t>
      </w:r>
      <w:r w:rsidR="00D76792">
        <w:t xml:space="preserve"> </w:t>
      </w:r>
    </w:p>
    <w:p w14:paraId="55E5A4C7" w14:textId="628FF1D7" w:rsidR="009C3812" w:rsidRDefault="00297DA8" w:rsidP="005354FB">
      <w:pPr>
        <w:pStyle w:val="Heading4"/>
        <w:spacing w:before="120" w:after="120"/>
      </w:pPr>
      <w:r>
        <w:t>Uniform entitlement to p</w:t>
      </w:r>
      <w:r w:rsidR="00F178F2" w:rsidRPr="004B4DAB">
        <w:t xml:space="preserve">aid </w:t>
      </w:r>
      <w:r w:rsidR="00F178F2" w:rsidRPr="000B5DBE">
        <w:t>gender affirmation leave</w:t>
      </w:r>
    </w:p>
    <w:p w14:paraId="5591DD85" w14:textId="57E5BB02" w:rsidR="006620B4" w:rsidRDefault="1AF5D784" w:rsidP="005354FB">
      <w:pPr>
        <w:spacing w:before="120" w:after="120"/>
      </w:pPr>
      <w:r>
        <w:t>Transgender people going through the gender affirmation process face a significant amount of legal, medical</w:t>
      </w:r>
      <w:r w:rsidR="2347DC08">
        <w:t>,</w:t>
      </w:r>
      <w:r>
        <w:t xml:space="preserve"> and administrative hurdles – many of which require time off work to attend appointments and undertake procedures. </w:t>
      </w:r>
      <w:r w:rsidR="003D3B19">
        <w:t>Considering</w:t>
      </w:r>
      <w:r>
        <w:t xml:space="preserve"> </w:t>
      </w:r>
      <w:r w:rsidR="1802F59B">
        <w:t xml:space="preserve">the </w:t>
      </w:r>
      <w:r w:rsidR="720B53BB">
        <w:t xml:space="preserve">existing </w:t>
      </w:r>
      <w:r w:rsidR="1802F59B">
        <w:t xml:space="preserve">challenges faced by transgender people in securing </w:t>
      </w:r>
      <w:r w:rsidR="148C9BA0">
        <w:t>employment</w:t>
      </w:r>
      <w:r w:rsidR="0729C3C7">
        <w:t xml:space="preserve"> and feeling safe and supported in their workplaces</w:t>
      </w:r>
      <w:r w:rsidR="148C9BA0">
        <w:t>,</w:t>
      </w:r>
      <w:r w:rsidR="00874A22">
        <w:rPr>
          <w:rStyle w:val="FootnoteReference"/>
        </w:rPr>
        <w:footnoteReference w:id="48"/>
      </w:r>
      <w:r w:rsidR="148C9BA0">
        <w:t xml:space="preserve"> </w:t>
      </w:r>
      <w:r w:rsidR="7CA45927">
        <w:t xml:space="preserve">gender affirmation leave </w:t>
      </w:r>
      <w:r w:rsidR="4DBB6F3C">
        <w:t xml:space="preserve">is a critical mechanism for improving workforce participation and </w:t>
      </w:r>
      <w:r w:rsidR="711BA303">
        <w:t>workplace culture.</w:t>
      </w:r>
    </w:p>
    <w:p w14:paraId="2863CD27" w14:textId="1CA90967" w:rsidR="001A55CB" w:rsidRDefault="5AAEC753" w:rsidP="005354FB">
      <w:pPr>
        <w:spacing w:before="120" w:after="120"/>
      </w:pPr>
      <w:r>
        <w:t xml:space="preserve">A number of private sector employers in Australia have already adopted gender affirmation leave to support </w:t>
      </w:r>
      <w:r w:rsidR="389308B8">
        <w:t>their transgender employees.</w:t>
      </w:r>
      <w:r w:rsidR="00A301C4">
        <w:rPr>
          <w:rStyle w:val="FootnoteReference"/>
        </w:rPr>
        <w:footnoteReference w:id="49"/>
      </w:r>
      <w:r w:rsidR="389308B8">
        <w:t xml:space="preserve"> For example, Telstra provides its employees wit</w:t>
      </w:r>
      <w:r w:rsidR="4D6D2928">
        <w:t>h</w:t>
      </w:r>
      <w:r w:rsidR="389308B8">
        <w:t xml:space="preserve"> </w:t>
      </w:r>
      <w:r w:rsidR="4D6D2928">
        <w:t>8 weeks of paid gender affirmation leave</w:t>
      </w:r>
      <w:r w:rsidR="232105B8">
        <w:t xml:space="preserve"> and</w:t>
      </w:r>
      <w:r w:rsidR="7948212E">
        <w:t xml:space="preserve"> ANZ provides 6 weeks of paid</w:t>
      </w:r>
      <w:r w:rsidR="786E4661">
        <w:t xml:space="preserve"> leave and up to 12 months of unpaid leave</w:t>
      </w:r>
      <w:r w:rsidR="2CEBE1B5">
        <w:t xml:space="preserve"> to employees affirming their gender.</w:t>
      </w:r>
      <w:r w:rsidR="00866746">
        <w:rPr>
          <w:rStyle w:val="FootnoteReference"/>
        </w:rPr>
        <w:footnoteReference w:id="50"/>
      </w:r>
      <w:r w:rsidR="23206423">
        <w:t xml:space="preserve"> </w:t>
      </w:r>
      <w:r w:rsidR="711BA303">
        <w:t xml:space="preserve">Anecdotal evidence </w:t>
      </w:r>
      <w:r w:rsidR="0729C3C7">
        <w:t>from these organisations suggest</w:t>
      </w:r>
      <w:r w:rsidR="232105B8">
        <w:t>s</w:t>
      </w:r>
      <w:r w:rsidR="0729C3C7">
        <w:t xml:space="preserve"> that </w:t>
      </w:r>
      <w:r w:rsidR="00F53CB1">
        <w:t xml:space="preserve">these </w:t>
      </w:r>
      <w:r w:rsidR="0729C3C7">
        <w:t>provision</w:t>
      </w:r>
      <w:r w:rsidR="00F53CB1">
        <w:t>s</w:t>
      </w:r>
      <w:r w:rsidR="0729C3C7">
        <w:t xml:space="preserve"> </w:t>
      </w:r>
      <w:r w:rsidR="00F53CB1">
        <w:t>have</w:t>
      </w:r>
      <w:r w:rsidR="31B4742E">
        <w:t xml:space="preserve"> a broad range of benefits</w:t>
      </w:r>
      <w:r w:rsidR="007048EB">
        <w:t xml:space="preserve"> - including</w:t>
      </w:r>
      <w:r w:rsidR="232105B8">
        <w:t xml:space="preserve"> </w:t>
      </w:r>
      <w:r w:rsidR="3D43E5C4">
        <w:t>increasing employment security and workforce participation of transgender people</w:t>
      </w:r>
      <w:r w:rsidR="232105B8">
        <w:t xml:space="preserve">, </w:t>
      </w:r>
      <w:r w:rsidR="561FD672">
        <w:t>promoting</w:t>
      </w:r>
      <w:r w:rsidR="76B3B255">
        <w:t xml:space="preserve"> discussion,</w:t>
      </w:r>
      <w:r w:rsidR="561FD672">
        <w:t xml:space="preserve"> aware</w:t>
      </w:r>
      <w:r w:rsidR="76B3B255">
        <w:t>ness</w:t>
      </w:r>
      <w:r w:rsidR="5B2B8818">
        <w:t>,</w:t>
      </w:r>
      <w:r w:rsidR="561FD672">
        <w:t xml:space="preserve"> and education amongst cisgender colleagues</w:t>
      </w:r>
      <w:r w:rsidR="232105B8">
        <w:t>,</w:t>
      </w:r>
      <w:r w:rsidR="7F2BC688">
        <w:t xml:space="preserve"> and</w:t>
      </w:r>
      <w:r w:rsidR="232105B8">
        <w:t xml:space="preserve"> </w:t>
      </w:r>
      <w:r w:rsidR="66132E08">
        <w:t xml:space="preserve">recognition of the </w:t>
      </w:r>
      <w:r w:rsidR="053FCB11">
        <w:t>trans experience in the workplace.</w:t>
      </w:r>
    </w:p>
    <w:p w14:paraId="7E686ACB" w14:textId="7AC4B1D0" w:rsidR="00BB7BB6" w:rsidRPr="00A96810" w:rsidRDefault="0001051F" w:rsidP="005354FB">
      <w:pPr>
        <w:spacing w:before="120" w:after="120"/>
      </w:pPr>
      <w:r>
        <w:t>I urge t</w:t>
      </w:r>
      <w:r w:rsidR="00222E79">
        <w:t xml:space="preserve">he Australian Government </w:t>
      </w:r>
      <w:r>
        <w:t>to</w:t>
      </w:r>
      <w:r w:rsidR="00222E79">
        <w:t xml:space="preserve"> demonstrate its support for the transgender community</w:t>
      </w:r>
      <w:r w:rsidR="006A0848">
        <w:t xml:space="preserve"> in achieving substantive equality</w:t>
      </w:r>
      <w:r w:rsidR="00222E79">
        <w:t>,</w:t>
      </w:r>
      <w:r w:rsidR="00D912F4">
        <w:t xml:space="preserve"> particularly in light of their recent politicisation</w:t>
      </w:r>
      <w:r w:rsidR="00FE66F8">
        <w:t>,</w:t>
      </w:r>
      <w:r w:rsidR="00D912F4">
        <w:t xml:space="preserve"> and the </w:t>
      </w:r>
      <w:r w:rsidR="000D271C">
        <w:t>subsequent</w:t>
      </w:r>
      <w:r w:rsidR="00D912F4">
        <w:t xml:space="preserve"> outpouring of </w:t>
      </w:r>
      <w:r w:rsidR="006D7078">
        <w:t>support</w:t>
      </w:r>
      <w:r w:rsidR="002F2981">
        <w:t xml:space="preserve"> from the Australian community</w:t>
      </w:r>
      <w:r w:rsidR="00534084">
        <w:t>.</w:t>
      </w:r>
    </w:p>
    <w:p w14:paraId="17798FC5" w14:textId="1C61572A" w:rsidR="000B5DBE" w:rsidRDefault="000B5DBE" w:rsidP="005354FB">
      <w:pPr>
        <w:pStyle w:val="Heading4"/>
        <w:spacing w:before="120" w:after="120"/>
      </w:pPr>
      <w:r w:rsidRPr="000B5DBE">
        <w:lastRenderedPageBreak/>
        <w:t>Additional carer’s leave to support Australia’s aging population</w:t>
      </w:r>
    </w:p>
    <w:p w14:paraId="0CC09957" w14:textId="43DF98E9" w:rsidR="00E418C4" w:rsidRDefault="004F2EC4" w:rsidP="005354FB">
      <w:pPr>
        <w:spacing w:before="120" w:after="120"/>
      </w:pPr>
      <w:r>
        <w:t xml:space="preserve">Informal </w:t>
      </w:r>
      <w:r w:rsidR="00271FDA">
        <w:t>carers in Australia</w:t>
      </w:r>
      <w:r>
        <w:t xml:space="preserve"> </w:t>
      </w:r>
      <w:r w:rsidR="00271FDA">
        <w:t>spend an average of 35.2 hours per week providing care</w:t>
      </w:r>
      <w:r w:rsidR="00FD1D6D">
        <w:t>, with 28</w:t>
      </w:r>
      <w:r w:rsidR="00D12CFE">
        <w:t>%</w:t>
      </w:r>
      <w:r w:rsidR="00FD1D6D">
        <w:t xml:space="preserve"> spending more than 60 hours per week</w:t>
      </w:r>
      <w:r w:rsidR="00E61DB5">
        <w:t xml:space="preserve"> (where they are the primary carer)</w:t>
      </w:r>
      <w:r w:rsidR="00FD1D6D">
        <w:t xml:space="preserve">. This </w:t>
      </w:r>
      <w:r w:rsidR="00433825">
        <w:t>is a troubling statistic when we</w:t>
      </w:r>
      <w:r w:rsidR="00AC46BE">
        <w:t xml:space="preserve"> also</w:t>
      </w:r>
      <w:r w:rsidR="00433825">
        <w:t xml:space="preserve"> consider that</w:t>
      </w:r>
      <w:r w:rsidR="00BD0981">
        <w:t xml:space="preserve"> </w:t>
      </w:r>
      <w:r w:rsidR="00E140AC">
        <w:t>a</w:t>
      </w:r>
      <w:r w:rsidR="009F0F0D">
        <w:t>pproximately 60</w:t>
      </w:r>
      <w:r w:rsidR="00D12CFE">
        <w:t>%</w:t>
      </w:r>
      <w:r w:rsidR="009F0F0D">
        <w:t xml:space="preserve"> of all carers are female, which increases to more than 70</w:t>
      </w:r>
      <w:r w:rsidR="00D12CFE">
        <w:t>%</w:t>
      </w:r>
      <w:r w:rsidR="009F0F0D">
        <w:t xml:space="preserve"> when considering only primary caring</w:t>
      </w:r>
      <w:r w:rsidR="00EA4C98">
        <w:t xml:space="preserve">. </w:t>
      </w:r>
    </w:p>
    <w:p w14:paraId="1D4E5DD0" w14:textId="4A994B9A" w:rsidR="00845CEB" w:rsidRDefault="380EB60E" w:rsidP="005354FB">
      <w:pPr>
        <w:spacing w:before="120" w:after="120"/>
      </w:pPr>
      <w:r>
        <w:t xml:space="preserve">Economists have warned that </w:t>
      </w:r>
      <w:r w:rsidR="6DE2AC91" w:rsidRPr="00286653">
        <w:t xml:space="preserve">the demand for informal carers will grow from around </w:t>
      </w:r>
      <w:r w:rsidR="6020F20D" w:rsidRPr="00286653">
        <w:t>1.25 million in 2020 to 1.54 million in 20</w:t>
      </w:r>
      <w:r w:rsidR="292760B8" w:rsidRPr="00286653">
        <w:t>5</w:t>
      </w:r>
      <w:r w:rsidR="6020F20D" w:rsidRPr="00286653">
        <w:t>0 (</w:t>
      </w:r>
      <w:r w:rsidR="6020F20D">
        <w:t>representing a 23</w:t>
      </w:r>
      <w:r w:rsidR="5F1DD0EB">
        <w:t>%</w:t>
      </w:r>
      <w:r w:rsidR="6020F20D">
        <w:t xml:space="preserve"> total increase), while the </w:t>
      </w:r>
      <w:r w:rsidR="2ACE8296">
        <w:t>supply of informa</w:t>
      </w:r>
      <w:r w:rsidR="7892D5F7">
        <w:t>l carers will rise from 674,000 to 780,000 (a total growth of 16</w:t>
      </w:r>
      <w:r w:rsidR="5F1DD0EB">
        <w:t>%</w:t>
      </w:r>
      <w:r w:rsidR="7892D5F7">
        <w:t>).</w:t>
      </w:r>
      <w:r w:rsidR="008518D8">
        <w:rPr>
          <w:rStyle w:val="FootnoteReference"/>
        </w:rPr>
        <w:footnoteReference w:id="51"/>
      </w:r>
      <w:r>
        <w:t xml:space="preserve"> </w:t>
      </w:r>
      <w:r w:rsidR="3F451157">
        <w:t>T</w:t>
      </w:r>
      <w:r w:rsidR="7E87DF3A">
        <w:t>his widening gap</w:t>
      </w:r>
      <w:r w:rsidR="6B29C82E">
        <w:t xml:space="preserve"> is exacerbated </w:t>
      </w:r>
      <w:r w:rsidR="48612ECE">
        <w:t>by</w:t>
      </w:r>
      <w:r w:rsidR="6B29C82E">
        <w:t xml:space="preserve"> the growing rate of female participation in the Australian workforce and prolonged workforce participation for all Australian workers. It will also </w:t>
      </w:r>
      <w:r w:rsidR="7E87DF3A">
        <w:t>disproportionately impac</w:t>
      </w:r>
      <w:r>
        <w:t>t</w:t>
      </w:r>
      <w:r w:rsidR="7E87DF3A">
        <w:t xml:space="preserve"> women</w:t>
      </w:r>
      <w:r w:rsidR="6B29C82E">
        <w:t>.</w:t>
      </w:r>
      <w:r w:rsidR="3F451157">
        <w:t xml:space="preserve"> </w:t>
      </w:r>
      <w:r w:rsidR="6B29C82E">
        <w:t>A</w:t>
      </w:r>
      <w:r w:rsidR="3F451157">
        <w:t>s such, there is</w:t>
      </w:r>
      <w:r w:rsidR="77E725F9">
        <w:t xml:space="preserve"> </w:t>
      </w:r>
      <w:r>
        <w:t>a</w:t>
      </w:r>
      <w:r w:rsidR="77E725F9">
        <w:t xml:space="preserve"> need</w:t>
      </w:r>
      <w:r w:rsidR="6B29C82E">
        <w:t xml:space="preserve"> for the Australian Government to</w:t>
      </w:r>
      <w:r w:rsidR="77E725F9">
        <w:t xml:space="preserve"> </w:t>
      </w:r>
      <w:r w:rsidR="74443903">
        <w:t>consider</w:t>
      </w:r>
      <w:r w:rsidR="62CE68A1">
        <w:t xml:space="preserve"> policies and arrangements that </w:t>
      </w:r>
      <w:r w:rsidR="218D9480">
        <w:t>offer greater flexibility and more</w:t>
      </w:r>
      <w:r w:rsidR="62CE68A1">
        <w:t xml:space="preserve"> support</w:t>
      </w:r>
      <w:r w:rsidR="218D9480">
        <w:t xml:space="preserve"> to informal carers</w:t>
      </w:r>
      <w:r w:rsidR="6B29C82E">
        <w:t xml:space="preserve"> as part of the </w:t>
      </w:r>
      <w:r w:rsidR="1581D0FE">
        <w:t xml:space="preserve">National </w:t>
      </w:r>
      <w:r w:rsidR="6B29C82E">
        <w:t>Strategy</w:t>
      </w:r>
      <w:r w:rsidR="1845E105">
        <w:t>.</w:t>
      </w:r>
      <w:r w:rsidR="006C6887">
        <w:rPr>
          <w:rStyle w:val="FootnoteReference"/>
        </w:rPr>
        <w:footnoteReference w:id="52"/>
      </w:r>
      <w:r w:rsidR="74443903">
        <w:t xml:space="preserve"> </w:t>
      </w:r>
    </w:p>
    <w:p w14:paraId="3E10049A" w14:textId="19456006" w:rsidR="007E3860" w:rsidRDefault="6B29C82E" w:rsidP="005354FB">
      <w:pPr>
        <w:spacing w:before="120" w:after="120"/>
      </w:pPr>
      <w:r>
        <w:t>I</w:t>
      </w:r>
      <w:r w:rsidR="6B7EE3B5">
        <w:t xml:space="preserve">ncreased carer’s leave </w:t>
      </w:r>
      <w:r w:rsidR="34441BEB">
        <w:t xml:space="preserve">entitlements </w:t>
      </w:r>
      <w:r w:rsidR="6B7EE3B5">
        <w:t xml:space="preserve">and greater flexibility in working arrangements will support more </w:t>
      </w:r>
      <w:r w:rsidR="34441BEB">
        <w:t>Australian women</w:t>
      </w:r>
      <w:r w:rsidR="6B7EE3B5">
        <w:t xml:space="preserve"> to remain in, or return to, the workforce, whilst also </w:t>
      </w:r>
      <w:r w:rsidR="192211E6">
        <w:t>providing informal care</w:t>
      </w:r>
      <w:r w:rsidR="6B7EE3B5">
        <w:t>.</w:t>
      </w:r>
      <w:r w:rsidR="00803FE5">
        <w:rPr>
          <w:rStyle w:val="FootnoteReference"/>
        </w:rPr>
        <w:footnoteReference w:id="53"/>
      </w:r>
      <w:r>
        <w:t xml:space="preserve"> In Austria employees are entitled to three months of paid leave annually (at 55% of their income) to care for people with severe caring needs. In Japan, paid carer’s leave is provided up to 93 days per family member.</w:t>
      </w:r>
      <w:r w:rsidR="007E3860">
        <w:rPr>
          <w:rStyle w:val="FootnoteReference"/>
        </w:rPr>
        <w:footnoteReference w:id="54"/>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B4670B" w14:paraId="1FEB10CA" w14:textId="77777777" w:rsidTr="009C5682">
        <w:tc>
          <w:tcPr>
            <w:tcW w:w="9016" w:type="dxa"/>
            <w:tcBorders>
              <w:top w:val="nil"/>
              <w:left w:val="nil"/>
              <w:bottom w:val="nil"/>
              <w:right w:val="nil"/>
            </w:tcBorders>
            <w:shd w:val="clear" w:color="auto" w:fill="E7E6E6" w:themeFill="background2"/>
          </w:tcPr>
          <w:p w14:paraId="474D903C" w14:textId="1BDA765B" w:rsidR="00B4670B" w:rsidRDefault="00B4670B" w:rsidP="009C5682">
            <w:pPr>
              <w:pStyle w:val="Heading3"/>
              <w:spacing w:before="120" w:after="120"/>
            </w:pPr>
            <w:r>
              <w:t xml:space="preserve">Recommendation </w:t>
            </w:r>
            <w:r w:rsidR="009B7D26">
              <w:t>8</w:t>
            </w:r>
          </w:p>
          <w:p w14:paraId="05A32EAF" w14:textId="26FB54E8" w:rsidR="00B4670B" w:rsidRPr="00B4670B" w:rsidRDefault="00B4670B" w:rsidP="00C359BF">
            <w:pPr>
              <w:spacing w:before="120" w:after="120"/>
              <w:rPr>
                <w:sz w:val="22"/>
                <w:szCs w:val="22"/>
              </w:rPr>
            </w:pPr>
            <w:r w:rsidRPr="00B4670B">
              <w:rPr>
                <w:sz w:val="22"/>
                <w:szCs w:val="22"/>
              </w:rPr>
              <w:t xml:space="preserve">That the </w:t>
            </w:r>
            <w:r w:rsidR="00DB5020">
              <w:rPr>
                <w:sz w:val="22"/>
                <w:szCs w:val="22"/>
              </w:rPr>
              <w:t>National</w:t>
            </w:r>
            <w:r w:rsidRPr="00B4670B">
              <w:rPr>
                <w:sz w:val="22"/>
                <w:szCs w:val="22"/>
              </w:rPr>
              <w:t xml:space="preserve"> </w:t>
            </w:r>
            <w:r w:rsidR="00DB5020">
              <w:rPr>
                <w:sz w:val="22"/>
                <w:szCs w:val="22"/>
              </w:rPr>
              <w:t>S</w:t>
            </w:r>
            <w:r w:rsidRPr="00B4670B">
              <w:rPr>
                <w:sz w:val="22"/>
                <w:szCs w:val="22"/>
              </w:rPr>
              <w:t>trategy:</w:t>
            </w:r>
          </w:p>
          <w:p w14:paraId="60429DBA" w14:textId="12F50593" w:rsidR="00B4670B" w:rsidRPr="00B4670B" w:rsidRDefault="00AD0125" w:rsidP="00BB5FA6">
            <w:pPr>
              <w:pStyle w:val="ListParagraph"/>
              <w:numPr>
                <w:ilvl w:val="0"/>
                <w:numId w:val="10"/>
              </w:numPr>
              <w:spacing w:before="120" w:after="120"/>
              <w:contextualSpacing w:val="0"/>
              <w:rPr>
                <w:sz w:val="22"/>
                <w:szCs w:val="22"/>
              </w:rPr>
            </w:pPr>
            <w:r>
              <w:rPr>
                <w:sz w:val="22"/>
                <w:szCs w:val="22"/>
              </w:rPr>
              <w:t>Include</w:t>
            </w:r>
            <w:r w:rsidRPr="00B4670B">
              <w:rPr>
                <w:sz w:val="22"/>
                <w:szCs w:val="22"/>
              </w:rPr>
              <w:t xml:space="preserve"> </w:t>
            </w:r>
            <w:r w:rsidR="00B4670B" w:rsidRPr="00B4670B">
              <w:rPr>
                <w:sz w:val="22"/>
                <w:szCs w:val="22"/>
              </w:rPr>
              <w:t xml:space="preserve">an express commitment to </w:t>
            </w:r>
            <w:r w:rsidR="00EB2E5A">
              <w:rPr>
                <w:sz w:val="22"/>
                <w:szCs w:val="22"/>
              </w:rPr>
              <w:t>amend</w:t>
            </w:r>
            <w:r w:rsidR="00B4670B" w:rsidRPr="00B4670B">
              <w:rPr>
                <w:sz w:val="22"/>
                <w:szCs w:val="22"/>
              </w:rPr>
              <w:t xml:space="preserve"> the National Employment Standards under the </w:t>
            </w:r>
            <w:r w:rsidR="00B4670B" w:rsidRPr="00B4670B">
              <w:rPr>
                <w:i/>
                <w:iCs/>
                <w:sz w:val="22"/>
                <w:szCs w:val="22"/>
              </w:rPr>
              <w:t>Fair Work Act 2009</w:t>
            </w:r>
            <w:r w:rsidR="00B4670B" w:rsidRPr="00B4670B">
              <w:rPr>
                <w:sz w:val="22"/>
                <w:szCs w:val="22"/>
              </w:rPr>
              <w:t xml:space="preserve"> (Cth) (FW Act) to provide for additional paid leave entitlements related to menopause, menstruation, and gender affirmation, and to provide additional carer’s leave entitlements</w:t>
            </w:r>
          </w:p>
          <w:p w14:paraId="76A9E493" w14:textId="5CE3A235" w:rsidR="00B4670B" w:rsidRPr="00B4670B" w:rsidRDefault="00B4670B" w:rsidP="00DE4C1F">
            <w:pPr>
              <w:pStyle w:val="ListParagraph"/>
              <w:numPr>
                <w:ilvl w:val="1"/>
                <w:numId w:val="13"/>
              </w:numPr>
              <w:spacing w:before="120" w:after="120"/>
              <w:ind w:hanging="357"/>
              <w:contextualSpacing w:val="0"/>
              <w:rPr>
                <w:sz w:val="22"/>
                <w:szCs w:val="22"/>
              </w:rPr>
            </w:pPr>
            <w:r w:rsidRPr="00B4670B">
              <w:rPr>
                <w:sz w:val="22"/>
                <w:szCs w:val="22"/>
              </w:rPr>
              <w:t>Menstruation and menopause leave entitlements should be developed in consultation with peak representative bodies, including union groups, and as a minimum provide an entitlement to 12 days’ paid leave per annum</w:t>
            </w:r>
          </w:p>
          <w:p w14:paraId="6EB2CCD7" w14:textId="23D2A1E0" w:rsidR="00B4670B" w:rsidRPr="00B4670B" w:rsidRDefault="00B4670B" w:rsidP="00DE4C1F">
            <w:pPr>
              <w:pStyle w:val="ListParagraph"/>
              <w:numPr>
                <w:ilvl w:val="1"/>
                <w:numId w:val="13"/>
              </w:numPr>
              <w:spacing w:before="120" w:after="120"/>
              <w:ind w:hanging="357"/>
              <w:contextualSpacing w:val="0"/>
              <w:rPr>
                <w:sz w:val="22"/>
                <w:szCs w:val="22"/>
              </w:rPr>
            </w:pPr>
            <w:r w:rsidRPr="00B4670B">
              <w:rPr>
                <w:sz w:val="22"/>
                <w:szCs w:val="22"/>
              </w:rPr>
              <w:t>Gender affirmation leave entitlements should be developed in consultation with peak representative bodies, including the Victorian Commissioner for LGBTIQ+ Communities and corresponding authorities in other States/Territories, and as a minimum provide an entitlement to 8 weeks’ paid leave and up to 12 months</w:t>
            </w:r>
            <w:r w:rsidR="00193470">
              <w:rPr>
                <w:sz w:val="22"/>
                <w:szCs w:val="22"/>
              </w:rPr>
              <w:t xml:space="preserve"> un</w:t>
            </w:r>
            <w:r w:rsidRPr="00B4670B">
              <w:rPr>
                <w:sz w:val="22"/>
                <w:szCs w:val="22"/>
              </w:rPr>
              <w:t>paid leave</w:t>
            </w:r>
          </w:p>
          <w:p w14:paraId="08EA4F26" w14:textId="6298C0F3" w:rsidR="00B4670B" w:rsidRPr="00B4670B" w:rsidRDefault="00B4670B" w:rsidP="00DE4C1F">
            <w:pPr>
              <w:pStyle w:val="ListParagraph"/>
              <w:numPr>
                <w:ilvl w:val="1"/>
                <w:numId w:val="13"/>
              </w:numPr>
              <w:spacing w:before="120" w:after="120"/>
              <w:ind w:hanging="357"/>
              <w:contextualSpacing w:val="0"/>
            </w:pPr>
            <w:r w:rsidRPr="00B4670B">
              <w:rPr>
                <w:sz w:val="22"/>
                <w:szCs w:val="22"/>
              </w:rPr>
              <w:lastRenderedPageBreak/>
              <w:t>Section 96 of the FW Act should be amended to provide an additional 10 days’ carer’s leave per annum to be used exclusively in circumstances where the employee is to provide care or support to a member of their immediate family or household who requires support due to illness, injury, or unexpected emergency</w:t>
            </w:r>
          </w:p>
        </w:tc>
      </w:tr>
    </w:tbl>
    <w:p w14:paraId="0DFF095F" w14:textId="649527F9" w:rsidR="006C1428" w:rsidRPr="000B0AB8" w:rsidRDefault="006C1428" w:rsidP="005354FB">
      <w:pPr>
        <w:pStyle w:val="Heading3"/>
        <w:spacing w:before="120" w:after="120"/>
        <w:rPr>
          <w:lang w:eastAsia="en-AU"/>
        </w:rPr>
      </w:pPr>
      <w:r w:rsidRPr="000B0AB8">
        <w:rPr>
          <w:lang w:eastAsia="en-AU"/>
        </w:rPr>
        <w:lastRenderedPageBreak/>
        <w:t>Introduce legislative requirements to support</w:t>
      </w:r>
      <w:r w:rsidR="0002004C" w:rsidRPr="000B0AB8">
        <w:rPr>
          <w:lang w:eastAsia="en-AU"/>
        </w:rPr>
        <w:t xml:space="preserve"> </w:t>
      </w:r>
      <w:r w:rsidRPr="000B0AB8">
        <w:rPr>
          <w:lang w:eastAsia="en-AU"/>
        </w:rPr>
        <w:t>equal pay for work</w:t>
      </w:r>
      <w:r w:rsidR="00F64AF2" w:rsidRPr="000B0AB8">
        <w:rPr>
          <w:lang w:eastAsia="en-AU"/>
        </w:rPr>
        <w:t xml:space="preserve"> of equal</w:t>
      </w:r>
      <w:r w:rsidR="00F64AF2">
        <w:rPr>
          <w:lang w:eastAsia="en-AU"/>
        </w:rPr>
        <w:t xml:space="preserve"> </w:t>
      </w:r>
      <w:r w:rsidR="00271F61">
        <w:rPr>
          <w:lang w:eastAsia="en-AU"/>
        </w:rPr>
        <w:t>or comparable</w:t>
      </w:r>
      <w:r w:rsidR="00F64AF2" w:rsidRPr="000B0AB8">
        <w:rPr>
          <w:lang w:eastAsia="en-AU"/>
        </w:rPr>
        <w:t xml:space="preserve"> value</w:t>
      </w:r>
      <w:r w:rsidR="00D359ED">
        <w:rPr>
          <w:lang w:eastAsia="en-AU"/>
        </w:rPr>
        <w:t xml:space="preserve"> and to close the </w:t>
      </w:r>
      <w:r w:rsidR="00185079">
        <w:rPr>
          <w:lang w:eastAsia="en-AU"/>
        </w:rPr>
        <w:t xml:space="preserve">gender pay gap in superannuation </w:t>
      </w:r>
    </w:p>
    <w:p w14:paraId="44DC7371" w14:textId="3143A47C" w:rsidR="00185079" w:rsidRDefault="00EC4E50" w:rsidP="00C359BF">
      <w:pPr>
        <w:pStyle w:val="Heading4"/>
        <w:spacing w:before="120" w:after="120"/>
      </w:pPr>
      <w:r>
        <w:t>Measures to ensure e</w:t>
      </w:r>
      <w:r w:rsidR="00185079">
        <w:t xml:space="preserve">qual pay for </w:t>
      </w:r>
      <w:r>
        <w:t>work of equal or comparable value</w:t>
      </w:r>
    </w:p>
    <w:p w14:paraId="561A7227" w14:textId="3F3BBC5A" w:rsidR="00BA0D5B" w:rsidRDefault="00BA0D5B" w:rsidP="005354FB">
      <w:pPr>
        <w:spacing w:before="120" w:after="120" w:line="256" w:lineRule="auto"/>
      </w:pPr>
      <w:r>
        <w:t xml:space="preserve">Gender-based undervaluation of work in Australia arises from </w:t>
      </w:r>
      <w:r w:rsidR="00890941">
        <w:t xml:space="preserve">subjective </w:t>
      </w:r>
      <w:r>
        <w:t xml:space="preserve">social norms and </w:t>
      </w:r>
      <w:r w:rsidR="00A74EE9">
        <w:t xml:space="preserve">gender-biased </w:t>
      </w:r>
      <w:r>
        <w:t>assumptions that impact the assessment of work value</w:t>
      </w:r>
      <w:r w:rsidR="000A7DD5">
        <w:t>, such as those related to women’s roles as</w:t>
      </w:r>
      <w:r w:rsidR="00006DB0">
        <w:t xml:space="preserve"> mothers and their disproportionate uptake of primary caring responsibilities and unpaid labour</w:t>
      </w:r>
      <w:r>
        <w:t xml:space="preserve">. </w:t>
      </w:r>
      <w:r w:rsidR="00006DB0">
        <w:t>The</w:t>
      </w:r>
      <w:r w:rsidR="00C72D15">
        <w:t>se assumption</w:t>
      </w:r>
      <w:r w:rsidR="00C555AC">
        <w:t>s</w:t>
      </w:r>
      <w:r w:rsidR="0088658E">
        <w:t xml:space="preserve"> </w:t>
      </w:r>
      <w:r w:rsidR="00C555AC">
        <w:t xml:space="preserve">are </w:t>
      </w:r>
      <w:r w:rsidR="0088658E">
        <w:t>cause</w:t>
      </w:r>
      <w:r w:rsidR="00055406">
        <w:t>d by, and</w:t>
      </w:r>
      <w:r w:rsidR="002A5E81">
        <w:t xml:space="preserve"> </w:t>
      </w:r>
      <w:r w:rsidR="0088658E">
        <w:t xml:space="preserve"> contribute </w:t>
      </w:r>
      <w:r>
        <w:t>to</w:t>
      </w:r>
      <w:r w:rsidR="00055406">
        <w:t>,</w:t>
      </w:r>
      <w:r>
        <w:t xml:space="preserve"> the under recognition of skills described as </w:t>
      </w:r>
      <w:r w:rsidR="009539C0">
        <w:t>‘</w:t>
      </w:r>
      <w:r>
        <w:t>caring</w:t>
      </w:r>
      <w:r w:rsidR="009539C0">
        <w:t>’</w:t>
      </w:r>
      <w:r w:rsidR="00BA1569">
        <w:t>,</w:t>
      </w:r>
      <w:r w:rsidR="00F3713D">
        <w:t xml:space="preserve"> ‘creative’</w:t>
      </w:r>
      <w:r w:rsidR="005A3AD4">
        <w:t>,</w:t>
      </w:r>
      <w:r w:rsidR="00F3713D">
        <w:t xml:space="preserve"> and ‘nurturing’,</w:t>
      </w:r>
      <w:r w:rsidR="00BA1569">
        <w:t xml:space="preserve"> as well as to </w:t>
      </w:r>
      <w:r w:rsidR="0050501E">
        <w:t>occupational</w:t>
      </w:r>
      <w:r w:rsidR="00C555AC">
        <w:t xml:space="preserve"> </w:t>
      </w:r>
      <w:r w:rsidR="002033A5">
        <w:t xml:space="preserve">and industry gender </w:t>
      </w:r>
      <w:r w:rsidR="00055406">
        <w:t>segregation</w:t>
      </w:r>
      <w:r w:rsidR="00CA0032">
        <w:t>,</w:t>
      </w:r>
      <w:r w:rsidR="00055406">
        <w:t xml:space="preserve"> and </w:t>
      </w:r>
      <w:r w:rsidR="00F3713D">
        <w:t>organisational weaknesses in job and work valuation.</w:t>
      </w:r>
      <w:r w:rsidR="00461F39">
        <w:t xml:space="preserve"> </w:t>
      </w:r>
    </w:p>
    <w:p w14:paraId="5E4D45D5" w14:textId="225D420E" w:rsidR="00BE71B9" w:rsidRDefault="6ADE44CF" w:rsidP="00BB5FA6">
      <w:pPr>
        <w:spacing w:before="120" w:after="120" w:line="257" w:lineRule="auto"/>
      </w:pPr>
      <w:r>
        <w:t>While the recent amendments to the FW Act are a positive step</w:t>
      </w:r>
      <w:r w:rsidR="036BF0B0">
        <w:t xml:space="preserve"> towards achieving equal pay for work of </w:t>
      </w:r>
      <w:r w:rsidR="301C18C3">
        <w:t>equal or comparable value</w:t>
      </w:r>
      <w:r>
        <w:t>, other OECD countries provide best practice examples</w:t>
      </w:r>
      <w:r w:rsidR="3F73B72E">
        <w:t xml:space="preserve">. </w:t>
      </w:r>
      <w:r w:rsidR="301C18C3">
        <w:t>For example</w:t>
      </w:r>
      <w:r w:rsidR="002A5E81">
        <w:t>,</w:t>
      </w:r>
      <w:r w:rsidR="455DA49B">
        <w:t xml:space="preserve"> C</w:t>
      </w:r>
      <w:r w:rsidR="0144FCE2" w:rsidRPr="009C4630">
        <w:t>anada’s</w:t>
      </w:r>
      <w:r w:rsidR="0144FCE2">
        <w:t xml:space="preserve"> </w:t>
      </w:r>
      <w:r w:rsidR="0144FCE2" w:rsidRPr="009C4630">
        <w:t xml:space="preserve">Pay Equity Act requires </w:t>
      </w:r>
      <w:r w:rsidR="48FA1CA4" w:rsidRPr="009C4630">
        <w:t>federally</w:t>
      </w:r>
      <w:r w:rsidR="48FA1CA4">
        <w:t xml:space="preserve"> regulated</w:t>
      </w:r>
      <w:r w:rsidR="0144FCE2" w:rsidRPr="009C4630">
        <w:t xml:space="preserve"> private and public sector </w:t>
      </w:r>
      <w:r w:rsidR="0144FCE2">
        <w:t>organisations</w:t>
      </w:r>
      <w:r w:rsidR="0144FCE2" w:rsidRPr="009C4630">
        <w:t xml:space="preserve"> with 10 or more employees to take </w:t>
      </w:r>
      <w:r w:rsidR="7B4C5479">
        <w:t xml:space="preserve">positive </w:t>
      </w:r>
      <w:r w:rsidR="0144FCE2" w:rsidRPr="009C4630">
        <w:t xml:space="preserve">steps to ensure equal pay for work of equal value. </w:t>
      </w:r>
      <w:r w:rsidR="7B4C5479">
        <w:t>E</w:t>
      </w:r>
      <w:r w:rsidR="0144FCE2" w:rsidRPr="009C4630">
        <w:t>mployer</w:t>
      </w:r>
      <w:r w:rsidR="7B4C5479">
        <w:t>s</w:t>
      </w:r>
      <w:r w:rsidR="0144FCE2" w:rsidRPr="009C4630">
        <w:t xml:space="preserve"> </w:t>
      </w:r>
      <w:r w:rsidR="24A4EE3E">
        <w:t>are</w:t>
      </w:r>
      <w:r w:rsidR="0144FCE2" w:rsidRPr="009C4630">
        <w:t xml:space="preserve"> required to develop a pay equity plan that identifies difference in compensation between positions that are mostly held by women and those mostly held by men that </w:t>
      </w:r>
      <w:r w:rsidR="0182FA02">
        <w:t xml:space="preserve">are </w:t>
      </w:r>
      <w:r w:rsidR="0144FCE2" w:rsidRPr="009C4630">
        <w:t>of equal value</w:t>
      </w:r>
      <w:r w:rsidR="455DA49B">
        <w:t>.</w:t>
      </w:r>
      <w:r w:rsidR="00CF5481">
        <w:rPr>
          <w:rStyle w:val="FootnoteReference"/>
        </w:rPr>
        <w:footnoteReference w:id="55"/>
      </w:r>
      <w:r w:rsidR="0144FCE2" w:rsidRPr="009C4630">
        <w:t xml:space="preserve"> </w:t>
      </w:r>
    </w:p>
    <w:p w14:paraId="672F82A8" w14:textId="41EE0FB4" w:rsidR="00EC4E50" w:rsidRDefault="00EC4E50" w:rsidP="00BB5FA6">
      <w:pPr>
        <w:pStyle w:val="Heading4"/>
        <w:spacing w:before="120" w:after="120"/>
      </w:pPr>
      <w:r>
        <w:t xml:space="preserve">Closing the </w:t>
      </w:r>
      <w:r w:rsidR="003910CE">
        <w:t>gender pay gap in superannuation</w:t>
      </w:r>
    </w:p>
    <w:p w14:paraId="163EB461" w14:textId="77777777" w:rsidR="00DD12CD" w:rsidRDefault="214F4345" w:rsidP="00BB5FA6">
      <w:pPr>
        <w:spacing w:before="120" w:after="120"/>
      </w:pPr>
      <w:r>
        <w:t>Pay inequity results in reduced earning capacity and economic insecurity for women over their lifetime. At the national level, women at the start of their careers experience a pay gap of 6% but as they progress through their careers to top management levels, the pay gap increases to a high of 18%.</w:t>
      </w:r>
      <w:r w:rsidR="00C521BB">
        <w:rPr>
          <w:rStyle w:val="FootnoteReference"/>
        </w:rPr>
        <w:footnoteReference w:id="56"/>
      </w:r>
      <w:r w:rsidR="72DF8D32">
        <w:t xml:space="preserve"> </w:t>
      </w:r>
    </w:p>
    <w:p w14:paraId="4F40EAC0" w14:textId="2284678F" w:rsidR="00EC4E50" w:rsidRDefault="72DF8D32" w:rsidP="00BB5FA6">
      <w:pPr>
        <w:spacing w:before="120" w:after="120"/>
      </w:pPr>
      <w:r>
        <w:t>By the time women are approaching their retirement years</w:t>
      </w:r>
      <w:r w:rsidR="2E796D97">
        <w:t xml:space="preserve"> (ages 60-64)</w:t>
      </w:r>
      <w:r>
        <w:t xml:space="preserve">, </w:t>
      </w:r>
      <w:r w:rsidR="2E796D97">
        <w:t xml:space="preserve">women </w:t>
      </w:r>
      <w:r w:rsidR="01E9F8B6">
        <w:t xml:space="preserve">have 28% less super than men, </w:t>
      </w:r>
      <w:r w:rsidR="3085E0BB">
        <w:t xml:space="preserve">and </w:t>
      </w:r>
      <w:r w:rsidR="0EC1AC96">
        <w:t>23% of women retire with no super at all</w:t>
      </w:r>
      <w:r w:rsidR="01E9F8B6">
        <w:t>.</w:t>
      </w:r>
      <w:r w:rsidR="007B665D">
        <w:rPr>
          <w:rStyle w:val="FootnoteReference"/>
        </w:rPr>
        <w:footnoteReference w:id="57"/>
      </w:r>
      <w:r w:rsidR="6D9A7D2E">
        <w:t xml:space="preserve"> This gap is greatest in a woman’s peak earning years of 45-49 (when it reaches 35%) and in the pre-retirement years of 55-59 (when it is at 33%).</w:t>
      </w:r>
      <w:r w:rsidR="00DD12CD">
        <w:rPr>
          <w:rStyle w:val="FootnoteReference"/>
        </w:rPr>
        <w:footnoteReference w:id="58"/>
      </w:r>
      <w:r w:rsidR="6D9A7D2E">
        <w:t xml:space="preserve"> While these gaps are expected to narrow substantially as the superannuation system </w:t>
      </w:r>
      <w:proofErr w:type="spellStart"/>
      <w:r w:rsidR="6D9A7D2E">
        <w:t>maturesthey</w:t>
      </w:r>
      <w:proofErr w:type="spellEnd"/>
      <w:r w:rsidR="6D9A7D2E">
        <w:t xml:space="preserve"> are not likely to close </w:t>
      </w:r>
      <w:r w:rsidR="00596659">
        <w:lastRenderedPageBreak/>
        <w:t>(despite women making higher voluntary contributions)</w:t>
      </w:r>
      <w:r w:rsidR="00596659">
        <w:rPr>
          <w:rStyle w:val="FootnoteReference"/>
        </w:rPr>
        <w:footnoteReference w:id="59"/>
      </w:r>
      <w:r w:rsidR="00596659">
        <w:t xml:space="preserve"> </w:t>
      </w:r>
      <w:r w:rsidR="6D9A7D2E">
        <w:t>while women continue to have lower workforce participation and earnings than men.</w:t>
      </w:r>
      <w:r w:rsidR="00DD12CD">
        <w:rPr>
          <w:rStyle w:val="FootnoteReference"/>
        </w:rPr>
        <w:footnoteReference w:id="60"/>
      </w:r>
    </w:p>
    <w:p w14:paraId="0C69CB40" w14:textId="4CEDCCE2" w:rsidR="00474ED0" w:rsidRPr="00EC4E50" w:rsidRDefault="000E59AE" w:rsidP="00BB5FA6">
      <w:pPr>
        <w:spacing w:before="120" w:after="120"/>
      </w:pPr>
      <w:r>
        <w:t xml:space="preserve">I recommend that the National Strategy </w:t>
      </w:r>
      <w:r w:rsidR="00095510">
        <w:t>include specific measures to target the gender pay gap in superannuation</w:t>
      </w:r>
      <w:r w:rsidR="000830CA">
        <w:t xml:space="preserve"> (in addition to measures </w:t>
      </w:r>
      <w:r w:rsidR="00DF1D87">
        <w:t xml:space="preserve">focused on increasing women’s workforce participation in general, see </w:t>
      </w:r>
      <w:r w:rsidR="00B56D9E">
        <w:t xml:space="preserve">Recommendation 12, and </w:t>
      </w:r>
      <w:r w:rsidR="000507B8">
        <w:t>ensuring equal pay for work of equal or comparable value</w:t>
      </w:r>
      <w:r w:rsidR="006309B3">
        <w:t xml:space="preserve">, see Recommendation </w:t>
      </w:r>
      <w:r w:rsidR="00963CE1">
        <w:t>9</w:t>
      </w:r>
      <w:r w:rsidR="000830CA">
        <w:t>)</w:t>
      </w:r>
      <w:r w:rsidR="00095510">
        <w:t xml:space="preserve">. </w:t>
      </w:r>
      <w:r w:rsidR="00FF689B">
        <w:t xml:space="preserve">For example, the Australian Government should consider </w:t>
      </w:r>
      <w:r w:rsidR="00B56D3A" w:rsidRPr="00B56D3A">
        <w:t>extending the superannuation guarantee payments to the Paid Parental Leave scheme and other parenting payments and ensuring that women receive a fair share of superannuation tax concessions.</w:t>
      </w:r>
      <w:r w:rsidR="006B45FA">
        <w:rPr>
          <w:rStyle w:val="FootnoteReference"/>
        </w:rPr>
        <w:footnoteReference w:id="61"/>
      </w:r>
      <w:r w:rsidR="00B56D3A" w:rsidRPr="00EC4E50">
        <w:t xml:space="preserve"> </w:t>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2E58B7" w14:paraId="3D064D2A" w14:textId="77777777" w:rsidTr="005B1B79">
        <w:trPr>
          <w:trHeight w:val="3686"/>
        </w:trPr>
        <w:tc>
          <w:tcPr>
            <w:tcW w:w="9016" w:type="dxa"/>
            <w:tcBorders>
              <w:top w:val="nil"/>
              <w:left w:val="nil"/>
              <w:bottom w:val="nil"/>
              <w:right w:val="nil"/>
            </w:tcBorders>
            <w:shd w:val="clear" w:color="auto" w:fill="E7E6E6" w:themeFill="background2"/>
          </w:tcPr>
          <w:p w14:paraId="4C297E97" w14:textId="4C85AF91" w:rsidR="002E58B7" w:rsidRDefault="002E58B7" w:rsidP="00C205C3">
            <w:pPr>
              <w:pStyle w:val="Heading3"/>
              <w:spacing w:before="120" w:after="120"/>
            </w:pPr>
            <w:r>
              <w:t xml:space="preserve">Recommendation </w:t>
            </w:r>
            <w:r w:rsidR="009B7D26">
              <w:t>9</w:t>
            </w:r>
            <w:r w:rsidR="00B56D3A">
              <w:t xml:space="preserve"> and I</w:t>
            </w:r>
            <w:r w:rsidR="009B7D26">
              <w:t>0</w:t>
            </w:r>
          </w:p>
          <w:p w14:paraId="6EEA55BF" w14:textId="50F1623F" w:rsidR="002E58B7" w:rsidRPr="002E58B7" w:rsidRDefault="002E58B7" w:rsidP="00C205C3">
            <w:pPr>
              <w:spacing w:before="120" w:after="120"/>
              <w:rPr>
                <w:sz w:val="22"/>
                <w:szCs w:val="22"/>
              </w:rPr>
            </w:pPr>
            <w:r w:rsidRPr="002E58B7">
              <w:rPr>
                <w:sz w:val="22"/>
                <w:szCs w:val="22"/>
              </w:rPr>
              <w:t xml:space="preserve">That the </w:t>
            </w:r>
            <w:r w:rsidR="00DB5020">
              <w:rPr>
                <w:sz w:val="22"/>
                <w:szCs w:val="22"/>
              </w:rPr>
              <w:t xml:space="preserve">National </w:t>
            </w:r>
            <w:r w:rsidRPr="002E58B7">
              <w:rPr>
                <w:sz w:val="22"/>
                <w:szCs w:val="22"/>
              </w:rPr>
              <w:t>Strategy:</w:t>
            </w:r>
          </w:p>
          <w:p w14:paraId="2EE879FF" w14:textId="0F2410D4" w:rsidR="002E58B7" w:rsidRPr="002E58B7" w:rsidRDefault="002E58B7" w:rsidP="00BB5FA6">
            <w:pPr>
              <w:pStyle w:val="ListParagraph"/>
              <w:numPr>
                <w:ilvl w:val="0"/>
                <w:numId w:val="10"/>
              </w:numPr>
              <w:spacing w:before="120" w:after="120"/>
              <w:contextualSpacing w:val="0"/>
              <w:rPr>
                <w:sz w:val="22"/>
                <w:szCs w:val="22"/>
              </w:rPr>
            </w:pPr>
            <w:r w:rsidRPr="002E58B7">
              <w:rPr>
                <w:sz w:val="22"/>
                <w:szCs w:val="22"/>
              </w:rPr>
              <w:t xml:space="preserve">Include an express commitment to strengthen the ‘equal pay for work of equal or comparable value’ provisions recently inserted into the Fair Work Act 2009 (Cth) by including a </w:t>
            </w:r>
            <w:r w:rsidR="002E7168">
              <w:rPr>
                <w:sz w:val="22"/>
                <w:szCs w:val="22"/>
              </w:rPr>
              <w:t>clear procedural requirement</w:t>
            </w:r>
            <w:r w:rsidRPr="002E58B7">
              <w:rPr>
                <w:sz w:val="22"/>
                <w:szCs w:val="22"/>
              </w:rPr>
              <w:t xml:space="preserve"> for employers to ensure their employees are receiving equal pay for work of equal or comparable value regardless of gender.</w:t>
            </w:r>
          </w:p>
          <w:p w14:paraId="6031D0BD" w14:textId="76CA50E1" w:rsidR="00BE1F31" w:rsidRPr="00A444D6" w:rsidRDefault="00BE1F31" w:rsidP="00BB5FA6">
            <w:pPr>
              <w:pStyle w:val="ListParagraph"/>
              <w:numPr>
                <w:ilvl w:val="1"/>
                <w:numId w:val="14"/>
              </w:numPr>
              <w:spacing w:before="120" w:after="120"/>
              <w:ind w:hanging="357"/>
              <w:contextualSpacing w:val="0"/>
              <w:rPr>
                <w:sz w:val="22"/>
                <w:szCs w:val="22"/>
              </w:rPr>
            </w:pPr>
            <w:r w:rsidRPr="0024628F">
              <w:rPr>
                <w:sz w:val="22"/>
                <w:szCs w:val="22"/>
              </w:rPr>
              <w:t>The Australian Government should ensure that this procedural require</w:t>
            </w:r>
            <w:r w:rsidR="00B30775" w:rsidRPr="0024628F">
              <w:rPr>
                <w:sz w:val="22"/>
                <w:szCs w:val="22"/>
              </w:rPr>
              <w:t>ment</w:t>
            </w:r>
            <w:r w:rsidR="00DD3279" w:rsidRPr="0024628F">
              <w:rPr>
                <w:sz w:val="22"/>
                <w:szCs w:val="22"/>
              </w:rPr>
              <w:t xml:space="preserve"> is specific</w:t>
            </w:r>
            <w:r w:rsidR="00431096" w:rsidRPr="0024628F">
              <w:rPr>
                <w:sz w:val="22"/>
                <w:szCs w:val="22"/>
              </w:rPr>
              <w:t xml:space="preserve"> to </w:t>
            </w:r>
            <w:r w:rsidR="004A0E4F" w:rsidRPr="0024628F">
              <w:rPr>
                <w:sz w:val="22"/>
                <w:szCs w:val="22"/>
              </w:rPr>
              <w:t xml:space="preserve">the </w:t>
            </w:r>
            <w:r w:rsidR="00A444D6" w:rsidRPr="0024628F">
              <w:rPr>
                <w:sz w:val="22"/>
                <w:szCs w:val="22"/>
              </w:rPr>
              <w:t xml:space="preserve">principle of </w:t>
            </w:r>
            <w:r w:rsidR="00A444D6" w:rsidRPr="00A444D6">
              <w:rPr>
                <w:sz w:val="22"/>
                <w:szCs w:val="22"/>
              </w:rPr>
              <w:t>‘equal pay for work of equal or comparable value’</w:t>
            </w:r>
            <w:r w:rsidR="00431096" w:rsidRPr="0024628F">
              <w:rPr>
                <w:sz w:val="22"/>
                <w:szCs w:val="22"/>
              </w:rPr>
              <w:t>,</w:t>
            </w:r>
            <w:r w:rsidR="00670315" w:rsidRPr="0024628F">
              <w:rPr>
                <w:sz w:val="22"/>
                <w:szCs w:val="22"/>
              </w:rPr>
              <w:t xml:space="preserve"> </w:t>
            </w:r>
            <w:r w:rsidR="00A444D6">
              <w:rPr>
                <w:sz w:val="22"/>
                <w:szCs w:val="22"/>
              </w:rPr>
              <w:t xml:space="preserve">to ensure it goes </w:t>
            </w:r>
            <w:r w:rsidR="00670315" w:rsidRPr="0024628F">
              <w:rPr>
                <w:sz w:val="22"/>
                <w:szCs w:val="22"/>
              </w:rPr>
              <w:t>beyond the</w:t>
            </w:r>
            <w:r w:rsidR="00A444D6">
              <w:rPr>
                <w:sz w:val="22"/>
                <w:szCs w:val="22"/>
              </w:rPr>
              <w:t xml:space="preserve"> general</w:t>
            </w:r>
            <w:r w:rsidR="00670315" w:rsidRPr="0024628F">
              <w:rPr>
                <w:sz w:val="22"/>
                <w:szCs w:val="22"/>
              </w:rPr>
              <w:t xml:space="preserve"> positive duty under the </w:t>
            </w:r>
            <w:r w:rsidR="00480C78" w:rsidRPr="0024628F">
              <w:rPr>
                <w:sz w:val="22"/>
                <w:szCs w:val="22"/>
              </w:rPr>
              <w:t xml:space="preserve">Sex Discrimination Act 1984 (Cth) to eliminate </w:t>
            </w:r>
            <w:r w:rsidR="00A444D6">
              <w:rPr>
                <w:sz w:val="22"/>
                <w:szCs w:val="22"/>
              </w:rPr>
              <w:t>discrimination (which</w:t>
            </w:r>
            <w:r w:rsidR="00AD52EA">
              <w:rPr>
                <w:sz w:val="22"/>
                <w:szCs w:val="22"/>
              </w:rPr>
              <w:t xml:space="preserve"> includes within its scope the elimination of </w:t>
            </w:r>
            <w:r w:rsidR="0062125B">
              <w:rPr>
                <w:sz w:val="22"/>
                <w:szCs w:val="22"/>
              </w:rPr>
              <w:t>pay discrimination</w:t>
            </w:r>
            <w:r w:rsidR="00A444D6">
              <w:rPr>
                <w:sz w:val="22"/>
                <w:szCs w:val="22"/>
              </w:rPr>
              <w:t>)</w:t>
            </w:r>
          </w:p>
          <w:p w14:paraId="65DA5DE7" w14:textId="626BE4B5" w:rsidR="002E58B7" w:rsidRPr="003B7BC4" w:rsidRDefault="002E58B7" w:rsidP="00BB5FA6">
            <w:pPr>
              <w:pStyle w:val="ListParagraph"/>
              <w:numPr>
                <w:ilvl w:val="1"/>
                <w:numId w:val="14"/>
              </w:numPr>
              <w:spacing w:before="120" w:after="120"/>
              <w:ind w:hanging="357"/>
              <w:contextualSpacing w:val="0"/>
            </w:pPr>
            <w:r w:rsidRPr="002E58B7">
              <w:rPr>
                <w:sz w:val="22"/>
                <w:szCs w:val="22"/>
              </w:rPr>
              <w:t xml:space="preserve">The Australian Government should fund the development and dissemination of tools to support job valuations and implementation of gender-neutral job classifications. I note that the ILO has developed </w:t>
            </w:r>
            <w:hyperlink r:id="rId18" w:history="1">
              <w:r w:rsidRPr="002E58B7">
                <w:rPr>
                  <w:rStyle w:val="Hyperlink"/>
                  <w:sz w:val="22"/>
                  <w:szCs w:val="22"/>
                </w:rPr>
                <w:t>a step-by-step guide</w:t>
              </w:r>
            </w:hyperlink>
            <w:r w:rsidRPr="002E58B7">
              <w:rPr>
                <w:sz w:val="22"/>
                <w:szCs w:val="22"/>
              </w:rPr>
              <w:t xml:space="preserve"> in this regard.</w:t>
            </w:r>
          </w:p>
          <w:p w14:paraId="63688D6C" w14:textId="135A22DA" w:rsidR="002E58B7" w:rsidRPr="003B7BC4" w:rsidRDefault="009E0CD4" w:rsidP="00BB5FA6">
            <w:pPr>
              <w:pStyle w:val="ListParagraph"/>
              <w:numPr>
                <w:ilvl w:val="0"/>
                <w:numId w:val="10"/>
              </w:numPr>
              <w:spacing w:before="120" w:after="120"/>
              <w:contextualSpacing w:val="0"/>
              <w:rPr>
                <w:sz w:val="22"/>
                <w:szCs w:val="22"/>
              </w:rPr>
            </w:pPr>
            <w:r w:rsidRPr="003B7BC4">
              <w:rPr>
                <w:sz w:val="22"/>
                <w:szCs w:val="22"/>
              </w:rPr>
              <w:t>Include an express commitment, and targeted measures, to close the gender</w:t>
            </w:r>
            <w:r w:rsidR="0016464E" w:rsidRPr="003B7BC4">
              <w:rPr>
                <w:sz w:val="22"/>
                <w:szCs w:val="22"/>
              </w:rPr>
              <w:t xml:space="preserve"> pay gap in superannuation.</w:t>
            </w:r>
          </w:p>
        </w:tc>
      </w:tr>
    </w:tbl>
    <w:p w14:paraId="20CB26E9" w14:textId="4032453E" w:rsidR="009C2F69" w:rsidRPr="00D12CFE" w:rsidRDefault="00CE6DEA" w:rsidP="005354FB">
      <w:pPr>
        <w:pStyle w:val="ListParagraph"/>
        <w:keepNext/>
        <w:keepLines/>
        <w:numPr>
          <w:ilvl w:val="1"/>
          <w:numId w:val="4"/>
        </w:numPr>
        <w:spacing w:before="120" w:after="120"/>
        <w:contextualSpacing w:val="0"/>
        <w:outlineLvl w:val="1"/>
        <w:rPr>
          <w:rFonts w:eastAsiaTheme="majorEastAsia" w:cstheme="majorBidi"/>
          <w:color w:val="5C308D"/>
          <w:sz w:val="36"/>
          <w:szCs w:val="26"/>
        </w:rPr>
      </w:pPr>
      <w:r w:rsidRPr="00D12CFE">
        <w:rPr>
          <w:rFonts w:eastAsiaTheme="majorEastAsia" w:cstheme="majorBidi"/>
          <w:color w:val="5C308D"/>
          <w:sz w:val="36"/>
          <w:szCs w:val="26"/>
        </w:rPr>
        <w:t>A</w:t>
      </w:r>
      <w:r w:rsidR="00CF0A04" w:rsidRPr="00D12CFE">
        <w:rPr>
          <w:rFonts w:eastAsiaTheme="majorEastAsia" w:cstheme="majorBidi"/>
          <w:color w:val="5C308D"/>
          <w:sz w:val="36"/>
          <w:szCs w:val="26"/>
        </w:rPr>
        <w:t>ddress systemic gender inequality and its underlying causes</w:t>
      </w:r>
    </w:p>
    <w:p w14:paraId="4E48E81D" w14:textId="4163B236" w:rsidR="00052063" w:rsidRDefault="00052063" w:rsidP="005354FB">
      <w:pPr>
        <w:pStyle w:val="Heading3"/>
        <w:spacing w:before="120" w:after="120"/>
        <w:rPr>
          <w:lang w:eastAsia="en-AU"/>
        </w:rPr>
      </w:pPr>
      <w:r w:rsidRPr="00D12CFE">
        <w:t xml:space="preserve">Integrate gender impact assessments and </w:t>
      </w:r>
      <w:r w:rsidRPr="00D12CFE">
        <w:rPr>
          <w:lang w:eastAsia="en-AU"/>
        </w:rPr>
        <w:t>gender mainstreaming at the federal level</w:t>
      </w:r>
    </w:p>
    <w:p w14:paraId="1A4E6975" w14:textId="75A65ED1" w:rsidR="00A942DB" w:rsidRDefault="00E70430" w:rsidP="005354FB">
      <w:pPr>
        <w:spacing w:before="120" w:after="120"/>
        <w:rPr>
          <w:lang w:eastAsia="en-AU"/>
        </w:rPr>
      </w:pPr>
      <w:r>
        <w:rPr>
          <w:lang w:eastAsia="en-AU"/>
        </w:rPr>
        <w:t xml:space="preserve">I applaud the Australian Government’s commitment to gender responsive </w:t>
      </w:r>
      <w:r w:rsidR="002E1277">
        <w:rPr>
          <w:lang w:eastAsia="en-AU"/>
        </w:rPr>
        <w:t>budgeting and</w:t>
      </w:r>
      <w:r w:rsidR="005F0EB0">
        <w:rPr>
          <w:lang w:eastAsia="en-AU"/>
        </w:rPr>
        <w:t xml:space="preserve"> the</w:t>
      </w:r>
      <w:r w:rsidR="002E1277">
        <w:rPr>
          <w:lang w:eastAsia="en-AU"/>
        </w:rPr>
        <w:t xml:space="preserve"> Office for Women’s </w:t>
      </w:r>
      <w:r w:rsidR="00F0115A">
        <w:rPr>
          <w:lang w:eastAsia="en-AU"/>
        </w:rPr>
        <w:t>GIA</w:t>
      </w:r>
      <w:r w:rsidR="002E1277">
        <w:rPr>
          <w:lang w:eastAsia="en-AU"/>
        </w:rPr>
        <w:t xml:space="preserve"> pilot. </w:t>
      </w:r>
      <w:r w:rsidR="005E1EF4">
        <w:rPr>
          <w:lang w:eastAsia="en-AU"/>
        </w:rPr>
        <w:t xml:space="preserve">Casting a gendered lens over </w:t>
      </w:r>
      <w:r w:rsidR="00FA5CD1">
        <w:rPr>
          <w:lang w:eastAsia="en-AU"/>
        </w:rPr>
        <w:t>the Australian</w:t>
      </w:r>
      <w:r w:rsidR="00F358E6">
        <w:rPr>
          <w:lang w:eastAsia="en-AU"/>
        </w:rPr>
        <w:t xml:space="preserve"> </w:t>
      </w:r>
      <w:r w:rsidR="00F358E6">
        <w:rPr>
          <w:lang w:eastAsia="en-AU"/>
        </w:rPr>
        <w:lastRenderedPageBreak/>
        <w:t>budget processes is</w:t>
      </w:r>
      <w:r w:rsidR="00034B47">
        <w:rPr>
          <w:lang w:eastAsia="en-AU"/>
        </w:rPr>
        <w:t xml:space="preserve"> critical </w:t>
      </w:r>
      <w:r w:rsidR="002E58B7">
        <w:rPr>
          <w:lang w:eastAsia="en-AU"/>
        </w:rPr>
        <w:t>to identify, evaluate, and address</w:t>
      </w:r>
      <w:r w:rsidR="00034B47">
        <w:rPr>
          <w:lang w:eastAsia="en-AU"/>
        </w:rPr>
        <w:t xml:space="preserve"> the effects o</w:t>
      </w:r>
      <w:r w:rsidR="002E58B7">
        <w:rPr>
          <w:lang w:eastAsia="en-AU"/>
        </w:rPr>
        <w:t>f</w:t>
      </w:r>
      <w:r w:rsidR="00034B47">
        <w:rPr>
          <w:lang w:eastAsia="en-AU"/>
        </w:rPr>
        <w:t xml:space="preserve"> economic policies on gender inequality</w:t>
      </w:r>
      <w:r w:rsidR="00A052DF">
        <w:rPr>
          <w:lang w:eastAsia="en-AU"/>
        </w:rPr>
        <w:t xml:space="preserve">. </w:t>
      </w:r>
    </w:p>
    <w:p w14:paraId="3EC56965" w14:textId="0A9074E9" w:rsidR="00D11DC1" w:rsidRDefault="47F4424B" w:rsidP="005354FB">
      <w:pPr>
        <w:spacing w:before="120" w:after="120"/>
        <w:rPr>
          <w:rFonts w:eastAsia="Times New Roman" w:cs="Segoe UI"/>
          <w:lang w:eastAsia="en-AU"/>
        </w:rPr>
      </w:pPr>
      <w:r>
        <w:rPr>
          <w:lang w:eastAsia="en-AU"/>
        </w:rPr>
        <w:t xml:space="preserve">However, limiting the application of </w:t>
      </w:r>
      <w:r w:rsidR="2FE044BD">
        <w:rPr>
          <w:lang w:eastAsia="en-AU"/>
        </w:rPr>
        <w:t>GIA</w:t>
      </w:r>
      <w:r>
        <w:rPr>
          <w:lang w:eastAsia="en-AU"/>
        </w:rPr>
        <w:t xml:space="preserve"> to budge</w:t>
      </w:r>
      <w:r w:rsidR="400032C0">
        <w:rPr>
          <w:lang w:eastAsia="en-AU"/>
        </w:rPr>
        <w:t xml:space="preserve">t processes </w:t>
      </w:r>
      <w:r w:rsidR="24ED4302">
        <w:rPr>
          <w:lang w:eastAsia="en-AU"/>
        </w:rPr>
        <w:t xml:space="preserve">misses </w:t>
      </w:r>
      <w:r w:rsidR="4EE549ED">
        <w:rPr>
          <w:lang w:eastAsia="en-AU"/>
        </w:rPr>
        <w:t xml:space="preserve">a significant opportunity to embed </w:t>
      </w:r>
      <w:r w:rsidR="37F73D89">
        <w:rPr>
          <w:lang w:eastAsia="en-AU"/>
        </w:rPr>
        <w:t>gender equality</w:t>
      </w:r>
      <w:r w:rsidR="30E6F260">
        <w:rPr>
          <w:lang w:eastAsia="en-AU"/>
        </w:rPr>
        <w:t xml:space="preserve"> int</w:t>
      </w:r>
      <w:r w:rsidR="2FE044BD">
        <w:rPr>
          <w:lang w:eastAsia="en-AU"/>
        </w:rPr>
        <w:t xml:space="preserve">o </w:t>
      </w:r>
      <w:r w:rsidR="30E6F260">
        <w:rPr>
          <w:lang w:eastAsia="en-AU"/>
        </w:rPr>
        <w:t>Australia’s policy-making framework more broadly.</w:t>
      </w:r>
      <w:r w:rsidR="2FE044BD">
        <w:rPr>
          <w:lang w:eastAsia="en-AU"/>
        </w:rPr>
        <w:t xml:space="preserve"> </w:t>
      </w:r>
      <w:r w:rsidR="00872068">
        <w:rPr>
          <w:rFonts w:eastAsia="Times New Roman" w:cs="Segoe UI"/>
          <w:lang w:eastAsia="en-AU"/>
        </w:rPr>
        <w:t>Historical gender biases have generated a form of path dependency</w:t>
      </w:r>
      <w:r w:rsidR="38A7A8B1">
        <w:rPr>
          <w:rFonts w:eastAsia="Times New Roman" w:cs="Segoe UI"/>
          <w:lang w:eastAsia="en-AU"/>
        </w:rPr>
        <w:t xml:space="preserve"> in </w:t>
      </w:r>
      <w:r w:rsidR="4051FB81">
        <w:rPr>
          <w:rFonts w:eastAsia="Times New Roman" w:cs="Segoe UI"/>
          <w:lang w:eastAsia="en-AU"/>
        </w:rPr>
        <w:t xml:space="preserve">Australian </w:t>
      </w:r>
      <w:r w:rsidR="1026DFAE">
        <w:rPr>
          <w:rFonts w:eastAsia="Times New Roman" w:cs="Segoe UI"/>
          <w:lang w:eastAsia="en-AU"/>
        </w:rPr>
        <w:t>policymaking</w:t>
      </w:r>
      <w:r w:rsidR="38A7A8B1">
        <w:rPr>
          <w:rFonts w:eastAsia="Times New Roman" w:cs="Segoe UI"/>
          <w:lang w:eastAsia="en-AU"/>
        </w:rPr>
        <w:t xml:space="preserve">, whereby </w:t>
      </w:r>
      <w:r w:rsidR="45A9B71A">
        <w:rPr>
          <w:rFonts w:eastAsia="Times New Roman" w:cs="Segoe UI"/>
          <w:lang w:eastAsia="en-AU"/>
        </w:rPr>
        <w:t xml:space="preserve">past decisions about policy issues (uninformed by </w:t>
      </w:r>
      <w:r w:rsidR="24FE04BF">
        <w:rPr>
          <w:rFonts w:eastAsia="Times New Roman" w:cs="Segoe UI"/>
          <w:lang w:eastAsia="en-AU"/>
        </w:rPr>
        <w:t>gendered impacts</w:t>
      </w:r>
      <w:r w:rsidR="45A9B71A">
        <w:rPr>
          <w:rFonts w:eastAsia="Times New Roman" w:cs="Segoe UI"/>
          <w:lang w:eastAsia="en-AU"/>
        </w:rPr>
        <w:t>)</w:t>
      </w:r>
      <w:r w:rsidR="6AA0F2BC">
        <w:rPr>
          <w:rFonts w:eastAsia="Times New Roman" w:cs="Segoe UI"/>
          <w:lang w:eastAsia="en-AU"/>
        </w:rPr>
        <w:t xml:space="preserve"> dictate current </w:t>
      </w:r>
      <w:r w:rsidR="1026DFAE">
        <w:rPr>
          <w:rFonts w:eastAsia="Times New Roman" w:cs="Segoe UI"/>
          <w:lang w:eastAsia="en-AU"/>
        </w:rPr>
        <w:t>policymaking</w:t>
      </w:r>
      <w:r w:rsidR="6AA0F2BC">
        <w:rPr>
          <w:rFonts w:eastAsia="Times New Roman" w:cs="Segoe UI"/>
          <w:lang w:eastAsia="en-AU"/>
        </w:rPr>
        <w:t xml:space="preserve">. </w:t>
      </w:r>
      <w:r w:rsidR="426F966A">
        <w:rPr>
          <w:rFonts w:eastAsia="Times New Roman" w:cs="Segoe UI"/>
          <w:lang w:eastAsia="en-AU"/>
        </w:rPr>
        <w:t>T</w:t>
      </w:r>
      <w:r w:rsidR="6609B4A2">
        <w:rPr>
          <w:rFonts w:eastAsia="Times New Roman" w:cs="Segoe UI"/>
          <w:lang w:eastAsia="en-AU"/>
        </w:rPr>
        <w:t>o move away from this established path, the</w:t>
      </w:r>
      <w:r w:rsidR="426F966A">
        <w:rPr>
          <w:rFonts w:eastAsia="Times New Roman" w:cs="Segoe UI"/>
          <w:lang w:eastAsia="en-AU"/>
        </w:rPr>
        <w:t xml:space="preserve"> Australian Government </w:t>
      </w:r>
      <w:r w:rsidR="005F0EB0">
        <w:rPr>
          <w:rFonts w:eastAsia="Times New Roman" w:cs="Segoe UI"/>
          <w:lang w:eastAsia="en-AU"/>
        </w:rPr>
        <w:t xml:space="preserve">needs to </w:t>
      </w:r>
      <w:r w:rsidR="426F966A">
        <w:rPr>
          <w:rFonts w:eastAsia="Times New Roman" w:cs="Segoe UI"/>
          <w:lang w:eastAsia="en-AU"/>
        </w:rPr>
        <w:t xml:space="preserve">integrate </w:t>
      </w:r>
      <w:r w:rsidR="7B34E938">
        <w:rPr>
          <w:rFonts w:eastAsia="Times New Roman" w:cs="Segoe UI"/>
          <w:lang w:eastAsia="en-AU"/>
        </w:rPr>
        <w:t>GIA</w:t>
      </w:r>
      <w:r w:rsidR="01D3DA61">
        <w:rPr>
          <w:rFonts w:eastAsia="Times New Roman" w:cs="Segoe UI"/>
          <w:lang w:eastAsia="en-AU"/>
        </w:rPr>
        <w:t xml:space="preserve"> </w:t>
      </w:r>
      <w:r w:rsidR="07F29D4B" w:rsidRPr="00A64BA0">
        <w:rPr>
          <w:rFonts w:eastAsia="Times New Roman" w:cs="Segoe UI"/>
          <w:u w:val="single"/>
          <w:lang w:eastAsia="en-AU"/>
        </w:rPr>
        <w:t>as a requirement</w:t>
      </w:r>
      <w:r w:rsidR="07F29D4B">
        <w:rPr>
          <w:rFonts w:eastAsia="Times New Roman" w:cs="Segoe UI"/>
          <w:lang w:eastAsia="en-AU"/>
        </w:rPr>
        <w:t xml:space="preserve"> at all </w:t>
      </w:r>
      <w:r w:rsidR="2E6EF563">
        <w:rPr>
          <w:rFonts w:eastAsia="Times New Roman" w:cs="Segoe UI"/>
          <w:lang w:eastAsia="en-AU"/>
        </w:rPr>
        <w:t xml:space="preserve">levels of policy and </w:t>
      </w:r>
      <w:r w:rsidR="07F29D4B">
        <w:rPr>
          <w:rFonts w:eastAsia="Times New Roman" w:cs="Segoe UI"/>
          <w:lang w:eastAsia="en-AU"/>
        </w:rPr>
        <w:t>decision-making</w:t>
      </w:r>
      <w:r w:rsidR="2E6EF563">
        <w:rPr>
          <w:rFonts w:eastAsia="Times New Roman" w:cs="Segoe UI"/>
          <w:lang w:eastAsia="en-AU"/>
        </w:rPr>
        <w:t xml:space="preserve"> </w:t>
      </w:r>
      <w:r w:rsidR="1AC34D72">
        <w:rPr>
          <w:rFonts w:eastAsia="Times New Roman" w:cs="Segoe UI"/>
          <w:lang w:eastAsia="en-AU"/>
        </w:rPr>
        <w:t>processes</w:t>
      </w:r>
      <w:r w:rsidR="07F29D4B">
        <w:rPr>
          <w:rFonts w:eastAsia="Times New Roman" w:cs="Segoe UI"/>
          <w:lang w:eastAsia="en-AU"/>
        </w:rPr>
        <w:t>.</w:t>
      </w:r>
      <w:r w:rsidR="004011E9">
        <w:rPr>
          <w:rStyle w:val="FootnoteReference"/>
          <w:rFonts w:eastAsia="Times New Roman" w:cs="Segoe UI"/>
          <w:lang w:eastAsia="en-AU"/>
        </w:rPr>
        <w:footnoteReference w:id="62"/>
      </w:r>
    </w:p>
    <w:p w14:paraId="592D5142" w14:textId="380CE110" w:rsidR="00052063" w:rsidRPr="00917FA6" w:rsidRDefault="009E1B69" w:rsidP="005354FB">
      <w:pPr>
        <w:spacing w:before="120" w:after="120"/>
        <w:rPr>
          <w:rFonts w:eastAsia="Times New Roman" w:cs="Segoe UI"/>
          <w:lang w:eastAsia="en-AU"/>
        </w:rPr>
      </w:pPr>
      <w:r>
        <w:rPr>
          <w:lang w:eastAsia="en-AU"/>
        </w:rPr>
        <w:t xml:space="preserve">Under the GE Act, </w:t>
      </w:r>
      <w:r>
        <w:rPr>
          <w:rFonts w:eastAsia="Times New Roman" w:cs="Segoe UI"/>
          <w:lang w:eastAsia="en-AU"/>
        </w:rPr>
        <w:t>entities</w:t>
      </w:r>
      <w:r w:rsidRPr="007E40B0">
        <w:rPr>
          <w:rFonts w:eastAsia="Times New Roman" w:cs="Segoe UI"/>
          <w:lang w:eastAsia="en-AU"/>
        </w:rPr>
        <w:t xml:space="preserve"> must undertake GIA on all policies, programs and services that are being developed or are up for review and that have a </w:t>
      </w:r>
      <w:hyperlink r:id="rId19">
        <w:r w:rsidR="28A1A470" w:rsidRPr="607976D0">
          <w:rPr>
            <w:rStyle w:val="Hyperlink"/>
            <w:rFonts w:eastAsia="Times New Roman" w:cs="Segoe UI"/>
            <w:lang w:eastAsia="en-AU"/>
          </w:rPr>
          <w:t>direct and significant impact on</w:t>
        </w:r>
        <w:r w:rsidR="28A1A470" w:rsidRPr="607976D0">
          <w:rPr>
            <w:rStyle w:val="Hyperlink"/>
            <w:rFonts w:ascii="Cambria" w:eastAsia="Times New Roman" w:hAnsi="Cambria" w:cs="Cambria"/>
            <w:lang w:eastAsia="en-AU"/>
          </w:rPr>
          <w:t> </w:t>
        </w:r>
        <w:r w:rsidR="28A1A470" w:rsidRPr="607976D0">
          <w:rPr>
            <w:rStyle w:val="Hyperlink"/>
            <w:rFonts w:eastAsia="Times New Roman" w:cs="Segoe UI"/>
            <w:lang w:eastAsia="en-AU"/>
          </w:rPr>
          <w:t>the public</w:t>
        </w:r>
      </w:hyperlink>
      <w:r w:rsidR="28A1A470" w:rsidRPr="607976D0">
        <w:rPr>
          <w:rFonts w:eastAsia="Times New Roman" w:cs="Segoe UI"/>
          <w:lang w:eastAsia="en-AU"/>
        </w:rPr>
        <w:t>.</w:t>
      </w:r>
      <w:r w:rsidR="008551B8">
        <w:rPr>
          <w:rFonts w:eastAsia="Times New Roman" w:cs="Segoe UI"/>
          <w:lang w:eastAsia="en-AU"/>
        </w:rPr>
        <w:t xml:space="preserve"> This includes </w:t>
      </w:r>
      <w:r w:rsidR="005B4566">
        <w:rPr>
          <w:rFonts w:eastAsia="Times New Roman" w:cs="Segoe UI"/>
          <w:lang w:eastAsia="en-AU"/>
        </w:rPr>
        <w:t xml:space="preserve">legal policy proposals (including proposals for legislative and regulatory amendment), </w:t>
      </w:r>
      <w:r w:rsidR="00E5047C">
        <w:rPr>
          <w:rFonts w:eastAsia="Times New Roman" w:cs="Segoe UI"/>
          <w:lang w:eastAsia="en-AU"/>
        </w:rPr>
        <w:t xml:space="preserve">infrastructure development, </w:t>
      </w:r>
      <w:r w:rsidR="007458A3">
        <w:rPr>
          <w:rFonts w:eastAsia="Times New Roman" w:cs="Segoe UI"/>
          <w:lang w:eastAsia="en-AU"/>
        </w:rPr>
        <w:t xml:space="preserve">and services </w:t>
      </w:r>
      <w:r w:rsidR="00A52F1A">
        <w:rPr>
          <w:rFonts w:eastAsia="Times New Roman" w:cs="Segoe UI"/>
          <w:lang w:eastAsia="en-AU"/>
        </w:rPr>
        <w:t xml:space="preserve">in the areas of aged care, </w:t>
      </w:r>
      <w:r w:rsidR="009675BF">
        <w:rPr>
          <w:rFonts w:eastAsia="Times New Roman" w:cs="Segoe UI"/>
          <w:lang w:eastAsia="en-AU"/>
        </w:rPr>
        <w:t xml:space="preserve">healthcare, </w:t>
      </w:r>
      <w:r w:rsidR="00FD632E">
        <w:rPr>
          <w:rFonts w:eastAsia="Times New Roman" w:cs="Segoe UI"/>
          <w:lang w:eastAsia="en-AU"/>
        </w:rPr>
        <w:t xml:space="preserve">transport, </w:t>
      </w:r>
      <w:r w:rsidR="009675BF">
        <w:rPr>
          <w:rFonts w:eastAsia="Times New Roman" w:cs="Segoe UI"/>
          <w:lang w:eastAsia="en-AU"/>
        </w:rPr>
        <w:t>planning</w:t>
      </w:r>
      <w:r w:rsidR="00A52F1A">
        <w:rPr>
          <w:rFonts w:eastAsia="Times New Roman" w:cs="Segoe UI"/>
          <w:lang w:eastAsia="en-AU"/>
        </w:rPr>
        <w:t>,</w:t>
      </w:r>
      <w:r w:rsidR="00C57A3E">
        <w:rPr>
          <w:rFonts w:eastAsia="Times New Roman" w:cs="Segoe UI"/>
          <w:lang w:eastAsia="en-AU"/>
        </w:rPr>
        <w:t xml:space="preserve"> </w:t>
      </w:r>
      <w:r w:rsidR="00FD632E">
        <w:rPr>
          <w:rFonts w:eastAsia="Times New Roman" w:cs="Segoe UI"/>
          <w:lang w:eastAsia="en-AU"/>
        </w:rPr>
        <w:t xml:space="preserve">and other </w:t>
      </w:r>
      <w:r w:rsidR="009675BF">
        <w:rPr>
          <w:rFonts w:eastAsia="Times New Roman" w:cs="Segoe UI"/>
          <w:lang w:eastAsia="en-AU"/>
        </w:rPr>
        <w:t>areas of public service deliver</w:t>
      </w:r>
      <w:r w:rsidR="00FD632E">
        <w:rPr>
          <w:rFonts w:eastAsia="Times New Roman" w:cs="Segoe UI"/>
          <w:lang w:eastAsia="en-AU"/>
        </w:rPr>
        <w:t>.</w:t>
      </w:r>
      <w:r w:rsidR="00A52F1A">
        <w:rPr>
          <w:rFonts w:eastAsia="Times New Roman" w:cs="Segoe UI"/>
          <w:lang w:eastAsia="en-AU"/>
        </w:rPr>
        <w:t xml:space="preserve"> </w:t>
      </w:r>
      <w:r w:rsidR="008724A7">
        <w:rPr>
          <w:rFonts w:eastAsia="Times New Roman" w:cs="Segoe UI"/>
          <w:lang w:eastAsia="en-AU"/>
        </w:rPr>
        <w:t xml:space="preserve">I strongly recommend that </w:t>
      </w:r>
      <w:r w:rsidR="00076008">
        <w:rPr>
          <w:rFonts w:eastAsia="Times New Roman" w:cs="Segoe UI"/>
          <w:lang w:eastAsia="en-AU"/>
        </w:rPr>
        <w:t>the obligation to conduct a GIA is modelled on that contained in Victoria’s GE Act and that the Commission is consulted throughout the process.</w:t>
      </w:r>
      <w:r w:rsidR="00917FA6" w:rsidRPr="00917FA6">
        <w:rPr>
          <w:noProof/>
          <w:highlight w:val="yellow"/>
          <w:lang w:eastAsia="en-AU"/>
        </w:rPr>
        <w:t xml:space="preserve"> </w:t>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2E58B7" w14:paraId="0DC79E6B" w14:textId="77777777" w:rsidTr="002E58B7">
        <w:tc>
          <w:tcPr>
            <w:tcW w:w="9016" w:type="dxa"/>
            <w:tcBorders>
              <w:top w:val="nil"/>
              <w:left w:val="nil"/>
              <w:bottom w:val="nil"/>
              <w:right w:val="nil"/>
            </w:tcBorders>
            <w:shd w:val="clear" w:color="auto" w:fill="E7E6E6" w:themeFill="background2"/>
          </w:tcPr>
          <w:p w14:paraId="0F3F0C6A" w14:textId="3CDEA9D3" w:rsidR="002E58B7" w:rsidRDefault="002E58B7" w:rsidP="005354FB">
            <w:pPr>
              <w:pStyle w:val="Heading3"/>
              <w:spacing w:before="120" w:after="120"/>
            </w:pPr>
            <w:r>
              <w:t>Recommendation 11</w:t>
            </w:r>
          </w:p>
          <w:p w14:paraId="00CBF177" w14:textId="47E2205E" w:rsidR="002E58B7" w:rsidRPr="002E58B7" w:rsidRDefault="002E58B7" w:rsidP="005354FB">
            <w:pPr>
              <w:spacing w:before="120" w:after="120"/>
              <w:rPr>
                <w:sz w:val="22"/>
                <w:szCs w:val="22"/>
              </w:rPr>
            </w:pPr>
            <w:r w:rsidRPr="002E58B7">
              <w:rPr>
                <w:sz w:val="22"/>
                <w:szCs w:val="22"/>
              </w:rPr>
              <w:t xml:space="preserve">That the </w:t>
            </w:r>
            <w:r w:rsidR="00DB5020">
              <w:rPr>
                <w:sz w:val="22"/>
                <w:szCs w:val="22"/>
              </w:rPr>
              <w:t xml:space="preserve">National </w:t>
            </w:r>
            <w:r w:rsidRPr="002E58B7">
              <w:rPr>
                <w:sz w:val="22"/>
                <w:szCs w:val="22"/>
              </w:rPr>
              <w:t>Strategy:</w:t>
            </w:r>
          </w:p>
          <w:p w14:paraId="2AFB0320" w14:textId="77777777" w:rsidR="002E58B7" w:rsidRPr="002E58B7" w:rsidRDefault="002E58B7" w:rsidP="00BB5FA6">
            <w:pPr>
              <w:pStyle w:val="ListParagraph"/>
              <w:numPr>
                <w:ilvl w:val="0"/>
                <w:numId w:val="10"/>
              </w:numPr>
              <w:spacing w:before="120" w:after="120"/>
              <w:contextualSpacing w:val="0"/>
              <w:rPr>
                <w:sz w:val="22"/>
                <w:szCs w:val="22"/>
              </w:rPr>
            </w:pPr>
            <w:r w:rsidRPr="002E58B7">
              <w:rPr>
                <w:sz w:val="22"/>
                <w:szCs w:val="22"/>
              </w:rPr>
              <w:t>Include an express commitment to embedding gender impact assessment (GIA) in the Commonwealth public sector, beyond the current application to budget processes.</w:t>
            </w:r>
          </w:p>
          <w:p w14:paraId="5E787727" w14:textId="77777777" w:rsidR="002E58B7" w:rsidRPr="002E58B7" w:rsidRDefault="002E58B7" w:rsidP="00DE4C1F">
            <w:pPr>
              <w:pStyle w:val="ListParagraph"/>
              <w:numPr>
                <w:ilvl w:val="1"/>
                <w:numId w:val="15"/>
              </w:numPr>
              <w:spacing w:before="120" w:after="120"/>
              <w:ind w:hanging="357"/>
              <w:contextualSpacing w:val="0"/>
              <w:rPr>
                <w:sz w:val="22"/>
                <w:szCs w:val="22"/>
              </w:rPr>
            </w:pPr>
            <w:r w:rsidRPr="002E58B7">
              <w:rPr>
                <w:sz w:val="22"/>
                <w:szCs w:val="22"/>
              </w:rPr>
              <w:t xml:space="preserve">Introduce an obligation, whether in the </w:t>
            </w:r>
            <w:r w:rsidRPr="002E58B7">
              <w:rPr>
                <w:i/>
                <w:iCs/>
                <w:sz w:val="22"/>
                <w:szCs w:val="22"/>
              </w:rPr>
              <w:t>Workplace Gender Equality Act 2012</w:t>
            </w:r>
            <w:r w:rsidRPr="002E58B7">
              <w:rPr>
                <w:sz w:val="22"/>
                <w:szCs w:val="22"/>
              </w:rPr>
              <w:t xml:space="preserve"> (Cth) or other legislative mechanisms, for all Commonwealth agencies, administrative offices, judicial offices and all Commonwealth-funded programs or services, to undertake GIA on all policies, programs, and services with a direct and significant impact on the public.</w:t>
            </w:r>
          </w:p>
          <w:p w14:paraId="4AE351D8" w14:textId="5981AA8B" w:rsidR="002E58B7" w:rsidRPr="002E58B7" w:rsidRDefault="002E58B7" w:rsidP="00DE4C1F">
            <w:pPr>
              <w:pStyle w:val="ListParagraph"/>
              <w:numPr>
                <w:ilvl w:val="1"/>
                <w:numId w:val="15"/>
              </w:numPr>
              <w:spacing w:before="120" w:after="120"/>
              <w:ind w:hanging="357"/>
              <w:contextualSpacing w:val="0"/>
            </w:pPr>
            <w:r w:rsidRPr="002E58B7">
              <w:rPr>
                <w:sz w:val="22"/>
                <w:szCs w:val="22"/>
              </w:rPr>
              <w:t>Embed GIA in the federal legislative and regulatory development process to ensure that all new and amending legislation and regulations are developed with a gender lens</w:t>
            </w:r>
          </w:p>
        </w:tc>
      </w:tr>
    </w:tbl>
    <w:p w14:paraId="3B1FACC2" w14:textId="5BEFD561" w:rsidR="00B93CD4" w:rsidRPr="00917FA6" w:rsidRDefault="003610CB" w:rsidP="005354FB">
      <w:pPr>
        <w:pStyle w:val="Heading3"/>
        <w:spacing w:before="120" w:after="120"/>
        <w:rPr>
          <w:lang w:eastAsia="en-AU"/>
        </w:rPr>
      </w:pPr>
      <w:r w:rsidRPr="00917FA6">
        <w:rPr>
          <w:lang w:eastAsia="en-AU"/>
        </w:rPr>
        <w:t>Develop policies to increase women’s participation in the workforce</w:t>
      </w:r>
    </w:p>
    <w:p w14:paraId="2C840DF9" w14:textId="10142E2D" w:rsidR="00945FD6" w:rsidRDefault="00556BC4" w:rsidP="00C359BF">
      <w:pPr>
        <w:pStyle w:val="Heading4"/>
        <w:spacing w:before="120" w:after="120"/>
      </w:pPr>
      <w:r>
        <w:t>A</w:t>
      </w:r>
      <w:r w:rsidR="00AA6AC3">
        <w:t xml:space="preserve">lternative </w:t>
      </w:r>
      <w:r w:rsidR="00D359ED">
        <w:t>childcare</w:t>
      </w:r>
      <w:r w:rsidR="00AA6AC3">
        <w:t xml:space="preserve"> </w:t>
      </w:r>
      <w:r w:rsidR="000B5A64">
        <w:t xml:space="preserve">and non-care </w:t>
      </w:r>
      <w:r w:rsidR="00B95F65">
        <w:t>household supports</w:t>
      </w:r>
      <w:r w:rsidR="000B5A64">
        <w:t xml:space="preserve"> </w:t>
      </w:r>
    </w:p>
    <w:p w14:paraId="7082A023" w14:textId="751B8A67" w:rsidR="00BF61BE" w:rsidRDefault="238AA16A" w:rsidP="00BB5FA6">
      <w:pPr>
        <w:spacing w:before="120" w:after="120"/>
      </w:pPr>
      <w:r>
        <w:t xml:space="preserve">Access and affordability of childcare is one of the most significant </w:t>
      </w:r>
      <w:r w:rsidR="0463D72E">
        <w:t>barriers</w:t>
      </w:r>
      <w:r>
        <w:t xml:space="preserve"> to women’s workforce participation</w:t>
      </w:r>
      <w:r w:rsidR="5921DF25">
        <w:t>,</w:t>
      </w:r>
      <w:r>
        <w:t xml:space="preserve"> and therefore must be addressed</w:t>
      </w:r>
      <w:r w:rsidR="45F101CD">
        <w:t xml:space="preserve"> if we are to achieve</w:t>
      </w:r>
      <w:r>
        <w:t xml:space="preserve"> gender</w:t>
      </w:r>
      <w:r w:rsidR="45F101CD">
        <w:t xml:space="preserve"> equality</w:t>
      </w:r>
      <w:r>
        <w:t xml:space="preserve"> in the workforce</w:t>
      </w:r>
      <w:r w:rsidR="3486A6C2">
        <w:t xml:space="preserve"> and in the Australia</w:t>
      </w:r>
      <w:r w:rsidR="7824DB39">
        <w:t>n</w:t>
      </w:r>
      <w:r w:rsidR="3486A6C2">
        <w:t xml:space="preserve"> community</w:t>
      </w:r>
      <w:r w:rsidR="0E8CC4CE">
        <w:t xml:space="preserve"> more broadly.</w:t>
      </w:r>
      <w:r>
        <w:t xml:space="preserve"> </w:t>
      </w:r>
      <w:r w:rsidR="45F101CD">
        <w:t>R</w:t>
      </w:r>
      <w:r>
        <w:t xml:space="preserve">aising </w:t>
      </w:r>
      <w:r>
        <w:lastRenderedPageBreak/>
        <w:t>children leads to a 17</w:t>
      </w:r>
      <w:r w:rsidR="45F101CD">
        <w:t xml:space="preserve">% </w:t>
      </w:r>
      <w:r>
        <w:t>reduction in lifetime earnings for Australian women</w:t>
      </w:r>
      <w:r w:rsidR="0463D72E">
        <w:t>,</w:t>
      </w:r>
      <w:r w:rsidR="00F6668F">
        <w:rPr>
          <w:rStyle w:val="FootnoteReference"/>
        </w:rPr>
        <w:footnoteReference w:id="63"/>
      </w:r>
      <w:r w:rsidR="0463D72E">
        <w:t xml:space="preserve"> </w:t>
      </w:r>
      <w:r w:rsidR="489D5430">
        <w:t xml:space="preserve">and </w:t>
      </w:r>
      <w:r w:rsidR="0463D72E">
        <w:t>while more men are staying at home with children than ever before, it is still women who do the lion’s share of childcare. In 2018-19, 48% of Australian women mentioned ‘caring for children’ as the main reason they were unavailable to start a new job or work more hours, compared to just 3% of men.</w:t>
      </w:r>
      <w:r w:rsidR="009D2536">
        <w:rPr>
          <w:rStyle w:val="FootnoteReference"/>
        </w:rPr>
        <w:footnoteReference w:id="64"/>
      </w:r>
    </w:p>
    <w:p w14:paraId="33B96AF5" w14:textId="4EEEBD30" w:rsidR="00034A99" w:rsidRDefault="27E263D6" w:rsidP="005833B6">
      <w:pPr>
        <w:pStyle w:val="CommentText"/>
        <w:spacing w:before="120" w:after="120" w:line="259" w:lineRule="auto"/>
        <w:rPr>
          <w:rStyle w:val="IntenseEmphasis"/>
          <w:i w:val="0"/>
          <w:iCs w:val="0"/>
          <w:color w:val="auto"/>
          <w:sz w:val="22"/>
          <w:szCs w:val="21"/>
        </w:rPr>
      </w:pPr>
      <w:r w:rsidRPr="155C1719">
        <w:rPr>
          <w:sz w:val="22"/>
          <w:szCs w:val="22"/>
        </w:rPr>
        <w:t xml:space="preserve">Australian families </w:t>
      </w:r>
      <w:r w:rsidR="61D465F1" w:rsidRPr="155C1719">
        <w:rPr>
          <w:sz w:val="22"/>
          <w:szCs w:val="22"/>
        </w:rPr>
        <w:t>currently pay some of the highest fees for childcare in the world</w:t>
      </w:r>
      <w:r w:rsidR="7D46817D" w:rsidRPr="155C1719">
        <w:rPr>
          <w:sz w:val="22"/>
          <w:szCs w:val="22"/>
        </w:rPr>
        <w:t>, far more than in most OECD nations.</w:t>
      </w:r>
      <w:r w:rsidR="00565423" w:rsidRPr="003B7BC4">
        <w:rPr>
          <w:rStyle w:val="FootnoteReference"/>
          <w:sz w:val="22"/>
          <w:szCs w:val="22"/>
        </w:rPr>
        <w:footnoteReference w:id="65"/>
      </w:r>
      <w:r w:rsidR="7D46817D" w:rsidRPr="155C1719">
        <w:rPr>
          <w:sz w:val="22"/>
          <w:szCs w:val="22"/>
        </w:rPr>
        <w:t xml:space="preserve"> In contra</w:t>
      </w:r>
      <w:r w:rsidR="1AA02319" w:rsidRPr="155C1719">
        <w:rPr>
          <w:sz w:val="22"/>
          <w:szCs w:val="22"/>
        </w:rPr>
        <w:t xml:space="preserve">st, Government spending on </w:t>
      </w:r>
      <w:r w:rsidR="7D04E538" w:rsidRPr="155C1719">
        <w:rPr>
          <w:sz w:val="22"/>
          <w:szCs w:val="22"/>
        </w:rPr>
        <w:t>early</w:t>
      </w:r>
      <w:r w:rsidR="2653C71D" w:rsidRPr="155C1719">
        <w:rPr>
          <w:sz w:val="22"/>
          <w:szCs w:val="22"/>
        </w:rPr>
        <w:t xml:space="preserve"> childhood education and care</w:t>
      </w:r>
      <w:r w:rsidR="2711EB89" w:rsidRPr="155C1719">
        <w:rPr>
          <w:sz w:val="22"/>
          <w:szCs w:val="22"/>
        </w:rPr>
        <w:t xml:space="preserve"> (ECEC)</w:t>
      </w:r>
      <w:r w:rsidR="050798C7" w:rsidRPr="155C1719">
        <w:rPr>
          <w:sz w:val="22"/>
          <w:szCs w:val="22"/>
        </w:rPr>
        <w:t xml:space="preserve"> </w:t>
      </w:r>
      <w:r w:rsidR="45CACB6C" w:rsidRPr="155C1719">
        <w:rPr>
          <w:sz w:val="22"/>
          <w:szCs w:val="22"/>
        </w:rPr>
        <w:t xml:space="preserve">is </w:t>
      </w:r>
      <w:r w:rsidR="60E46FEB" w:rsidRPr="155C1719">
        <w:rPr>
          <w:sz w:val="22"/>
          <w:szCs w:val="22"/>
        </w:rPr>
        <w:t>below the OECD average</w:t>
      </w:r>
      <w:r w:rsidR="7107B3C4" w:rsidRPr="155C1719">
        <w:rPr>
          <w:sz w:val="22"/>
          <w:szCs w:val="22"/>
        </w:rPr>
        <w:t xml:space="preserve"> and far below</w:t>
      </w:r>
      <w:r w:rsidR="06C02468" w:rsidRPr="155C1719">
        <w:rPr>
          <w:sz w:val="22"/>
          <w:szCs w:val="22"/>
        </w:rPr>
        <w:t xml:space="preserve"> the spending in nations with quality ECEC systems and high levels of female workforce parti</w:t>
      </w:r>
      <w:r w:rsidR="2AAB63D6" w:rsidRPr="155C1719">
        <w:rPr>
          <w:sz w:val="22"/>
          <w:szCs w:val="22"/>
        </w:rPr>
        <w:t>ci</w:t>
      </w:r>
      <w:r w:rsidR="06C02468" w:rsidRPr="155C1719">
        <w:rPr>
          <w:sz w:val="22"/>
          <w:szCs w:val="22"/>
        </w:rPr>
        <w:t>pation.</w:t>
      </w:r>
      <w:r w:rsidR="008F7561" w:rsidRPr="003B7BC4">
        <w:rPr>
          <w:rStyle w:val="FootnoteReference"/>
          <w:sz w:val="22"/>
          <w:szCs w:val="22"/>
        </w:rPr>
        <w:footnoteReference w:id="66"/>
      </w:r>
      <w:r w:rsidR="60E46FEB" w:rsidRPr="155C1719">
        <w:rPr>
          <w:sz w:val="22"/>
          <w:szCs w:val="22"/>
        </w:rPr>
        <w:t xml:space="preserve"> </w:t>
      </w:r>
      <w:r w:rsidR="5A350E54" w:rsidRPr="003B7BC4">
        <w:rPr>
          <w:sz w:val="22"/>
          <w:szCs w:val="22"/>
        </w:rPr>
        <w:t>Whi</w:t>
      </w:r>
      <w:r w:rsidR="2711EB89" w:rsidRPr="003B7BC4">
        <w:rPr>
          <w:sz w:val="22"/>
          <w:szCs w:val="22"/>
        </w:rPr>
        <w:t>le</w:t>
      </w:r>
      <w:r w:rsidR="5A350E54" w:rsidRPr="003B7BC4">
        <w:rPr>
          <w:sz w:val="22"/>
          <w:szCs w:val="22"/>
        </w:rPr>
        <w:t xml:space="preserve"> I applaud the Government’s </w:t>
      </w:r>
      <w:r w:rsidR="5EDFACDA" w:rsidRPr="003B7BC4">
        <w:rPr>
          <w:sz w:val="22"/>
          <w:szCs w:val="22"/>
        </w:rPr>
        <w:t xml:space="preserve">commitment to </w:t>
      </w:r>
      <w:r w:rsidR="0CD5D890" w:rsidRPr="003B7BC4">
        <w:rPr>
          <w:sz w:val="22"/>
          <w:szCs w:val="22"/>
        </w:rPr>
        <w:t xml:space="preserve">boost the </w:t>
      </w:r>
      <w:r w:rsidR="2711EB89" w:rsidRPr="003B7BC4">
        <w:rPr>
          <w:sz w:val="22"/>
          <w:szCs w:val="22"/>
        </w:rPr>
        <w:t>Child Care Subsidy</w:t>
      </w:r>
      <w:r w:rsidR="0CD5D890" w:rsidRPr="003B7BC4">
        <w:rPr>
          <w:sz w:val="22"/>
          <w:szCs w:val="22"/>
        </w:rPr>
        <w:t xml:space="preserve"> rate </w:t>
      </w:r>
      <w:r w:rsidR="3344845E" w:rsidRPr="003B7BC4">
        <w:rPr>
          <w:sz w:val="22"/>
          <w:szCs w:val="22"/>
        </w:rPr>
        <w:t>for 96% of families from July 2023,</w:t>
      </w:r>
      <w:r w:rsidR="00182C13" w:rsidRPr="003B7BC4">
        <w:rPr>
          <w:rStyle w:val="FootnoteReference"/>
          <w:sz w:val="22"/>
          <w:szCs w:val="22"/>
        </w:rPr>
        <w:footnoteReference w:id="67"/>
      </w:r>
      <w:r w:rsidR="3344845E" w:rsidRPr="003B7BC4">
        <w:rPr>
          <w:sz w:val="22"/>
          <w:szCs w:val="22"/>
        </w:rPr>
        <w:t xml:space="preserve"> </w:t>
      </w:r>
      <w:r w:rsidR="00161E55" w:rsidRPr="003B7BC4">
        <w:rPr>
          <w:sz w:val="22"/>
          <w:szCs w:val="22"/>
        </w:rPr>
        <w:t xml:space="preserve">it is clear that </w:t>
      </w:r>
      <w:r w:rsidR="28934370" w:rsidRPr="003B7BC4">
        <w:rPr>
          <w:sz w:val="22"/>
          <w:szCs w:val="22"/>
        </w:rPr>
        <w:t>additional and</w:t>
      </w:r>
      <w:r w:rsidR="6052B732" w:rsidRPr="003B7BC4">
        <w:rPr>
          <w:sz w:val="22"/>
          <w:szCs w:val="22"/>
        </w:rPr>
        <w:t xml:space="preserve"> </w:t>
      </w:r>
      <w:r w:rsidR="52D72FBC" w:rsidRPr="003B7BC4">
        <w:rPr>
          <w:sz w:val="22"/>
          <w:szCs w:val="22"/>
        </w:rPr>
        <w:t xml:space="preserve">alternative measures for </w:t>
      </w:r>
      <w:r w:rsidR="2011DE75" w:rsidRPr="003B7BC4">
        <w:rPr>
          <w:sz w:val="22"/>
          <w:szCs w:val="22"/>
        </w:rPr>
        <w:t xml:space="preserve">increasing </w:t>
      </w:r>
      <w:r w:rsidR="4E0BDECB" w:rsidRPr="003B7BC4">
        <w:rPr>
          <w:sz w:val="22"/>
          <w:szCs w:val="22"/>
        </w:rPr>
        <w:t>women’s workforce part</w:t>
      </w:r>
      <w:r w:rsidR="42B9B142" w:rsidRPr="003B7BC4">
        <w:rPr>
          <w:sz w:val="22"/>
          <w:szCs w:val="22"/>
        </w:rPr>
        <w:t xml:space="preserve">icipation </w:t>
      </w:r>
      <w:r w:rsidR="00161E55" w:rsidRPr="003B7BC4">
        <w:rPr>
          <w:sz w:val="22"/>
          <w:szCs w:val="22"/>
        </w:rPr>
        <w:t>are required</w:t>
      </w:r>
      <w:r w:rsidR="0A4D1FE9" w:rsidRPr="003B7BC4">
        <w:rPr>
          <w:sz w:val="22"/>
          <w:szCs w:val="22"/>
        </w:rPr>
        <w:t>. For example</w:t>
      </w:r>
      <w:r w:rsidR="2711EB89" w:rsidRPr="003B7BC4">
        <w:rPr>
          <w:sz w:val="22"/>
          <w:szCs w:val="22"/>
        </w:rPr>
        <w:t>, i</w:t>
      </w:r>
      <w:r w:rsidR="51E064B4" w:rsidRPr="003B7BC4">
        <w:rPr>
          <w:sz w:val="22"/>
          <w:szCs w:val="22"/>
        </w:rPr>
        <w:t xml:space="preserve">n </w:t>
      </w:r>
      <w:r w:rsidR="11A3766C" w:rsidRPr="003B7BC4">
        <w:rPr>
          <w:sz w:val="22"/>
          <w:szCs w:val="22"/>
        </w:rPr>
        <w:t xml:space="preserve">Saudi Arabia, </w:t>
      </w:r>
      <w:r w:rsidR="09D506D7" w:rsidRPr="003B7BC4">
        <w:rPr>
          <w:sz w:val="22"/>
          <w:szCs w:val="22"/>
        </w:rPr>
        <w:t>any employer employing 50 or more women must establish a suitable place with enough caregivers for</w:t>
      </w:r>
      <w:r w:rsidR="7B7F87A0" w:rsidRPr="003B7BC4">
        <w:rPr>
          <w:sz w:val="22"/>
          <w:szCs w:val="22"/>
        </w:rPr>
        <w:t xml:space="preserve"> their employees’ children</w:t>
      </w:r>
      <w:r w:rsidR="72DCDD44" w:rsidRPr="003B7BC4">
        <w:rPr>
          <w:sz w:val="22"/>
          <w:szCs w:val="22"/>
        </w:rPr>
        <w:t xml:space="preserve"> under the age of 6, where there are 10 or more children requiring such care across the workplace</w:t>
      </w:r>
      <w:r w:rsidR="2711EB89">
        <w:rPr>
          <w:szCs w:val="21"/>
        </w:rPr>
        <w:t>.</w:t>
      </w:r>
      <w:r w:rsidR="00173B67" w:rsidRPr="155C1719">
        <w:rPr>
          <w:rStyle w:val="FootnoteReference"/>
        </w:rPr>
        <w:footnoteReference w:id="68"/>
      </w:r>
      <w:r w:rsidR="2711EB89" w:rsidRPr="155C1719">
        <w:rPr>
          <w:rStyle w:val="IntenseEmphasis"/>
          <w:i w:val="0"/>
          <w:iCs w:val="0"/>
          <w:color w:val="auto"/>
        </w:rPr>
        <w:t xml:space="preserve"> </w:t>
      </w:r>
    </w:p>
    <w:p w14:paraId="5EAC2F08" w14:textId="049863FF" w:rsidR="00BD0981" w:rsidRDefault="1F1F2BE9" w:rsidP="155C1719">
      <w:pPr>
        <w:spacing w:before="120" w:after="120"/>
      </w:pPr>
      <w:r>
        <w:t>Recent data also suggests that women in Australia are 3.5 times more likely to have spent 30+ hours on unpaid domestic work (including roughly 10 hours of housework)</w:t>
      </w:r>
      <w:r w:rsidR="00034A99" w:rsidRPr="162EB42F">
        <w:rPr>
          <w:rStyle w:val="FootnoteReference"/>
        </w:rPr>
        <w:footnoteReference w:id="69"/>
      </w:r>
      <w:r>
        <w:t xml:space="preserve"> per week than men.</w:t>
      </w:r>
      <w:r w:rsidR="00034A99" w:rsidRPr="162EB42F">
        <w:rPr>
          <w:rStyle w:val="FootnoteReference"/>
        </w:rPr>
        <w:footnoteReference w:id="70"/>
      </w:r>
      <w:r>
        <w:t xml:space="preserve"> </w:t>
      </w:r>
      <w:r w:rsidR="3EE992B2">
        <w:t xml:space="preserve">The National Strategy should therefore include specific measures </w:t>
      </w:r>
      <w:r w:rsidR="7A52A0E8">
        <w:t xml:space="preserve">to address </w:t>
      </w:r>
      <w:r w:rsidR="47165152">
        <w:t>this burden of unpaid work on women. For example,</w:t>
      </w:r>
      <w:r w:rsidR="3EE992B2">
        <w:t xml:space="preserve"> </w:t>
      </w:r>
      <w:r w:rsidR="47165152">
        <w:t>s</w:t>
      </w:r>
      <w:r w:rsidR="0CE7D57D" w:rsidRPr="155C1719">
        <w:t xml:space="preserve">everal </w:t>
      </w:r>
      <w:r w:rsidR="3E0BBF3C" w:rsidRPr="155C1719">
        <w:t>OECD</w:t>
      </w:r>
      <w:r w:rsidR="0CE7D57D" w:rsidRPr="155C1719">
        <w:t xml:space="preserve"> nations, including Sweden</w:t>
      </w:r>
      <w:r w:rsidR="00161E55">
        <w:rPr>
          <w:szCs w:val="21"/>
        </w:rPr>
        <w:t xml:space="preserve"> </w:t>
      </w:r>
      <w:r w:rsidR="0CE7D57D" w:rsidRPr="155C1719">
        <w:t>and France</w:t>
      </w:r>
      <w:r w:rsidR="3E0BBF3C" w:rsidRPr="155C1719">
        <w:t>, have</w:t>
      </w:r>
      <w:r w:rsidR="2711EB89">
        <w:rPr>
          <w:szCs w:val="21"/>
        </w:rPr>
        <w:t xml:space="preserve"> </w:t>
      </w:r>
      <w:r w:rsidR="3543E76B" w:rsidRPr="155C1719">
        <w:t xml:space="preserve">implemented </w:t>
      </w:r>
      <w:r w:rsidR="4D4D339E" w:rsidRPr="155C1719">
        <w:t>policies</w:t>
      </w:r>
      <w:r w:rsidR="3543E76B" w:rsidRPr="00CF68AA">
        <w:rPr>
          <w:szCs w:val="21"/>
        </w:rPr>
        <w:t xml:space="preserve"> </w:t>
      </w:r>
      <w:r w:rsidR="0FCDC211" w:rsidRPr="155C1719">
        <w:t>to boost the non-care hous</w:t>
      </w:r>
      <w:r w:rsidR="1FE23095" w:rsidRPr="155C1719">
        <w:t>ehold service sector</w:t>
      </w:r>
      <w:r w:rsidR="55ECC93E" w:rsidRPr="00CF68AA">
        <w:rPr>
          <w:szCs w:val="21"/>
        </w:rPr>
        <w:t xml:space="preserve"> (</w:t>
      </w:r>
      <w:r w:rsidR="5F450FA5" w:rsidRPr="155C1719">
        <w:t xml:space="preserve">including cleaning, laundry, </w:t>
      </w:r>
      <w:r w:rsidR="592C44CE" w:rsidRPr="155C1719">
        <w:t>gardening,</w:t>
      </w:r>
      <w:r w:rsidR="5F450FA5" w:rsidRPr="155C1719">
        <w:t xml:space="preserve"> and cooking</w:t>
      </w:r>
      <w:r w:rsidR="55ECC93E" w:rsidRPr="00CF68AA">
        <w:rPr>
          <w:szCs w:val="21"/>
        </w:rPr>
        <w:t>)</w:t>
      </w:r>
      <w:r w:rsidR="12210CB2" w:rsidRPr="00CF68AA">
        <w:rPr>
          <w:szCs w:val="21"/>
        </w:rPr>
        <w:t>.</w:t>
      </w:r>
      <w:r w:rsidR="00FE2F91" w:rsidRPr="155C1719">
        <w:rPr>
          <w:rStyle w:val="FootnoteReference"/>
        </w:rPr>
        <w:footnoteReference w:id="71"/>
      </w:r>
      <w:r w:rsidR="12210CB2" w:rsidRPr="155C1719">
        <w:t xml:space="preserve"> This </w:t>
      </w:r>
      <w:r w:rsidR="12210CB2" w:rsidRPr="155C1719">
        <w:lastRenderedPageBreak/>
        <w:t xml:space="preserve">includes </w:t>
      </w:r>
      <w:r w:rsidR="207FEFF6" w:rsidRPr="155C1719">
        <w:t>through the use of tax credits,</w:t>
      </w:r>
      <w:r w:rsidR="00741CB4" w:rsidRPr="155C1719">
        <w:rPr>
          <w:rStyle w:val="FootnoteReference"/>
        </w:rPr>
        <w:footnoteReference w:id="72"/>
      </w:r>
      <w:r w:rsidR="12210CB2" w:rsidRPr="00D479BA">
        <w:rPr>
          <w:szCs w:val="21"/>
        </w:rPr>
        <w:t xml:space="preserve"> </w:t>
      </w:r>
      <w:r w:rsidR="48323EAE" w:rsidRPr="155C1719">
        <w:t xml:space="preserve">social </w:t>
      </w:r>
      <w:r w:rsidR="7831C036" w:rsidRPr="155C1719">
        <w:t>vouchers</w:t>
      </w:r>
      <w:r w:rsidR="1286470E" w:rsidRPr="00D479BA">
        <w:rPr>
          <w:szCs w:val="21"/>
        </w:rPr>
        <w:t>,</w:t>
      </w:r>
      <w:r w:rsidR="00802729" w:rsidRPr="155C1719">
        <w:rPr>
          <w:rStyle w:val="FootnoteReference"/>
        </w:rPr>
        <w:footnoteReference w:id="73"/>
      </w:r>
      <w:r w:rsidR="60CE5196" w:rsidRPr="155C1719">
        <w:t xml:space="preserve"> declarative systems,</w:t>
      </w:r>
      <w:r w:rsidR="00FE2F91" w:rsidRPr="155C1719">
        <w:rPr>
          <w:rStyle w:val="FootnoteReference"/>
        </w:rPr>
        <w:footnoteReference w:id="74"/>
      </w:r>
      <w:r w:rsidR="60CE5196" w:rsidRPr="155C1719">
        <w:t xml:space="preserve"> and </w:t>
      </w:r>
      <w:r w:rsidR="3BA4EBF5" w:rsidRPr="155C1719">
        <w:t xml:space="preserve">a variety of </w:t>
      </w:r>
      <w:r w:rsidR="48747054" w:rsidRPr="155C1719">
        <w:t xml:space="preserve">tax </w:t>
      </w:r>
      <w:r w:rsidR="3BA4EBF5" w:rsidRPr="155C1719">
        <w:t xml:space="preserve">exemptions </w:t>
      </w:r>
      <w:r w:rsidR="48747054" w:rsidRPr="155C1719">
        <w:t>made available to the</w:t>
      </w:r>
      <w:r w:rsidR="3BA4EBF5" w:rsidRPr="155C1719">
        <w:t xml:space="preserve"> household service market.</w:t>
      </w:r>
      <w:r w:rsidR="00FE2F91" w:rsidRPr="155C1719">
        <w:rPr>
          <w:rStyle w:val="FootnoteReference"/>
        </w:rPr>
        <w:footnoteReference w:id="75"/>
      </w:r>
    </w:p>
    <w:p w14:paraId="354449F0" w14:textId="2BC971FA" w:rsidR="00B95F65" w:rsidRDefault="00247AB1" w:rsidP="00BB5FA6">
      <w:pPr>
        <w:pStyle w:val="Heading4"/>
        <w:spacing w:before="120" w:after="120"/>
      </w:pPr>
      <w:r>
        <w:t>Increased social security support for single mother</w:t>
      </w:r>
      <w:r w:rsidR="006B7DEB">
        <w:t xml:space="preserve"> families</w:t>
      </w:r>
    </w:p>
    <w:p w14:paraId="08E04C72" w14:textId="3EE1CD52" w:rsidR="00194C83" w:rsidRDefault="266D6D35" w:rsidP="00BB5FA6">
      <w:pPr>
        <w:spacing w:before="120" w:after="120"/>
      </w:pPr>
      <w:r>
        <w:t>Single mother families are the most likely family structure to live in poverty in Australia</w:t>
      </w:r>
      <w:r w:rsidR="57D43419">
        <w:t>, wi</w:t>
      </w:r>
      <w:r w:rsidR="0378C2F5">
        <w:t xml:space="preserve">th </w:t>
      </w:r>
      <w:r w:rsidR="3657F862">
        <w:t>the risk of financial hardship for single mothers</w:t>
      </w:r>
      <w:r w:rsidR="16682DE3">
        <w:t xml:space="preserve"> </w:t>
      </w:r>
      <w:r w:rsidR="3BA3E1E4">
        <w:t>reaching</w:t>
      </w:r>
      <w:r w:rsidR="3657F862">
        <w:t xml:space="preserve"> </w:t>
      </w:r>
      <w:r w:rsidR="62A6420D">
        <w:t>34.4%</w:t>
      </w:r>
      <w:r w:rsidR="3BA3E1E4">
        <w:t xml:space="preserve"> in 2019</w:t>
      </w:r>
      <w:r w:rsidR="62A6420D">
        <w:t>, more than double that of partnered mothers (14.5%)</w:t>
      </w:r>
      <w:r>
        <w:t>.</w:t>
      </w:r>
      <w:r w:rsidR="00112CD3">
        <w:rPr>
          <w:rStyle w:val="FootnoteReference"/>
        </w:rPr>
        <w:footnoteReference w:id="76"/>
      </w:r>
      <w:r w:rsidR="668164CD">
        <w:t xml:space="preserve"> </w:t>
      </w:r>
      <w:r w:rsidR="04B7BDF7">
        <w:t xml:space="preserve">This is, in part, due to the </w:t>
      </w:r>
      <w:r>
        <w:t>significant and enduring barriers to employment</w:t>
      </w:r>
      <w:r w:rsidR="04B7BDF7">
        <w:t xml:space="preserve"> faced by single mothers</w:t>
      </w:r>
      <w:r w:rsidR="4956FC92">
        <w:t xml:space="preserve">, with </w:t>
      </w:r>
      <w:r w:rsidR="55C076EB">
        <w:t xml:space="preserve">67.3% of single mothers </w:t>
      </w:r>
      <w:r w:rsidR="293A958D">
        <w:t>employed in 2022, compared to 75.5% of single fathers</w:t>
      </w:r>
      <w:r w:rsidR="4C0648E2">
        <w:t>.</w:t>
      </w:r>
      <w:r w:rsidR="00194C83">
        <w:rPr>
          <w:rStyle w:val="FootnoteReference"/>
        </w:rPr>
        <w:footnoteReference w:id="77"/>
      </w:r>
      <w:r w:rsidR="4C0648E2">
        <w:t xml:space="preserve"> </w:t>
      </w:r>
    </w:p>
    <w:p w14:paraId="6B44E612" w14:textId="5FFE70DA" w:rsidR="00F82938" w:rsidRPr="00247AB1" w:rsidRDefault="2011A471" w:rsidP="00BB5FA6">
      <w:pPr>
        <w:spacing w:before="120" w:after="120"/>
      </w:pPr>
      <w:r>
        <w:t>This includes</w:t>
      </w:r>
      <w:r w:rsidR="62325459">
        <w:t xml:space="preserve"> structural barriers, relating to the </w:t>
      </w:r>
      <w:r w:rsidR="131EBD02">
        <w:t>cost of childcare</w:t>
      </w:r>
      <w:r w:rsidR="20D3ED9E">
        <w:t xml:space="preserve"> and access to</w:t>
      </w:r>
      <w:r w:rsidR="7FEE0312">
        <w:t xml:space="preserve"> sufficient social security payments, as well as </w:t>
      </w:r>
      <w:r w:rsidR="7E009CF2">
        <w:t xml:space="preserve">those stemming from the </w:t>
      </w:r>
      <w:r w:rsidR="32C8EAB6">
        <w:t>disproportionately</w:t>
      </w:r>
      <w:r w:rsidR="7E009CF2">
        <w:t xml:space="preserve"> high rate of family violence </w:t>
      </w:r>
      <w:r w:rsidR="32C8EAB6">
        <w:t>suffered by single mothers.</w:t>
      </w:r>
      <w:r w:rsidR="002D5DC0">
        <w:rPr>
          <w:rStyle w:val="FootnoteReference"/>
        </w:rPr>
        <w:footnoteReference w:id="78"/>
      </w:r>
      <w:r w:rsidR="18C5815F">
        <w:t xml:space="preserve"> </w:t>
      </w:r>
      <w:r w:rsidR="005A372D">
        <w:t xml:space="preserve">It is </w:t>
      </w:r>
      <w:r w:rsidR="00CB0393">
        <w:t xml:space="preserve">therefore essential that the </w:t>
      </w:r>
      <w:r w:rsidR="04B7BDF7">
        <w:t xml:space="preserve">National Strategy </w:t>
      </w:r>
      <w:r w:rsidR="7CEA667D">
        <w:t xml:space="preserve">include social security reforms that </w:t>
      </w:r>
      <w:r w:rsidR="266D6D35">
        <w:t>accurately reflect the ongoing costs of raising children combined</w:t>
      </w:r>
      <w:r w:rsidR="40CCCECF">
        <w:t xml:space="preserve"> </w:t>
      </w:r>
      <w:r w:rsidR="266D6D35">
        <w:t>with the long-term effects on single parents of time spent out of the workforce</w:t>
      </w:r>
      <w:r w:rsidR="4070869D">
        <w:t xml:space="preserve">, as well as the </w:t>
      </w:r>
      <w:r w:rsidR="74DF99FC">
        <w:t>unique barrie</w:t>
      </w:r>
      <w:r w:rsidR="18C5815F">
        <w:t>r</w:t>
      </w:r>
      <w:r w:rsidR="74DF99FC">
        <w:t>s faced by single mothers in Australia</w:t>
      </w:r>
      <w:r w:rsidR="3098A490">
        <w:t xml:space="preserve">. </w:t>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CF68AA" w14:paraId="47B7E51A" w14:textId="77777777" w:rsidTr="155C1719">
        <w:tc>
          <w:tcPr>
            <w:tcW w:w="9016" w:type="dxa"/>
            <w:tcBorders>
              <w:top w:val="nil"/>
              <w:left w:val="nil"/>
              <w:bottom w:val="nil"/>
              <w:right w:val="nil"/>
            </w:tcBorders>
            <w:shd w:val="clear" w:color="auto" w:fill="E7E6E6" w:themeFill="background2"/>
          </w:tcPr>
          <w:p w14:paraId="6D5DDBD1" w14:textId="2162211A" w:rsidR="00CF68AA" w:rsidRDefault="00CF68AA" w:rsidP="005354FB">
            <w:pPr>
              <w:pStyle w:val="Heading3"/>
              <w:spacing w:before="120" w:after="120"/>
            </w:pPr>
            <w:r>
              <w:t>Recommendation 12</w:t>
            </w:r>
          </w:p>
          <w:p w14:paraId="44C6E4A6" w14:textId="5BF3590A" w:rsidR="00CF68AA" w:rsidRPr="00CF68AA" w:rsidRDefault="00CF68AA" w:rsidP="005354FB">
            <w:pPr>
              <w:spacing w:before="120" w:after="120"/>
              <w:rPr>
                <w:sz w:val="22"/>
                <w:szCs w:val="22"/>
              </w:rPr>
            </w:pPr>
            <w:r w:rsidRPr="00CF68AA">
              <w:rPr>
                <w:sz w:val="22"/>
                <w:szCs w:val="22"/>
              </w:rPr>
              <w:t xml:space="preserve">That the </w:t>
            </w:r>
            <w:r w:rsidR="00DB5020">
              <w:rPr>
                <w:sz w:val="22"/>
                <w:szCs w:val="22"/>
              </w:rPr>
              <w:t xml:space="preserve">National </w:t>
            </w:r>
            <w:r w:rsidRPr="00CF68AA">
              <w:rPr>
                <w:sz w:val="22"/>
                <w:szCs w:val="22"/>
              </w:rPr>
              <w:t>Strategy:</w:t>
            </w:r>
          </w:p>
          <w:p w14:paraId="1D3E9ABC" w14:textId="77777777" w:rsidR="00CF68AA" w:rsidRPr="00CF68AA" w:rsidRDefault="00CF68AA" w:rsidP="00BB5FA6">
            <w:pPr>
              <w:pStyle w:val="ListParagraph"/>
              <w:numPr>
                <w:ilvl w:val="0"/>
                <w:numId w:val="10"/>
              </w:numPr>
              <w:spacing w:before="120" w:after="120"/>
              <w:contextualSpacing w:val="0"/>
              <w:rPr>
                <w:sz w:val="22"/>
                <w:szCs w:val="22"/>
              </w:rPr>
            </w:pPr>
            <w:r w:rsidRPr="00CF68AA">
              <w:rPr>
                <w:sz w:val="22"/>
                <w:szCs w:val="22"/>
              </w:rPr>
              <w:t>Consider and commit to implementing family-friendly policies relating to early childhood education and care and non-care household services modelled on those implemented by other OECD countries to enhance women’s participation in the workforce.</w:t>
            </w:r>
          </w:p>
          <w:p w14:paraId="05C2DD64" w14:textId="77777777" w:rsidR="00CF68AA" w:rsidRPr="00CF68AA" w:rsidRDefault="00CF68AA" w:rsidP="00DE4C1F">
            <w:pPr>
              <w:pStyle w:val="ListParagraph"/>
              <w:numPr>
                <w:ilvl w:val="1"/>
                <w:numId w:val="17"/>
              </w:numPr>
              <w:spacing w:before="120" w:after="120"/>
              <w:ind w:hanging="357"/>
              <w:contextualSpacing w:val="0"/>
              <w:rPr>
                <w:sz w:val="22"/>
                <w:szCs w:val="22"/>
              </w:rPr>
            </w:pPr>
            <w:r w:rsidRPr="00CF68AA">
              <w:rPr>
                <w:sz w:val="22"/>
                <w:szCs w:val="22"/>
              </w:rPr>
              <w:t>The Australian Government should design a holistic and balanced package of service-related, financial-related, and time-related family-friendly policies that cover all parents (regardless of their work status or occupation)</w:t>
            </w:r>
          </w:p>
          <w:p w14:paraId="293A0C66" w14:textId="77777777" w:rsidR="00CF68AA" w:rsidRPr="003B7BC4" w:rsidRDefault="00CF68AA" w:rsidP="00BB5FA6">
            <w:pPr>
              <w:pStyle w:val="ListParagraph"/>
              <w:numPr>
                <w:ilvl w:val="1"/>
                <w:numId w:val="17"/>
              </w:numPr>
              <w:spacing w:before="120" w:after="120"/>
              <w:ind w:hanging="357"/>
              <w:contextualSpacing w:val="0"/>
            </w:pPr>
            <w:r w:rsidRPr="00CF68AA">
              <w:rPr>
                <w:sz w:val="22"/>
                <w:szCs w:val="22"/>
              </w:rPr>
              <w:lastRenderedPageBreak/>
              <w:t>The Australian Government must embed a principle of co-responsibility for family-friendly policies, premised on the Australian Government providing universal access to childcare and establishing the require</w:t>
            </w:r>
            <w:r w:rsidR="00DF258D">
              <w:rPr>
                <w:sz w:val="22"/>
                <w:szCs w:val="22"/>
              </w:rPr>
              <w:t>d</w:t>
            </w:r>
            <w:r w:rsidRPr="00CF68AA">
              <w:rPr>
                <w:sz w:val="22"/>
                <w:szCs w:val="22"/>
              </w:rPr>
              <w:t xml:space="preserve"> regulatory framework to ensure family-friendly policies are developed and implemented across the country, and for employers to develop and implement family-friendly policies particularly related to childcare, parental leave, and flexible working arrangements</w:t>
            </w:r>
          </w:p>
          <w:p w14:paraId="533C3486" w14:textId="476679BD" w:rsidR="00CF68AA" w:rsidRPr="003B7BC4" w:rsidRDefault="6CBF15BA" w:rsidP="00DE4C1F">
            <w:pPr>
              <w:pStyle w:val="ListParagraph"/>
              <w:numPr>
                <w:ilvl w:val="1"/>
                <w:numId w:val="17"/>
              </w:numPr>
              <w:spacing w:before="120" w:after="120"/>
              <w:ind w:hanging="357"/>
              <w:contextualSpacing w:val="0"/>
              <w:rPr>
                <w:sz w:val="22"/>
                <w:szCs w:val="22"/>
              </w:rPr>
            </w:pPr>
            <w:r w:rsidRPr="155C1719">
              <w:rPr>
                <w:sz w:val="22"/>
                <w:szCs w:val="22"/>
              </w:rPr>
              <w:t>The Australian Government must ensure th</w:t>
            </w:r>
            <w:r w:rsidR="7F0C0E3B" w:rsidRPr="155C1719">
              <w:rPr>
                <w:sz w:val="22"/>
                <w:szCs w:val="22"/>
              </w:rPr>
              <w:t xml:space="preserve">at, in developing </w:t>
            </w:r>
            <w:r w:rsidR="28D0B382" w:rsidRPr="155C1719">
              <w:rPr>
                <w:sz w:val="22"/>
                <w:szCs w:val="22"/>
              </w:rPr>
              <w:t xml:space="preserve">such strategies, it consults with key stakeholders representing single mother families to ensure the unique barriers to workforce </w:t>
            </w:r>
            <w:r w:rsidR="7EB6FFA1" w:rsidRPr="155C1719">
              <w:rPr>
                <w:sz w:val="22"/>
                <w:szCs w:val="22"/>
              </w:rPr>
              <w:t xml:space="preserve">participation </w:t>
            </w:r>
            <w:r w:rsidR="28D0B382" w:rsidRPr="155C1719">
              <w:rPr>
                <w:sz w:val="22"/>
                <w:szCs w:val="22"/>
              </w:rPr>
              <w:t>faced by single mothers are adequately considered and addressed</w:t>
            </w:r>
          </w:p>
        </w:tc>
      </w:tr>
    </w:tbl>
    <w:p w14:paraId="4D6B94D2" w14:textId="5BEFD561" w:rsidR="00E57F02" w:rsidRPr="00875A3D" w:rsidRDefault="00E57F02" w:rsidP="005354FB">
      <w:pPr>
        <w:pStyle w:val="Heading3"/>
        <w:spacing w:before="120" w:after="120"/>
        <w:rPr>
          <w:lang w:eastAsia="en-AU"/>
        </w:rPr>
      </w:pPr>
      <w:r w:rsidRPr="00875A3D">
        <w:rPr>
          <w:lang w:eastAsia="en-AU"/>
        </w:rPr>
        <w:lastRenderedPageBreak/>
        <w:t xml:space="preserve">Fund programs that </w:t>
      </w:r>
      <w:r w:rsidR="00E65FDB" w:rsidRPr="00875A3D">
        <w:rPr>
          <w:lang w:eastAsia="en-AU"/>
        </w:rPr>
        <w:t xml:space="preserve">break down gender segregation </w:t>
      </w:r>
    </w:p>
    <w:p w14:paraId="4FC0CBE8" w14:textId="77777777" w:rsidR="00A05074" w:rsidRDefault="2711EB89" w:rsidP="005354FB">
      <w:pPr>
        <w:spacing w:before="120" w:after="120"/>
      </w:pPr>
      <w:r>
        <w:t>T</w:t>
      </w:r>
      <w:r w:rsidR="4EA833F3">
        <w:t>he Australian labour market is highly segregated by gender</w:t>
      </w:r>
      <w:r w:rsidR="316074BE">
        <w:t>, a persistent but repairable feature of labour markets around the world.</w:t>
      </w:r>
      <w:r w:rsidR="00DC492D">
        <w:rPr>
          <w:rStyle w:val="FootnoteReference"/>
        </w:rPr>
        <w:footnoteReference w:id="79"/>
      </w:r>
      <w:r w:rsidR="4584BDA3">
        <w:t xml:space="preserve"> </w:t>
      </w:r>
      <w:r w:rsidR="41A2C828">
        <w:t>As a result, women are</w:t>
      </w:r>
      <w:r w:rsidR="034DC76A">
        <w:t xml:space="preserve"> underrepresent</w:t>
      </w:r>
      <w:r w:rsidR="41A2C828">
        <w:t>ed</w:t>
      </w:r>
      <w:r w:rsidR="60569636">
        <w:t xml:space="preserve"> </w:t>
      </w:r>
      <w:r w:rsidR="034DC76A">
        <w:t xml:space="preserve">in management and </w:t>
      </w:r>
      <w:r w:rsidR="41A2C828">
        <w:t>decision-making</w:t>
      </w:r>
      <w:r w:rsidR="034DC76A">
        <w:t xml:space="preserve"> roles across almost all industries</w:t>
      </w:r>
      <w:r w:rsidR="41A2C828">
        <w:t xml:space="preserve"> and</w:t>
      </w:r>
      <w:r w:rsidR="034DC76A">
        <w:t xml:space="preserve"> </w:t>
      </w:r>
      <w:r w:rsidR="7E9F39FE">
        <w:t>overrepresent</w:t>
      </w:r>
      <w:r w:rsidR="41A2C828">
        <w:t>ed</w:t>
      </w:r>
      <w:r w:rsidR="7E9F39FE">
        <w:t xml:space="preserve"> in lower-paid industries and sectors</w:t>
      </w:r>
      <w:r w:rsidR="41A2C828">
        <w:t>.</w:t>
      </w:r>
      <w:r w:rsidR="00777DDE">
        <w:rPr>
          <w:rStyle w:val="FootnoteReference"/>
        </w:rPr>
        <w:footnoteReference w:id="80"/>
      </w:r>
      <w:r w:rsidR="7E9F39FE">
        <w:t xml:space="preserve"> </w:t>
      </w:r>
      <w:r w:rsidR="187C257D">
        <w:t xml:space="preserve">Research shows that breaking down gender segregation in </w:t>
      </w:r>
      <w:r w:rsidR="227E6CCF" w:rsidRPr="00AC5A99">
        <w:t>occupations and</w:t>
      </w:r>
      <w:r w:rsidR="187C257D">
        <w:t xml:space="preserve"> across</w:t>
      </w:r>
      <w:r w:rsidR="227E6CCF" w:rsidRPr="00AC5A99">
        <w:t xml:space="preserve"> industries can lead to a range of positive outcomes</w:t>
      </w:r>
      <w:r w:rsidR="187C257D">
        <w:t xml:space="preserve"> including </w:t>
      </w:r>
      <w:r w:rsidR="227E6CCF" w:rsidRPr="00AC5A99">
        <w:t>a decrease in organisational and industry</w:t>
      </w:r>
      <w:r w:rsidR="439D8E5D">
        <w:t>-</w:t>
      </w:r>
      <w:r w:rsidR="227E6CCF" w:rsidRPr="00AC5A99">
        <w:t xml:space="preserve">specific pay gaps, improved organisational performance, </w:t>
      </w:r>
      <w:r w:rsidR="187C257D">
        <w:t>and</w:t>
      </w:r>
      <w:r w:rsidR="227E6CCF" w:rsidRPr="00AC5A99">
        <w:t xml:space="preserve"> increased safety</w:t>
      </w:r>
      <w:r w:rsidR="227E6CCF">
        <w:t>.</w:t>
      </w:r>
      <w:r w:rsidR="00AC5A99">
        <w:rPr>
          <w:rStyle w:val="FootnoteReference"/>
        </w:rPr>
        <w:footnoteReference w:id="81"/>
      </w:r>
    </w:p>
    <w:p w14:paraId="73FA5C82" w14:textId="15DDE45E" w:rsidR="00384EE9" w:rsidRDefault="439D8E5D" w:rsidP="005354FB">
      <w:pPr>
        <w:spacing w:before="120" w:after="120"/>
      </w:pPr>
      <w:r>
        <w:t xml:space="preserve">The Australian Government should therefore </w:t>
      </w:r>
      <w:r w:rsidR="07B3C6DA">
        <w:t xml:space="preserve">commit to developing and funding programs </w:t>
      </w:r>
      <w:r w:rsidR="767FA799">
        <w:t>to recruit and retain</w:t>
      </w:r>
      <w:r w:rsidR="79A00586">
        <w:t xml:space="preserve"> women </w:t>
      </w:r>
      <w:r w:rsidR="767FA799">
        <w:t xml:space="preserve">and gender-diverse people </w:t>
      </w:r>
      <w:r w:rsidR="79A00586">
        <w:t>in male-dominated industries, and m</w:t>
      </w:r>
      <w:r w:rsidR="767FA799">
        <w:t>ales</w:t>
      </w:r>
      <w:r w:rsidR="79A00586">
        <w:t xml:space="preserve"> in female-dominated industries. For example</w:t>
      </w:r>
      <w:r w:rsidR="767FA799">
        <w:t xml:space="preserve"> </w:t>
      </w:r>
      <w:r w:rsidR="6AA6F190">
        <w:t>t</w:t>
      </w:r>
      <w:r w:rsidR="294C5D43">
        <w:t xml:space="preserve">he Victorian Government has invested $3.566 million over 3 years to support the implementation of the </w:t>
      </w:r>
      <w:hyperlink r:id="rId20" w:history="1">
        <w:r w:rsidR="1B2A729E" w:rsidRPr="00AD67D1">
          <w:rPr>
            <w:rStyle w:val="Hyperlink"/>
          </w:rPr>
          <w:t>Building Equality Policy</w:t>
        </w:r>
      </w:hyperlink>
      <w:r w:rsidR="0C95CCAC">
        <w:t xml:space="preserve">, a policy that </w:t>
      </w:r>
      <w:r w:rsidR="098498BA">
        <w:t xml:space="preserve">seeks to disrupt existing gender stereotypes, norms and roles </w:t>
      </w:r>
      <w:r w:rsidR="2FF1AF41">
        <w:t xml:space="preserve">in the construction sector </w:t>
      </w:r>
      <w:r w:rsidR="461AC3CF">
        <w:t xml:space="preserve">and will create </w:t>
      </w:r>
      <w:r w:rsidR="1B934784">
        <w:t>training and employment opportunities for women through government procurement on building, infrastructure, civil engineering, and other capital works projects</w:t>
      </w:r>
      <w:r w:rsidR="767FA799">
        <w:t>.</w:t>
      </w:r>
      <w:r w:rsidR="00806584">
        <w:rPr>
          <w:rStyle w:val="FootnoteReference"/>
        </w:rPr>
        <w:footnoteReference w:id="82"/>
      </w:r>
      <w:r w:rsidR="767FA799">
        <w:t xml:space="preserve"> </w:t>
      </w:r>
      <w:r w:rsidR="3E4D9B9C">
        <w:t>The Victoria</w:t>
      </w:r>
      <w:r w:rsidR="38FFFBC6">
        <w:t>n</w:t>
      </w:r>
      <w:r w:rsidR="3E4D9B9C">
        <w:t xml:space="preserve"> Government has also recently announced </w:t>
      </w:r>
      <w:r w:rsidR="275E5110">
        <w:t>$3 million to</w:t>
      </w:r>
      <w:r w:rsidR="7843BD23">
        <w:t xml:space="preserve"> deliver targeted industry strategies to boost </w:t>
      </w:r>
      <w:r w:rsidR="7843BD23">
        <w:lastRenderedPageBreak/>
        <w:t>participation and remove barriers to women’s success in in the energy and manufacturing sectors.</w:t>
      </w:r>
      <w:r w:rsidR="00FF7E6E">
        <w:rPr>
          <w:rStyle w:val="FootnoteReference"/>
        </w:rPr>
        <w:footnoteReference w:id="83"/>
      </w:r>
      <w:r w:rsidR="275E5110">
        <w:t xml:space="preserve"> </w:t>
      </w:r>
    </w:p>
    <w:p w14:paraId="15B643A3" w14:textId="082FC89D" w:rsidR="00384EE9" w:rsidRDefault="2E0566E0" w:rsidP="607976D0">
      <w:pPr>
        <w:spacing w:before="120" w:after="120"/>
      </w:pPr>
      <w:r>
        <w:t>There are very few programs and policies dedicated to increasing male work</w:t>
      </w:r>
      <w:r w:rsidR="2FAEEEF5">
        <w:t>force participation in traditionally female industries and sectors, both nationally and internationally.</w:t>
      </w:r>
      <w:r w:rsidR="006D07A5">
        <w:rPr>
          <w:rStyle w:val="FootnoteReference"/>
        </w:rPr>
        <w:footnoteReference w:id="84"/>
      </w:r>
      <w:r w:rsidR="2FAEEEF5">
        <w:t xml:space="preserve"> I strongly recommend that the Australian Government </w:t>
      </w:r>
      <w:r w:rsidR="5AE9CD9B">
        <w:t xml:space="preserve">commit to leading the way in this area. </w:t>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6D07A5" w14:paraId="3FAD4177" w14:textId="77777777" w:rsidTr="155C1719">
        <w:tc>
          <w:tcPr>
            <w:tcW w:w="9016" w:type="dxa"/>
            <w:tcBorders>
              <w:top w:val="nil"/>
              <w:left w:val="nil"/>
              <w:bottom w:val="nil"/>
              <w:right w:val="nil"/>
            </w:tcBorders>
            <w:shd w:val="clear" w:color="auto" w:fill="E7E6E6" w:themeFill="background2"/>
          </w:tcPr>
          <w:p w14:paraId="2C2FF16C" w14:textId="2B4C32D5" w:rsidR="006D07A5" w:rsidRDefault="006D07A5" w:rsidP="005354FB">
            <w:pPr>
              <w:pStyle w:val="Heading3"/>
              <w:spacing w:before="120" w:after="120"/>
            </w:pPr>
            <w:r>
              <w:t>Recommendation 13</w:t>
            </w:r>
          </w:p>
          <w:p w14:paraId="464D9387" w14:textId="40B7CB85" w:rsidR="006D07A5" w:rsidRPr="006D07A5" w:rsidRDefault="006D07A5" w:rsidP="005354FB">
            <w:pPr>
              <w:spacing w:before="120" w:after="120"/>
              <w:rPr>
                <w:sz w:val="22"/>
                <w:szCs w:val="22"/>
              </w:rPr>
            </w:pPr>
            <w:r w:rsidRPr="006D07A5">
              <w:rPr>
                <w:sz w:val="22"/>
                <w:szCs w:val="22"/>
              </w:rPr>
              <w:t xml:space="preserve">That the </w:t>
            </w:r>
            <w:r w:rsidR="00DB5020">
              <w:rPr>
                <w:sz w:val="22"/>
                <w:szCs w:val="22"/>
              </w:rPr>
              <w:t xml:space="preserve">National </w:t>
            </w:r>
            <w:r w:rsidRPr="006D07A5">
              <w:rPr>
                <w:sz w:val="22"/>
                <w:szCs w:val="22"/>
              </w:rPr>
              <w:t>Strategy:</w:t>
            </w:r>
          </w:p>
          <w:p w14:paraId="29216CF9" w14:textId="77777777" w:rsidR="006D07A5" w:rsidRPr="006D07A5" w:rsidRDefault="006D07A5" w:rsidP="00BB5FA6">
            <w:pPr>
              <w:pStyle w:val="ListParagraph"/>
              <w:numPr>
                <w:ilvl w:val="0"/>
                <w:numId w:val="10"/>
              </w:numPr>
              <w:spacing w:before="120" w:after="120"/>
              <w:contextualSpacing w:val="0"/>
              <w:rPr>
                <w:sz w:val="22"/>
                <w:szCs w:val="22"/>
              </w:rPr>
            </w:pPr>
            <w:r w:rsidRPr="006D07A5">
              <w:rPr>
                <w:sz w:val="22"/>
                <w:szCs w:val="22"/>
              </w:rPr>
              <w:t>Commit to the funding, development and implementation of evidence-based policies and programs designed to increase recruitment and retention of women and gender diverse people in traditionally male-dominated industries and occupations and of men in traditionally female-dominated industries and occupations.</w:t>
            </w:r>
          </w:p>
          <w:p w14:paraId="73D6047F" w14:textId="2BE9061B" w:rsidR="00770614" w:rsidRDefault="00770614" w:rsidP="00BB5FA6">
            <w:pPr>
              <w:pStyle w:val="ListParagraph"/>
              <w:numPr>
                <w:ilvl w:val="1"/>
                <w:numId w:val="22"/>
              </w:numPr>
              <w:spacing w:before="120" w:after="120"/>
              <w:ind w:hanging="357"/>
              <w:contextualSpacing w:val="0"/>
              <w:rPr>
                <w:sz w:val="22"/>
                <w:szCs w:val="22"/>
              </w:rPr>
            </w:pPr>
            <w:bookmarkStart w:id="5" w:name="_Hlk132360789"/>
            <w:r>
              <w:rPr>
                <w:sz w:val="22"/>
                <w:szCs w:val="22"/>
              </w:rPr>
              <w:t xml:space="preserve">The National Strategy should include </w:t>
            </w:r>
            <w:r w:rsidRPr="00770614">
              <w:rPr>
                <w:sz w:val="22"/>
                <w:szCs w:val="22"/>
              </w:rPr>
              <w:t>a nationwide reform agenda for majority-women care industries to address the high proportion of insecure roles</w:t>
            </w:r>
            <w:r w:rsidR="00B42409">
              <w:rPr>
                <w:sz w:val="22"/>
                <w:szCs w:val="22"/>
              </w:rPr>
              <w:t>,</w:t>
            </w:r>
            <w:r w:rsidRPr="00770614">
              <w:rPr>
                <w:sz w:val="22"/>
                <w:szCs w:val="22"/>
              </w:rPr>
              <w:t xml:space="preserve"> low pay</w:t>
            </w:r>
            <w:r w:rsidR="003312C9">
              <w:rPr>
                <w:sz w:val="22"/>
                <w:szCs w:val="22"/>
              </w:rPr>
              <w:t xml:space="preserve"> rates</w:t>
            </w:r>
            <w:r w:rsidRPr="00770614">
              <w:rPr>
                <w:sz w:val="22"/>
                <w:szCs w:val="22"/>
              </w:rPr>
              <w:t>, workforce shortages</w:t>
            </w:r>
            <w:r w:rsidR="00342488">
              <w:rPr>
                <w:sz w:val="22"/>
                <w:szCs w:val="22"/>
              </w:rPr>
              <w:t>,</w:t>
            </w:r>
            <w:r w:rsidRPr="00770614">
              <w:rPr>
                <w:sz w:val="22"/>
                <w:szCs w:val="22"/>
              </w:rPr>
              <w:t xml:space="preserve"> and projected increased demand</w:t>
            </w:r>
          </w:p>
          <w:bookmarkEnd w:id="5"/>
          <w:p w14:paraId="025E5883" w14:textId="0EDDF393" w:rsidR="006D07A5" w:rsidRPr="006D07A5" w:rsidRDefault="3BFA6DA8" w:rsidP="00DE4C1F">
            <w:pPr>
              <w:pStyle w:val="ListParagraph"/>
              <w:numPr>
                <w:ilvl w:val="1"/>
                <w:numId w:val="22"/>
              </w:numPr>
              <w:spacing w:before="120" w:after="120"/>
              <w:ind w:hanging="357"/>
              <w:contextualSpacing w:val="0"/>
              <w:rPr>
                <w:sz w:val="22"/>
                <w:szCs w:val="22"/>
              </w:rPr>
            </w:pPr>
            <w:r w:rsidRPr="155C1719">
              <w:rPr>
                <w:sz w:val="22"/>
                <w:szCs w:val="22"/>
              </w:rPr>
              <w:t>The Australian Government should fund research with a specific focus on increasing male workforce participation in female-dominated industries and occupations</w:t>
            </w:r>
          </w:p>
          <w:p w14:paraId="738B3CED" w14:textId="439DDBFF" w:rsidR="006D07A5" w:rsidRPr="006D07A5" w:rsidRDefault="3BFA6DA8" w:rsidP="00DE4C1F">
            <w:pPr>
              <w:pStyle w:val="ListParagraph"/>
              <w:numPr>
                <w:ilvl w:val="1"/>
                <w:numId w:val="22"/>
              </w:numPr>
              <w:spacing w:before="120" w:after="120"/>
              <w:ind w:hanging="357"/>
              <w:contextualSpacing w:val="0"/>
            </w:pPr>
            <w:r w:rsidRPr="155C1719">
              <w:rPr>
                <w:sz w:val="22"/>
                <w:szCs w:val="22"/>
              </w:rPr>
              <w:t xml:space="preserve">All Commonwealth funded education intuitions and programs should be required to ensure all </w:t>
            </w:r>
            <w:r w:rsidR="00D2155B">
              <w:rPr>
                <w:sz w:val="22"/>
                <w:szCs w:val="22"/>
              </w:rPr>
              <w:t xml:space="preserve">course </w:t>
            </w:r>
            <w:r w:rsidRPr="155C1719">
              <w:rPr>
                <w:sz w:val="22"/>
                <w:szCs w:val="22"/>
              </w:rPr>
              <w:t>promotional materials are gender-neutral, and that students receive the same training opportunities and vocational counselling, irrespective of gender</w:t>
            </w:r>
          </w:p>
        </w:tc>
      </w:tr>
    </w:tbl>
    <w:p w14:paraId="2DEEE64E" w14:textId="2CA512A2" w:rsidR="008614A4" w:rsidRPr="00A66496" w:rsidRDefault="00C14B9C" w:rsidP="005354FB">
      <w:pPr>
        <w:pStyle w:val="Heading3"/>
        <w:spacing w:before="120" w:after="120"/>
      </w:pPr>
      <w:r>
        <w:t>Develop programs and policies</w:t>
      </w:r>
      <w:r w:rsidR="00EB7946" w:rsidRPr="00A66496">
        <w:t xml:space="preserve"> that increase representation of </w:t>
      </w:r>
      <w:r w:rsidR="00BB5FA6">
        <w:t>diverse</w:t>
      </w:r>
      <w:r w:rsidR="00EB7946" w:rsidRPr="00A66496">
        <w:t xml:space="preserve"> women in leadership </w:t>
      </w:r>
    </w:p>
    <w:p w14:paraId="75021972" w14:textId="68962021" w:rsidR="00342488" w:rsidRDefault="42ABF425" w:rsidP="00BB5FA6">
      <w:pPr>
        <w:spacing w:before="120" w:after="120"/>
        <w:rPr>
          <w:rFonts w:cs="Arial"/>
        </w:rPr>
      </w:pPr>
      <w:r w:rsidRPr="00703152">
        <w:rPr>
          <w:rFonts w:cs="Arial"/>
        </w:rPr>
        <w:t>There is clear evidence that targets are a valuable means of increasing representation of women in senior leadership roles, including board and senior management positions.</w:t>
      </w:r>
      <w:r w:rsidR="00B17B0B" w:rsidRPr="001D0815">
        <w:rPr>
          <w:rStyle w:val="FootnoteReference"/>
          <w:rFonts w:cs="Arial"/>
        </w:rPr>
        <w:footnoteReference w:id="85"/>
      </w:r>
      <w:r w:rsidRPr="00703152">
        <w:rPr>
          <w:rFonts w:cs="Arial"/>
        </w:rPr>
        <w:t xml:space="preserve"> </w:t>
      </w:r>
      <w:r w:rsidR="65FCE697">
        <w:rPr>
          <w:rFonts w:cs="Arial"/>
        </w:rPr>
        <w:t>For example, i</w:t>
      </w:r>
      <w:r w:rsidR="41785E65" w:rsidRPr="00703152">
        <w:rPr>
          <w:rFonts w:cs="Arial"/>
        </w:rPr>
        <w:t>n March 2015, the Victorian Government committed to no less than 50</w:t>
      </w:r>
      <w:r w:rsidR="41785E65">
        <w:rPr>
          <w:rFonts w:cs="Arial"/>
        </w:rPr>
        <w:t>%</w:t>
      </w:r>
      <w:r w:rsidR="41785E65" w:rsidRPr="00703152">
        <w:rPr>
          <w:rFonts w:cs="Arial"/>
        </w:rPr>
        <w:t xml:space="preserve"> of all future appointments to paid Victorian Government boards and </w:t>
      </w:r>
      <w:r w:rsidR="41785E65" w:rsidRPr="00703152">
        <w:rPr>
          <w:rFonts w:cs="Arial"/>
        </w:rPr>
        <w:lastRenderedPageBreak/>
        <w:t xml:space="preserve">Victorian courts being women. At </w:t>
      </w:r>
      <w:r w:rsidR="65CF8952" w:rsidRPr="155C1719">
        <w:rPr>
          <w:rFonts w:cs="Arial"/>
        </w:rPr>
        <w:t>March 2023</w:t>
      </w:r>
      <w:r w:rsidR="41785E65" w:rsidRPr="00703152">
        <w:rPr>
          <w:rFonts w:cs="Arial"/>
        </w:rPr>
        <w:t xml:space="preserve">, women accounted for </w:t>
      </w:r>
      <w:r w:rsidR="6CFBADF0" w:rsidRPr="155C1719">
        <w:rPr>
          <w:rFonts w:cs="Arial"/>
        </w:rPr>
        <w:t>54</w:t>
      </w:r>
      <w:r w:rsidR="41785E65">
        <w:rPr>
          <w:rFonts w:cs="Arial"/>
        </w:rPr>
        <w:t>%</w:t>
      </w:r>
      <w:r w:rsidR="41785E65" w:rsidRPr="00703152">
        <w:rPr>
          <w:rFonts w:cs="Arial"/>
        </w:rPr>
        <w:t xml:space="preserve"> of al</w:t>
      </w:r>
      <w:r w:rsidR="3145CD4F" w:rsidRPr="155C1719">
        <w:rPr>
          <w:rFonts w:cs="Arial"/>
        </w:rPr>
        <w:t>l</w:t>
      </w:r>
      <w:r w:rsidR="41785E65" w:rsidRPr="00703152">
        <w:rPr>
          <w:rFonts w:cs="Arial"/>
        </w:rPr>
        <w:t xml:space="preserve"> public board appointments, up from 36</w:t>
      </w:r>
      <w:r w:rsidR="41785E65">
        <w:rPr>
          <w:rFonts w:cs="Arial"/>
        </w:rPr>
        <w:t>%</w:t>
      </w:r>
      <w:r w:rsidR="41785E65" w:rsidRPr="00703152">
        <w:rPr>
          <w:rFonts w:cs="Arial"/>
        </w:rPr>
        <w:t xml:space="preserve"> in June 2018.</w:t>
      </w:r>
      <w:r w:rsidR="00C14B9C" w:rsidRPr="001D0815">
        <w:rPr>
          <w:rStyle w:val="FootnoteReference"/>
          <w:rFonts w:cs="Arial"/>
        </w:rPr>
        <w:footnoteReference w:id="86"/>
      </w:r>
      <w:r>
        <w:rPr>
          <w:rFonts w:cs="Arial"/>
        </w:rPr>
        <w:t xml:space="preserve"> </w:t>
      </w:r>
    </w:p>
    <w:p w14:paraId="5FE8FD68" w14:textId="6E23D20C" w:rsidR="00F6596A" w:rsidRPr="00B17B0B" w:rsidRDefault="42ABF425" w:rsidP="005354FB">
      <w:pPr>
        <w:spacing w:before="120" w:after="120"/>
        <w:rPr>
          <w:rFonts w:cs="Arial"/>
        </w:rPr>
      </w:pPr>
      <w:r>
        <w:rPr>
          <w:rFonts w:cs="Arial"/>
        </w:rPr>
        <w:t xml:space="preserve">The Australian Government should commit to the development of </w:t>
      </w:r>
      <w:r w:rsidR="20FCA72A">
        <w:rPr>
          <w:rFonts w:cs="Arial"/>
        </w:rPr>
        <w:t>targets related to the representation of women in senior leadership positions.</w:t>
      </w:r>
      <w:r w:rsidR="4314F5CE">
        <w:rPr>
          <w:rFonts w:cs="Arial"/>
        </w:rPr>
        <w:t xml:space="preserve"> As mentioned above, the GE Act </w:t>
      </w:r>
      <w:r w:rsidR="46093528">
        <w:rPr>
          <w:rFonts w:cs="Arial"/>
        </w:rPr>
        <w:t xml:space="preserve">enables the Victorian Minister for Women to develop targets and </w:t>
      </w:r>
      <w:r w:rsidR="00391E22">
        <w:rPr>
          <w:rFonts w:cs="Arial"/>
        </w:rPr>
        <w:t xml:space="preserve">quotas </w:t>
      </w:r>
      <w:r w:rsidR="46093528">
        <w:rPr>
          <w:rFonts w:cs="Arial"/>
        </w:rPr>
        <w:t xml:space="preserve">with respect to the workplace gender equality indicators, including </w:t>
      </w:r>
      <w:r w:rsidR="7569E0B4">
        <w:rPr>
          <w:rFonts w:cs="Arial"/>
        </w:rPr>
        <w:t>gender composition of governing bodies and all levels of the workforce</w:t>
      </w:r>
      <w:r w:rsidR="2A9B5B8E">
        <w:rPr>
          <w:rFonts w:cs="Arial"/>
        </w:rPr>
        <w:t xml:space="preserve"> (</w:t>
      </w:r>
      <w:r w:rsidR="755B8D4D">
        <w:rPr>
          <w:rFonts w:cs="Arial"/>
        </w:rPr>
        <w:t>including senior executive positions</w:t>
      </w:r>
      <w:r w:rsidR="2A9B5B8E">
        <w:rPr>
          <w:rFonts w:cs="Arial"/>
        </w:rPr>
        <w:t>)</w:t>
      </w:r>
      <w:r w:rsidR="755B8D4D">
        <w:rPr>
          <w:rFonts w:cs="Arial"/>
        </w:rPr>
        <w:t>.</w:t>
      </w:r>
      <w:r w:rsidR="003B7B2A">
        <w:rPr>
          <w:rStyle w:val="FootnoteReference"/>
          <w:rFonts w:cs="Arial"/>
        </w:rPr>
        <w:footnoteReference w:id="87"/>
      </w:r>
      <w:r w:rsidR="07957EF4">
        <w:rPr>
          <w:rFonts w:cs="Arial"/>
        </w:rPr>
        <w:t xml:space="preserve"> </w:t>
      </w:r>
      <w:r w:rsidR="3FB3E78A">
        <w:rPr>
          <w:rFonts w:cs="Arial"/>
        </w:rPr>
        <w:t>The development of such regulations will be informed by the data collected by the Commission</w:t>
      </w:r>
      <w:r w:rsidR="4F812EA4" w:rsidRPr="155C1719">
        <w:rPr>
          <w:rFonts w:cs="Arial"/>
        </w:rPr>
        <w:t>er</w:t>
      </w:r>
      <w:r w:rsidR="3FB3E78A">
        <w:rPr>
          <w:rFonts w:cs="Arial"/>
        </w:rPr>
        <w:t xml:space="preserve"> as part of the 2021 workplace gender audit and progress reports that will be submitted to</w:t>
      </w:r>
      <w:r w:rsidR="192026C4">
        <w:rPr>
          <w:rFonts w:cs="Arial"/>
        </w:rPr>
        <w:t xml:space="preserve"> me in February 2024</w:t>
      </w:r>
      <w:r w:rsidR="3FB3E78A">
        <w:rPr>
          <w:rFonts w:cs="Arial"/>
        </w:rPr>
        <w:t>.</w:t>
      </w:r>
    </w:p>
    <w:p w14:paraId="2E10667A" w14:textId="7C09E18B" w:rsidR="004E44A9" w:rsidRDefault="20FCA72A" w:rsidP="003965EE">
      <w:pPr>
        <w:spacing w:before="120" w:after="120"/>
      </w:pPr>
      <w:r>
        <w:t xml:space="preserve">Additionally, </w:t>
      </w:r>
      <w:r w:rsidR="096E5B79">
        <w:t>research suggests a number of other mec</w:t>
      </w:r>
      <w:r w:rsidR="0460976C">
        <w:t xml:space="preserve">hanisms support </w:t>
      </w:r>
      <w:r w:rsidR="4821F925">
        <w:t>recruitment and retention of women into senior leadership roles, including</w:t>
      </w:r>
      <w:r w:rsidR="6F79241B">
        <w:t xml:space="preserve"> </w:t>
      </w:r>
      <w:r w:rsidR="254613FF">
        <w:t>normalisation of flexible work</w:t>
      </w:r>
      <w:r w:rsidR="705499D1">
        <w:t xml:space="preserve"> practices at senior levels</w:t>
      </w:r>
      <w:r w:rsidR="37483615">
        <w:t>.</w:t>
      </w:r>
      <w:r w:rsidR="00110BB9">
        <w:rPr>
          <w:rStyle w:val="FootnoteReference"/>
        </w:rPr>
        <w:footnoteReference w:id="88"/>
      </w:r>
      <w:r w:rsidR="37483615">
        <w:t xml:space="preserve"> </w:t>
      </w:r>
      <w:r w:rsidR="6A7DE0C0">
        <w:t xml:space="preserve">Data from Victoria’s Baseline report suggests that </w:t>
      </w:r>
      <w:r w:rsidR="3314EC6F">
        <w:t>women in leadership roles access part-time work</w:t>
      </w:r>
      <w:r w:rsidR="65FCE697">
        <w:t xml:space="preserve"> </w:t>
      </w:r>
      <w:r w:rsidR="3314EC6F">
        <w:t>and job-sharing arrangements (both of which entail a financial penalty compared to other flexible working arrangements) disproportionately</w:t>
      </w:r>
      <w:r w:rsidR="6F79241B">
        <w:t>.</w:t>
      </w:r>
      <w:r w:rsidR="002520FC">
        <w:rPr>
          <w:rStyle w:val="FootnoteReference"/>
        </w:rPr>
        <w:footnoteReference w:id="89"/>
      </w:r>
      <w:r w:rsidR="37483615">
        <w:t xml:space="preserve"> </w:t>
      </w:r>
      <w:r w:rsidR="6F79241B">
        <w:t xml:space="preserve">Research also demonstrates the importance of </w:t>
      </w:r>
      <w:r w:rsidR="4821F925">
        <w:t>actively sponsoring women.</w:t>
      </w:r>
      <w:r w:rsidR="7312D921">
        <w:t xml:space="preserve"> For example,</w:t>
      </w:r>
      <w:r w:rsidR="4821F925">
        <w:t xml:space="preserve"> </w:t>
      </w:r>
      <w:r w:rsidR="7312D921">
        <w:t>o</w:t>
      </w:r>
      <w:r w:rsidR="0C84C1DD">
        <w:t xml:space="preserve">rganisations </w:t>
      </w:r>
      <w:r w:rsidR="7312D921">
        <w:t>like</w:t>
      </w:r>
      <w:r w:rsidR="0C84C1DD">
        <w:t xml:space="preserve"> </w:t>
      </w:r>
      <w:hyperlink r:id="rId21" w:history="1">
        <w:r w:rsidR="0C84C1DD" w:rsidRPr="00972B65">
          <w:rPr>
            <w:rStyle w:val="Hyperlink"/>
          </w:rPr>
          <w:t>Cultivate</w:t>
        </w:r>
      </w:hyperlink>
      <w:r w:rsidR="1A447718">
        <w:t xml:space="preserve"> </w:t>
      </w:r>
      <w:r w:rsidR="0C84C1DD">
        <w:t>have developed formal sponsorship programs that create strategic alliances between senior female leaders and emerging female leaders, particularly in male-dominated industries</w:t>
      </w:r>
      <w:r w:rsidR="6F79241B">
        <w:t>.</w:t>
      </w:r>
      <w:r w:rsidR="004E44A9">
        <w:rPr>
          <w:rStyle w:val="FootnoteReference"/>
        </w:rPr>
        <w:footnoteReference w:id="90"/>
      </w:r>
      <w:r w:rsidR="0C84C1DD">
        <w:t xml:space="preserve"> </w:t>
      </w:r>
    </w:p>
    <w:p w14:paraId="3B14BA2F" w14:textId="16BD4F6D" w:rsidR="00221B9F" w:rsidRDefault="0B0A0A46" w:rsidP="00BB5FA6">
      <w:pPr>
        <w:spacing w:before="120" w:after="120"/>
      </w:pPr>
      <w:r>
        <w:t>In 2022, Women on Boards conducted a desktop audit of the boards of 232 (non-corporate) organisations across 5 sectors and found that while women comprised 46% of directors across the sectors, culturally diverse women (non-Anglo Celtic origins) accounted for just 5.7%.</w:t>
      </w:r>
      <w:r w:rsidR="008B476D">
        <w:rPr>
          <w:rStyle w:val="FootnoteReference"/>
        </w:rPr>
        <w:footnoteReference w:id="91"/>
      </w:r>
      <w:r w:rsidR="5099D31E">
        <w:t xml:space="preserve"> </w:t>
      </w:r>
      <w:r w:rsidR="26FBCC9F">
        <w:t>It is therefore important that any measures introduced by the Australian Government promote a more diverse representation of women in leadership, to better reflect the rich diversity of the Australian population.</w:t>
      </w:r>
      <w:r w:rsidR="00986003">
        <w:t xml:space="preserve"> Th</w:t>
      </w:r>
      <w:r w:rsidR="006F3381">
        <w:t xml:space="preserve">ese measures must </w:t>
      </w:r>
      <w:r w:rsidR="0012461F">
        <w:t xml:space="preserve">address </w:t>
      </w:r>
      <w:r w:rsidR="006E6123">
        <w:t xml:space="preserve">unconscious </w:t>
      </w:r>
      <w:r w:rsidR="00BD0E89">
        <w:t>(</w:t>
      </w:r>
      <w:r w:rsidR="000D1FAA">
        <w:t>and conscious</w:t>
      </w:r>
      <w:r w:rsidR="00BD0E89">
        <w:t>)</w:t>
      </w:r>
      <w:r w:rsidR="000D1FAA">
        <w:t xml:space="preserve"> bias</w:t>
      </w:r>
      <w:r w:rsidR="00C33F0F">
        <w:t xml:space="preserve"> and </w:t>
      </w:r>
      <w:r w:rsidR="00DB15F7">
        <w:t>racism</w:t>
      </w:r>
      <w:r w:rsidR="00746D3C">
        <w:t xml:space="preserve"> </w:t>
      </w:r>
      <w:r w:rsidR="00D92205">
        <w:t>which permeate</w:t>
      </w:r>
      <w:r w:rsidR="00114777">
        <w:t xml:space="preserve"> </w:t>
      </w:r>
      <w:r w:rsidR="00D92205">
        <w:t xml:space="preserve">every aspect of </w:t>
      </w:r>
      <w:r w:rsidR="00B84FD4">
        <w:t>the employment lifecycle</w:t>
      </w:r>
      <w:r w:rsidR="00DB15F7">
        <w:t xml:space="preserve"> </w:t>
      </w:r>
      <w:r w:rsidR="00451F0F">
        <w:t xml:space="preserve">– </w:t>
      </w:r>
      <w:r w:rsidR="00106761">
        <w:t>including</w:t>
      </w:r>
      <w:r w:rsidR="00451F0F">
        <w:t xml:space="preserve"> recruitment</w:t>
      </w:r>
      <w:r w:rsidR="00106761">
        <w:t xml:space="preserve"> and promotion decisions, as well as  </w:t>
      </w:r>
      <w:r w:rsidR="00451F0F">
        <w:t xml:space="preserve"> </w:t>
      </w:r>
      <w:r w:rsidR="00DB3833">
        <w:t>talent identification and per</w:t>
      </w:r>
      <w:r w:rsidR="00701A75">
        <w:t>formance and development discussions, programs, and opportunities.</w:t>
      </w:r>
      <w:r w:rsidR="00701A75">
        <w:rPr>
          <w:rStyle w:val="FootnoteReference"/>
        </w:rPr>
        <w:footnoteReference w:id="92"/>
      </w:r>
      <w:r w:rsidR="26FBCC9F">
        <w:t xml:space="preserve"> </w:t>
      </w:r>
      <w:r w:rsidR="00BD0E89">
        <w:t xml:space="preserve">These measures should also </w:t>
      </w:r>
      <w:r w:rsidR="00745B6C">
        <w:t xml:space="preserve">support </w:t>
      </w:r>
      <w:r w:rsidR="001F65B5">
        <w:t>diverse women and gender-</w:t>
      </w:r>
      <w:r w:rsidR="001F65B5">
        <w:lastRenderedPageBreak/>
        <w:t xml:space="preserve">diverse people in their leadership positions. </w:t>
      </w:r>
      <w:r w:rsidR="26FBCC9F">
        <w:t>For example, t</w:t>
      </w:r>
      <w:r w:rsidR="327F3EE5">
        <w:t>he Vic</w:t>
      </w:r>
      <w:r w:rsidR="47949F33">
        <w:t>torian Government</w:t>
      </w:r>
      <w:r w:rsidR="00F19A38">
        <w:t>, in partnership with Women of Colour Australia and Women’s Business,</w:t>
      </w:r>
      <w:r w:rsidR="463B6874">
        <w:t xml:space="preserve"> delivers the Women of Colour Leadership Program – a cu</w:t>
      </w:r>
      <w:r w:rsidR="10B01E47">
        <w:t>lturally safe leadership coaching program designed by Women of Colour to support leaders on their leadership</w:t>
      </w:r>
      <w:r w:rsidR="0CA45796">
        <w:t xml:space="preserve"> journeys.</w:t>
      </w:r>
      <w:r w:rsidR="00091931">
        <w:rPr>
          <w:rStyle w:val="FootnoteReference"/>
        </w:rPr>
        <w:footnoteReference w:id="93"/>
      </w:r>
      <w:r w:rsidR="00E83DDD">
        <w:t xml:space="preserve"> </w:t>
      </w:r>
    </w:p>
    <w:p w14:paraId="3DF6E047" w14:textId="6F3E0F24" w:rsidR="00A66496" w:rsidRDefault="00356BDD" w:rsidP="005354FB">
      <w:pPr>
        <w:spacing w:before="120" w:after="120"/>
      </w:pPr>
      <w:r>
        <w:t xml:space="preserve">The Australian Government should consider the introduction </w:t>
      </w:r>
      <w:r w:rsidR="00005C20">
        <w:t xml:space="preserve">and implementation </w:t>
      </w:r>
      <w:r>
        <w:t xml:space="preserve">of policies and programs that </w:t>
      </w:r>
      <w:r w:rsidR="00D70AB9">
        <w:t>utilise and promote</w:t>
      </w:r>
      <w:r w:rsidR="00974F5D">
        <w:t xml:space="preserve"> evidence-based mechanisms</w:t>
      </w:r>
      <w:r w:rsidR="00F11028">
        <w:t xml:space="preserve"> to increase women’s representation in leadership </w:t>
      </w:r>
      <w:r w:rsidR="006634E5">
        <w:t>positions</w:t>
      </w:r>
      <w:r w:rsidR="00974F5D">
        <w:t xml:space="preserve">. </w:t>
      </w:r>
    </w:p>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E87E4D" w14:paraId="0BBDFA49" w14:textId="77777777" w:rsidTr="155C1719">
        <w:tc>
          <w:tcPr>
            <w:tcW w:w="9016" w:type="dxa"/>
            <w:tcBorders>
              <w:top w:val="nil"/>
              <w:left w:val="nil"/>
              <w:bottom w:val="nil"/>
              <w:right w:val="nil"/>
            </w:tcBorders>
            <w:shd w:val="clear" w:color="auto" w:fill="E7E6E6" w:themeFill="background2"/>
          </w:tcPr>
          <w:p w14:paraId="04875D01" w14:textId="0666CA9C" w:rsidR="00E87E4D" w:rsidRDefault="00E87E4D" w:rsidP="00A05074">
            <w:pPr>
              <w:pStyle w:val="Heading3"/>
              <w:spacing w:before="120" w:after="120"/>
            </w:pPr>
            <w:r>
              <w:t>Recommendation 14</w:t>
            </w:r>
          </w:p>
          <w:p w14:paraId="5807AD41" w14:textId="03277555" w:rsidR="00E87E4D" w:rsidRPr="00E87E4D" w:rsidRDefault="00E87E4D" w:rsidP="00A05074">
            <w:pPr>
              <w:spacing w:before="120" w:after="120"/>
              <w:rPr>
                <w:sz w:val="22"/>
                <w:szCs w:val="22"/>
              </w:rPr>
            </w:pPr>
            <w:r w:rsidRPr="00E87E4D">
              <w:rPr>
                <w:sz w:val="22"/>
                <w:szCs w:val="22"/>
              </w:rPr>
              <w:t xml:space="preserve">That the </w:t>
            </w:r>
            <w:r w:rsidR="00DB5020">
              <w:rPr>
                <w:sz w:val="22"/>
                <w:szCs w:val="22"/>
              </w:rPr>
              <w:t xml:space="preserve">National </w:t>
            </w:r>
            <w:r w:rsidRPr="00E87E4D">
              <w:rPr>
                <w:sz w:val="22"/>
                <w:szCs w:val="22"/>
              </w:rPr>
              <w:t>Strategy:</w:t>
            </w:r>
          </w:p>
          <w:p w14:paraId="398E71CD" w14:textId="77777777" w:rsidR="00E87E4D" w:rsidRPr="00E87E4D" w:rsidRDefault="00E87E4D" w:rsidP="00BB5FA6">
            <w:pPr>
              <w:pStyle w:val="ListParagraph"/>
              <w:numPr>
                <w:ilvl w:val="0"/>
                <w:numId w:val="10"/>
              </w:numPr>
              <w:spacing w:before="120" w:after="120"/>
              <w:contextualSpacing w:val="0"/>
              <w:rPr>
                <w:sz w:val="22"/>
                <w:szCs w:val="22"/>
              </w:rPr>
            </w:pPr>
            <w:r w:rsidRPr="00E87E4D">
              <w:rPr>
                <w:sz w:val="22"/>
                <w:szCs w:val="22"/>
              </w:rPr>
              <w:t>Commit to the funding, development and implementation of evidence-based policies and programs designed to increase women’s representation in leadership positions</w:t>
            </w:r>
          </w:p>
          <w:p w14:paraId="28B0A17D" w14:textId="77777777" w:rsidR="00E87E4D" w:rsidRDefault="00E87E4D" w:rsidP="00DE4C1F">
            <w:pPr>
              <w:pStyle w:val="ListParagraph"/>
              <w:numPr>
                <w:ilvl w:val="1"/>
                <w:numId w:val="23"/>
              </w:numPr>
              <w:spacing w:before="120" w:after="120"/>
              <w:ind w:hanging="357"/>
              <w:contextualSpacing w:val="0"/>
              <w:rPr>
                <w:sz w:val="22"/>
                <w:szCs w:val="22"/>
              </w:rPr>
            </w:pPr>
            <w:r w:rsidRPr="00E87E4D">
              <w:rPr>
                <w:sz w:val="22"/>
                <w:szCs w:val="22"/>
              </w:rPr>
              <w:t xml:space="preserve">The Australian Government should set evidence-based targets to increase women in leadership across all Commonwealth agencies, administrative offices, judicial offices, and all Commonwealth-funded entities </w:t>
            </w:r>
          </w:p>
          <w:p w14:paraId="42A3B52B" w14:textId="2B2F9D8F" w:rsidR="00F02281" w:rsidRPr="00E87E4D" w:rsidRDefault="00F02281" w:rsidP="00DE4C1F">
            <w:pPr>
              <w:pStyle w:val="ListParagraph"/>
              <w:numPr>
                <w:ilvl w:val="1"/>
                <w:numId w:val="23"/>
              </w:numPr>
              <w:spacing w:before="120" w:after="120"/>
              <w:ind w:hanging="357"/>
              <w:contextualSpacing w:val="0"/>
              <w:rPr>
                <w:sz w:val="22"/>
                <w:szCs w:val="22"/>
              </w:rPr>
            </w:pPr>
            <w:r>
              <w:rPr>
                <w:sz w:val="22"/>
                <w:szCs w:val="22"/>
              </w:rPr>
              <w:t xml:space="preserve">The </w:t>
            </w:r>
            <w:r w:rsidR="00E93A1A">
              <w:rPr>
                <w:sz w:val="22"/>
                <w:szCs w:val="22"/>
              </w:rPr>
              <w:t xml:space="preserve">Australian Government should work collaboratively with </w:t>
            </w:r>
            <w:r w:rsidR="002D19B6">
              <w:rPr>
                <w:sz w:val="22"/>
                <w:szCs w:val="22"/>
              </w:rPr>
              <w:t xml:space="preserve">the relevant departments and statutory bodies in the </w:t>
            </w:r>
            <w:r w:rsidR="00E93A1A">
              <w:rPr>
                <w:sz w:val="22"/>
                <w:szCs w:val="22"/>
              </w:rPr>
              <w:t>State</w:t>
            </w:r>
            <w:r w:rsidR="002D19B6">
              <w:rPr>
                <w:sz w:val="22"/>
                <w:szCs w:val="22"/>
              </w:rPr>
              <w:t xml:space="preserve">s/Territories to set </w:t>
            </w:r>
            <w:r w:rsidR="002D19B6" w:rsidRPr="00E87E4D">
              <w:rPr>
                <w:sz w:val="22"/>
                <w:szCs w:val="22"/>
              </w:rPr>
              <w:t>evidence-based targets to increase women in leadership</w:t>
            </w:r>
          </w:p>
          <w:p w14:paraId="18C9B185" w14:textId="77777777" w:rsidR="00E87E4D" w:rsidRPr="00E87E4D" w:rsidRDefault="00E87E4D" w:rsidP="00DE4C1F">
            <w:pPr>
              <w:pStyle w:val="ListParagraph"/>
              <w:numPr>
                <w:ilvl w:val="1"/>
                <w:numId w:val="23"/>
              </w:numPr>
              <w:spacing w:before="120" w:after="120"/>
              <w:ind w:hanging="357"/>
              <w:contextualSpacing w:val="0"/>
              <w:rPr>
                <w:sz w:val="22"/>
                <w:szCs w:val="22"/>
              </w:rPr>
            </w:pPr>
            <w:r w:rsidRPr="00E87E4D">
              <w:rPr>
                <w:sz w:val="22"/>
                <w:szCs w:val="22"/>
              </w:rPr>
              <w:t xml:space="preserve">The Australian Government should commit to modelling flexible working arrangements at senior levels in all Commonwealth agencies, administrative offices, judicial offices, and all Commonwealth-funded entities </w:t>
            </w:r>
          </w:p>
          <w:p w14:paraId="688A57CD" w14:textId="77777777" w:rsidR="00E87E4D" w:rsidRPr="003B7BC4" w:rsidRDefault="00E87E4D" w:rsidP="00BB5FA6">
            <w:pPr>
              <w:pStyle w:val="ListParagraph"/>
              <w:numPr>
                <w:ilvl w:val="1"/>
                <w:numId w:val="23"/>
              </w:numPr>
              <w:spacing w:before="120" w:after="120"/>
              <w:ind w:hanging="357"/>
              <w:contextualSpacing w:val="0"/>
            </w:pPr>
            <w:r w:rsidRPr="00E87E4D">
              <w:rPr>
                <w:sz w:val="22"/>
                <w:szCs w:val="22"/>
              </w:rPr>
              <w:t>The Australian Government should fund sponsorship programs across male-dominated industries and sectors to support emerging female and gender-diverse leaders</w:t>
            </w:r>
          </w:p>
          <w:p w14:paraId="6B5DE242" w14:textId="24035A34" w:rsidR="00E87E4D" w:rsidRPr="003B7BC4" w:rsidRDefault="24F0D9CD" w:rsidP="00DE4C1F">
            <w:pPr>
              <w:pStyle w:val="ListParagraph"/>
              <w:numPr>
                <w:ilvl w:val="1"/>
                <w:numId w:val="23"/>
              </w:numPr>
              <w:spacing w:before="120" w:after="120"/>
              <w:ind w:hanging="357"/>
              <w:contextualSpacing w:val="0"/>
              <w:rPr>
                <w:sz w:val="22"/>
                <w:szCs w:val="22"/>
              </w:rPr>
            </w:pPr>
            <w:r w:rsidRPr="155C1719">
              <w:rPr>
                <w:sz w:val="22"/>
                <w:szCs w:val="22"/>
              </w:rPr>
              <w:t>The Australian Government should ensure that all activities</w:t>
            </w:r>
            <w:r w:rsidR="44F81DD6" w:rsidRPr="155C1719">
              <w:rPr>
                <w:sz w:val="22"/>
                <w:szCs w:val="22"/>
              </w:rPr>
              <w:t xml:space="preserve"> specified above (Recommendation 15(a)–</w:t>
            </w:r>
            <w:r w:rsidR="7EC0927A" w:rsidRPr="155C1719">
              <w:rPr>
                <w:sz w:val="22"/>
                <w:szCs w:val="22"/>
              </w:rPr>
              <w:t>(e)</w:t>
            </w:r>
            <w:r w:rsidR="44F81DD6" w:rsidRPr="155C1719">
              <w:rPr>
                <w:sz w:val="22"/>
                <w:szCs w:val="22"/>
              </w:rPr>
              <w:t xml:space="preserve">) are specifically informed by an intersectional gender lens to ensure increased representation of </w:t>
            </w:r>
            <w:r w:rsidR="7EC0927A" w:rsidRPr="155C1719">
              <w:rPr>
                <w:sz w:val="22"/>
                <w:szCs w:val="22"/>
              </w:rPr>
              <w:t>diverse</w:t>
            </w:r>
            <w:r w:rsidR="44F81DD6" w:rsidRPr="155C1719">
              <w:rPr>
                <w:sz w:val="22"/>
                <w:szCs w:val="22"/>
              </w:rPr>
              <w:t xml:space="preserve"> women, </w:t>
            </w:r>
            <w:r w:rsidR="2A4FA23A" w:rsidRPr="155C1719">
              <w:rPr>
                <w:sz w:val="22"/>
                <w:szCs w:val="22"/>
              </w:rPr>
              <w:t xml:space="preserve">including Aboriginal women, </w:t>
            </w:r>
            <w:r w:rsidR="405F6E52" w:rsidRPr="155C1719">
              <w:rPr>
                <w:sz w:val="22"/>
                <w:szCs w:val="22"/>
              </w:rPr>
              <w:t>women with disabilities, LGBTQI+ wome</w:t>
            </w:r>
            <w:r w:rsidR="5BEF116F" w:rsidRPr="155C1719">
              <w:rPr>
                <w:sz w:val="22"/>
                <w:szCs w:val="22"/>
              </w:rPr>
              <w:t>n and</w:t>
            </w:r>
            <w:r w:rsidR="71289300" w:rsidRPr="155C1719">
              <w:rPr>
                <w:sz w:val="22"/>
                <w:szCs w:val="22"/>
              </w:rPr>
              <w:t xml:space="preserve"> women from culturally diverse backgrounds</w:t>
            </w:r>
          </w:p>
        </w:tc>
      </w:tr>
    </w:tbl>
    <w:p w14:paraId="1CA3D5B2" w14:textId="77777777" w:rsidR="0031544C" w:rsidRDefault="0031544C" w:rsidP="00C359BF">
      <w:pPr>
        <w:pStyle w:val="Heading1"/>
        <w:spacing w:before="120" w:after="120"/>
      </w:pPr>
    </w:p>
    <w:p w14:paraId="1B97683E" w14:textId="17DD376C" w:rsidR="00A05074" w:rsidRDefault="00A05074" w:rsidP="00C359BF">
      <w:pPr>
        <w:pStyle w:val="Heading1"/>
        <w:spacing w:before="120" w:after="120"/>
      </w:pPr>
      <w:r>
        <w:t>Appendix 1: Summary of recommendations</w:t>
      </w:r>
    </w:p>
    <w:p w14:paraId="2922B334" w14:textId="1326A25F" w:rsidR="003267AB" w:rsidRDefault="003267AB" w:rsidP="004E6B5B">
      <w:pPr>
        <w:spacing w:before="120" w:after="120"/>
      </w:pPr>
      <w:r>
        <w:t xml:space="preserve">That the </w:t>
      </w:r>
      <w:r w:rsidR="00DB5020">
        <w:t xml:space="preserve">National </w:t>
      </w:r>
      <w:r>
        <w:t>Strategy should:</w:t>
      </w:r>
    </w:p>
    <w:p w14:paraId="51A6027E" w14:textId="25B2EB06" w:rsidR="00D67BC2" w:rsidRDefault="00D67BC2" w:rsidP="004E6B5B">
      <w:pPr>
        <w:pStyle w:val="ListParagraph"/>
        <w:numPr>
          <w:ilvl w:val="0"/>
          <w:numId w:val="24"/>
        </w:numPr>
        <w:spacing w:before="120" w:after="120"/>
        <w:contextualSpacing w:val="0"/>
      </w:pPr>
      <w:r>
        <w:t>Commit to the development of federal legislation that establishes key gender equality forums, bodies, and personnel to ensure a cohesive, consistent, and coordinated approach to addressing systemic gender inequality across Australia</w:t>
      </w:r>
    </w:p>
    <w:p w14:paraId="06EC525B" w14:textId="77777777" w:rsidR="00D67BC2" w:rsidRDefault="00D67BC2" w:rsidP="004E6B5B">
      <w:pPr>
        <w:pStyle w:val="ListParagraph"/>
        <w:numPr>
          <w:ilvl w:val="1"/>
          <w:numId w:val="24"/>
        </w:numPr>
        <w:spacing w:before="120" w:after="120"/>
        <w:contextualSpacing w:val="0"/>
      </w:pPr>
      <w:r>
        <w:t>Ensure the establishment of any Gender Equality Forum requires consultation with both federal and State/Territory gender equality agencies, including the Victorian Public Sector Gender Equality Commissioner, representatives of social partners, the academic community and gender equality organisations</w:t>
      </w:r>
    </w:p>
    <w:p w14:paraId="6F261F89" w14:textId="77777777" w:rsidR="00D67BC2" w:rsidRDefault="00D67BC2" w:rsidP="004E6B5B">
      <w:pPr>
        <w:pStyle w:val="ListParagraph"/>
        <w:numPr>
          <w:ilvl w:val="1"/>
          <w:numId w:val="24"/>
        </w:numPr>
        <w:spacing w:before="120" w:after="120"/>
        <w:contextualSpacing w:val="0"/>
      </w:pPr>
      <w:r>
        <w:t>Clarify and simplify existing federal legislative provisions dealing with gender equality issues</w:t>
      </w:r>
    </w:p>
    <w:p w14:paraId="3FC10074" w14:textId="2AF0B395" w:rsidR="00701151" w:rsidRDefault="00D67BC2" w:rsidP="004E6B5B">
      <w:pPr>
        <w:pStyle w:val="ListParagraph"/>
        <w:numPr>
          <w:ilvl w:val="1"/>
          <w:numId w:val="24"/>
        </w:numPr>
        <w:spacing w:before="120" w:after="120"/>
        <w:contextualSpacing w:val="0"/>
      </w:pPr>
      <w:r>
        <w:t>Supplement existing gender equality provisions in Sex Discrimination Act 1984 (Cth), Workplace Gender Equality Act 2012 (Cth), and Fair Work Act 2009 (Cth) by including provisions to support a comprehensive approach that addresses gender inequality in all spheres of society</w:t>
      </w:r>
    </w:p>
    <w:p w14:paraId="5F3844BC" w14:textId="41AEC1C6" w:rsidR="007318C7" w:rsidRDefault="007318C7" w:rsidP="004E6B5B">
      <w:pPr>
        <w:pStyle w:val="ListParagraph"/>
        <w:numPr>
          <w:ilvl w:val="0"/>
          <w:numId w:val="24"/>
        </w:numPr>
        <w:spacing w:before="120" w:after="120"/>
        <w:ind w:hanging="357"/>
        <w:contextualSpacing w:val="0"/>
      </w:pPr>
      <w:r w:rsidRPr="007318C7">
        <w:t>Establish a federal authority responsible for the oversight of the implementation of the federal legislation, such as through the creation of a federal Minister for Gender Equality or by assigning this responsibility to an existing independent statutory authority, such as the Sex Discrimination Commissioner</w:t>
      </w:r>
    </w:p>
    <w:p w14:paraId="01D8DA79" w14:textId="77777777" w:rsidR="007D4737" w:rsidRDefault="007D4737" w:rsidP="004E6B5B">
      <w:pPr>
        <w:pStyle w:val="ListParagraph"/>
        <w:numPr>
          <w:ilvl w:val="0"/>
          <w:numId w:val="24"/>
        </w:numPr>
        <w:spacing w:before="120" w:after="120"/>
        <w:contextualSpacing w:val="0"/>
      </w:pPr>
      <w:r>
        <w:t>Clearly establish a responsibility for the Federal Office for Women to work collaboratively with States and Territories to develop and enact consistent gender equality legislation</w:t>
      </w:r>
    </w:p>
    <w:p w14:paraId="7741FA8B" w14:textId="09BBDA2D" w:rsidR="007D4737" w:rsidRDefault="007D4737" w:rsidP="004E6B5B">
      <w:pPr>
        <w:pStyle w:val="ListParagraph"/>
        <w:numPr>
          <w:ilvl w:val="1"/>
          <w:numId w:val="24"/>
        </w:numPr>
        <w:spacing w:before="120" w:after="120"/>
        <w:contextualSpacing w:val="0"/>
      </w:pPr>
      <w:r>
        <w:t>State/Territory legislation should be modelled on the Gender Equality Act 2020(Vic). However, coverage of State/Territory legislation should extend to private sector organisations and their workers, and to any public sector or private sector organisation with more than 25 workers, which includes employees and volunteers</w:t>
      </w:r>
    </w:p>
    <w:p w14:paraId="3935953E" w14:textId="05993CA5" w:rsidR="007D4737" w:rsidRDefault="007D4737" w:rsidP="004E6B5B">
      <w:pPr>
        <w:pStyle w:val="ListParagraph"/>
        <w:numPr>
          <w:ilvl w:val="1"/>
          <w:numId w:val="24"/>
        </w:numPr>
        <w:spacing w:before="120" w:after="120"/>
        <w:contextualSpacing w:val="0"/>
      </w:pPr>
      <w:r>
        <w:t>The Federal Office for Women should work collaboratively with WGEA to, where possible, ensure alignment of obligations, and ensure any conflict or overlap in State/Territory legislation with the WGE Act does not create any additional burden on relevant entities</w:t>
      </w:r>
    </w:p>
    <w:p w14:paraId="0D61AACC" w14:textId="77777777" w:rsidR="007D4737" w:rsidRDefault="007D4737" w:rsidP="004E6B5B">
      <w:pPr>
        <w:pStyle w:val="ListParagraph"/>
        <w:numPr>
          <w:ilvl w:val="1"/>
          <w:numId w:val="24"/>
        </w:numPr>
        <w:spacing w:before="120" w:after="120"/>
        <w:contextualSpacing w:val="0"/>
      </w:pPr>
      <w:r>
        <w:lastRenderedPageBreak/>
        <w:t>The Federal Office for Women should work collaboratively with the Victorian Office for Women and the Public Sector Gender Equality Commissioner to facilitate inter-State/Territory collaboration, particularly in the development of corresponding legislation but also in the development of tools, guidelines, and resources available to defined entities</w:t>
      </w:r>
    </w:p>
    <w:p w14:paraId="2B66DBFC" w14:textId="77777777" w:rsidR="00B76703" w:rsidRPr="00B76703" w:rsidRDefault="00B76703" w:rsidP="004E6B5B">
      <w:pPr>
        <w:pStyle w:val="ListParagraph"/>
        <w:numPr>
          <w:ilvl w:val="0"/>
          <w:numId w:val="24"/>
        </w:numPr>
        <w:spacing w:before="120" w:after="120"/>
        <w:contextualSpacing w:val="0"/>
        <w:rPr>
          <w:rFonts w:eastAsia="Arial" w:cs="Arial"/>
        </w:rPr>
      </w:pPr>
      <w:r w:rsidRPr="00B76703">
        <w:rPr>
          <w:rFonts w:eastAsia="Arial" w:cs="Arial"/>
        </w:rPr>
        <w:t>Express a clear responsibility for the Federal Gender Data Steering Group, or an alternative federal body as deemed appropriate, to facilitate greater collection, sharing and use of gender data</w:t>
      </w:r>
    </w:p>
    <w:p w14:paraId="2412104A" w14:textId="12BAEB16" w:rsidR="00B76703" w:rsidRPr="00B76703" w:rsidRDefault="00B76703" w:rsidP="004E6B5B">
      <w:pPr>
        <w:pStyle w:val="ListParagraph"/>
        <w:numPr>
          <w:ilvl w:val="1"/>
          <w:numId w:val="24"/>
        </w:numPr>
        <w:spacing w:before="120" w:after="120"/>
        <w:contextualSpacing w:val="0"/>
        <w:rPr>
          <w:rFonts w:eastAsia="Arial" w:cs="Arial"/>
        </w:rPr>
      </w:pPr>
      <w:r w:rsidRPr="00B76703">
        <w:rPr>
          <w:rFonts w:eastAsia="Arial" w:cs="Arial"/>
        </w:rPr>
        <w:t>This body should be responsible for the development and implementation of agreed data standards that ensure gender data is nationally and internationally comparable, as well as establish an appropriate governance model for their use and ongoing development and maintenance</w:t>
      </w:r>
    </w:p>
    <w:p w14:paraId="6407B422" w14:textId="172C63B8" w:rsidR="00B76703" w:rsidRPr="00B76703" w:rsidRDefault="00B76703" w:rsidP="004E6B5B">
      <w:pPr>
        <w:pStyle w:val="ListParagraph"/>
        <w:numPr>
          <w:ilvl w:val="1"/>
          <w:numId w:val="24"/>
        </w:numPr>
        <w:spacing w:before="120" w:after="120"/>
        <w:contextualSpacing w:val="0"/>
        <w:rPr>
          <w:rFonts w:eastAsia="Arial" w:cs="Arial"/>
        </w:rPr>
      </w:pPr>
      <w:r w:rsidRPr="00B76703">
        <w:rPr>
          <w:rFonts w:eastAsia="Arial" w:cs="Arial"/>
        </w:rPr>
        <w:t>Promotion of data dissemination and facilitation of access to gender equality performance information across federal and State/Territory agencies and organisations should be a key priority under the National Strategy</w:t>
      </w:r>
    </w:p>
    <w:p w14:paraId="1696609C" w14:textId="3FC864C2" w:rsidR="00B76703" w:rsidRPr="00B76703" w:rsidRDefault="00B76703" w:rsidP="004E6B5B">
      <w:pPr>
        <w:pStyle w:val="ListParagraph"/>
        <w:numPr>
          <w:ilvl w:val="1"/>
          <w:numId w:val="24"/>
        </w:numPr>
        <w:spacing w:before="120" w:after="120"/>
        <w:contextualSpacing w:val="0"/>
        <w:rPr>
          <w:rFonts w:eastAsia="Arial" w:cs="Arial"/>
        </w:rPr>
      </w:pPr>
      <w:r w:rsidRPr="00B76703">
        <w:rPr>
          <w:rFonts w:eastAsia="Arial" w:cs="Arial"/>
        </w:rPr>
        <w:t>This body should increase coordination among data collection and procuring bodies and collaborate with relevant State/Territory stakeholders to develop and facilitate gender data sharing mechanisms and agreements</w:t>
      </w:r>
    </w:p>
    <w:p w14:paraId="401CF9E5" w14:textId="77777777" w:rsidR="00295467" w:rsidRPr="00295467" w:rsidRDefault="00B76703" w:rsidP="004E6B5B">
      <w:pPr>
        <w:pStyle w:val="ListParagraph"/>
        <w:numPr>
          <w:ilvl w:val="1"/>
          <w:numId w:val="24"/>
        </w:numPr>
        <w:spacing w:before="120" w:after="120"/>
        <w:contextualSpacing w:val="0"/>
      </w:pPr>
      <w:r w:rsidRPr="00B76703">
        <w:rPr>
          <w:rFonts w:eastAsia="Arial" w:cs="Arial"/>
        </w:rPr>
        <w:t>The Australian Government should ensure that in the compilation of official reports, interviews and surveys, a distinction is drawn between genders (including non-binary and gender diverse individuals) in the collection, analysis, and publication of data, subject to privacy and data restrictions</w:t>
      </w:r>
    </w:p>
    <w:p w14:paraId="3042649B" w14:textId="684C9248" w:rsidR="000B7F05" w:rsidRPr="000B7F05" w:rsidRDefault="000B7F05" w:rsidP="004E6B5B">
      <w:pPr>
        <w:pStyle w:val="ListParagraph"/>
        <w:numPr>
          <w:ilvl w:val="0"/>
          <w:numId w:val="24"/>
        </w:numPr>
        <w:spacing w:before="120" w:after="120"/>
        <w:contextualSpacing w:val="0"/>
        <w:rPr>
          <w:rFonts w:eastAsia="Arial" w:cs="Arial"/>
        </w:rPr>
      </w:pPr>
      <w:r w:rsidRPr="000B7F05">
        <w:rPr>
          <w:rFonts w:eastAsia="Arial" w:cs="Arial"/>
        </w:rPr>
        <w:t>Express a commitment to the collection of intersectional gender data and the use of such data to enhance intersectional gender equality</w:t>
      </w:r>
    </w:p>
    <w:p w14:paraId="7E1A587C" w14:textId="6D5DD440" w:rsidR="000B7F05" w:rsidRPr="000B7F05" w:rsidRDefault="000B7F05" w:rsidP="004E6B5B">
      <w:pPr>
        <w:pStyle w:val="ListParagraph"/>
        <w:numPr>
          <w:ilvl w:val="1"/>
          <w:numId w:val="24"/>
        </w:numPr>
        <w:spacing w:before="120" w:after="120"/>
        <w:contextualSpacing w:val="0"/>
        <w:rPr>
          <w:rFonts w:eastAsia="Arial" w:cs="Arial"/>
        </w:rPr>
      </w:pPr>
      <w:r w:rsidRPr="000B7F05">
        <w:rPr>
          <w:rFonts w:eastAsia="Arial" w:cs="Arial"/>
        </w:rPr>
        <w:t>Express a clear responsibility for the Federal Gender Data Steering Group, or an alternative federal body as deemed appropriate, to facilitate greater collection, sharing and use of intersectional gender data</w:t>
      </w:r>
    </w:p>
    <w:p w14:paraId="04621F56" w14:textId="77777777" w:rsidR="000B7F05" w:rsidRPr="000B7F05" w:rsidRDefault="000B7F05" w:rsidP="004E6B5B">
      <w:pPr>
        <w:pStyle w:val="ListParagraph"/>
        <w:numPr>
          <w:ilvl w:val="1"/>
          <w:numId w:val="24"/>
        </w:numPr>
        <w:spacing w:before="120" w:after="120"/>
        <w:contextualSpacing w:val="0"/>
      </w:pPr>
      <w:r w:rsidRPr="000B7F05">
        <w:rPr>
          <w:rFonts w:eastAsia="Arial" w:cs="Arial"/>
        </w:rPr>
        <w:t>In the development of any agreed intersectional gender data standards, the Federal Gender Data Steering Group, or an alternative federal body as deemed appropriate, must consult with a diverse range of stakeholders, including community groups and advocacy organisations relevant to the specific intersectional attribute in question</w:t>
      </w:r>
    </w:p>
    <w:p w14:paraId="665171EB" w14:textId="53A3CA9A" w:rsidR="00971C8A" w:rsidRDefault="00971C8A" w:rsidP="004E6B5B">
      <w:pPr>
        <w:pStyle w:val="ListParagraph"/>
        <w:numPr>
          <w:ilvl w:val="0"/>
          <w:numId w:val="24"/>
        </w:numPr>
        <w:spacing w:before="120" w:after="120"/>
        <w:contextualSpacing w:val="0"/>
      </w:pPr>
      <w:r>
        <w:t>Include specific strategies and measures to raise awareness in relation to intersectional gender inequality and address the manifestations of intersectional gender inequality across the community</w:t>
      </w:r>
    </w:p>
    <w:p w14:paraId="5D8C3895" w14:textId="1D223136" w:rsidR="00971C8A" w:rsidRDefault="00971C8A" w:rsidP="004E6B5B">
      <w:pPr>
        <w:pStyle w:val="ListParagraph"/>
        <w:numPr>
          <w:ilvl w:val="1"/>
          <w:numId w:val="24"/>
        </w:numPr>
        <w:spacing w:before="120" w:after="120"/>
        <w:contextualSpacing w:val="0"/>
      </w:pPr>
      <w:r>
        <w:lastRenderedPageBreak/>
        <w:t>Research funding should be allocated to the investigation of intersectional gender inequality in Australia, as well as evidence-based strategies and measures to address intersectional gender inequality</w:t>
      </w:r>
    </w:p>
    <w:p w14:paraId="49967D9E" w14:textId="3FE7137B" w:rsidR="00971C8A" w:rsidRDefault="00971C8A" w:rsidP="004E6B5B">
      <w:pPr>
        <w:pStyle w:val="ListParagraph"/>
        <w:numPr>
          <w:ilvl w:val="1"/>
          <w:numId w:val="24"/>
        </w:numPr>
        <w:spacing w:before="120" w:after="120"/>
        <w:contextualSpacing w:val="0"/>
      </w:pPr>
      <w:r>
        <w:t>Any strategies and measures relating to intersectional gender inequality must be developed in consultation with community groups and advocacy organisations relevant to the specific intersectional attribute in question</w:t>
      </w:r>
    </w:p>
    <w:p w14:paraId="5D0B4AB9" w14:textId="4DA064D7" w:rsidR="00EC5FAC" w:rsidRDefault="00EC5FAC" w:rsidP="004E6B5B">
      <w:pPr>
        <w:pStyle w:val="ListParagraph"/>
        <w:numPr>
          <w:ilvl w:val="0"/>
          <w:numId w:val="24"/>
        </w:numPr>
        <w:spacing w:before="120" w:after="120"/>
        <w:contextualSpacing w:val="0"/>
      </w:pPr>
      <w:r>
        <w:t>Include an express commitment to further amend the Workplace Gender Equality Act 2012 (Cth)(WGE Act) to implement remaining recommendations of the WGEA Review Report (Report) and further strengthen the legislation</w:t>
      </w:r>
    </w:p>
    <w:p w14:paraId="153E8BD4" w14:textId="3F6ECA2B" w:rsidR="00EC5FAC" w:rsidRDefault="00EC5FAC" w:rsidP="004E6B5B">
      <w:pPr>
        <w:pStyle w:val="ListParagraph"/>
        <w:numPr>
          <w:ilvl w:val="1"/>
          <w:numId w:val="24"/>
        </w:numPr>
        <w:spacing w:before="120" w:after="120"/>
        <w:contextualSpacing w:val="0"/>
      </w:pPr>
      <w:r>
        <w:t>Incorporate a set of gender pay equity principles into the WGE Act</w:t>
      </w:r>
    </w:p>
    <w:p w14:paraId="1B86F7B8" w14:textId="469AA955" w:rsidR="00EC5FAC" w:rsidRDefault="00EC5FAC" w:rsidP="004E6B5B">
      <w:pPr>
        <w:pStyle w:val="ListParagraph"/>
        <w:numPr>
          <w:ilvl w:val="1"/>
          <w:numId w:val="24"/>
        </w:numPr>
        <w:spacing w:before="120" w:after="120"/>
        <w:contextualSpacing w:val="0"/>
      </w:pPr>
      <w:r>
        <w:t>Implement recommendation 3.1(a) of the Report by amending the Workplace Gender Equality (Gender Equality Standards) Instrument 2023 to require relevant employers (not just employers with 500 or more employees) to commit to, achieve and report to WGEA on measurable genuine targets</w:t>
      </w:r>
    </w:p>
    <w:p w14:paraId="23DA0E0F" w14:textId="1035B35E" w:rsidR="00EC5FAC" w:rsidRDefault="00EC5FAC" w:rsidP="004E6B5B">
      <w:pPr>
        <w:pStyle w:val="ListParagraph"/>
        <w:numPr>
          <w:ilvl w:val="1"/>
          <w:numId w:val="24"/>
        </w:numPr>
        <w:spacing w:before="120" w:after="120"/>
        <w:contextualSpacing w:val="0"/>
      </w:pPr>
      <w:r>
        <w:t>Strengthen the compliance and enforcement mechanisms in the WGE Act by:</w:t>
      </w:r>
    </w:p>
    <w:p w14:paraId="7F5A2279" w14:textId="7CD555B3" w:rsidR="00EC5FAC" w:rsidRDefault="00EC5FAC" w:rsidP="004E6B5B">
      <w:pPr>
        <w:pStyle w:val="ListParagraph"/>
        <w:numPr>
          <w:ilvl w:val="2"/>
          <w:numId w:val="24"/>
        </w:numPr>
        <w:spacing w:before="120" w:after="120"/>
        <w:contextualSpacing w:val="0"/>
      </w:pPr>
      <w:r>
        <w:t>mirroring the compliance mechanisms under Victoria’s GE Act; and</w:t>
      </w:r>
    </w:p>
    <w:p w14:paraId="3FE971AB" w14:textId="448E4C60" w:rsidR="00EC5FAC" w:rsidRDefault="00EC5FAC" w:rsidP="004E6B5B">
      <w:pPr>
        <w:pStyle w:val="ListParagraph"/>
        <w:numPr>
          <w:ilvl w:val="2"/>
          <w:numId w:val="24"/>
        </w:numPr>
        <w:spacing w:before="120" w:after="120"/>
        <w:contextualSpacing w:val="0"/>
      </w:pPr>
      <w:r>
        <w:t xml:space="preserve">implement recommendation 8 of the Report </w:t>
      </w:r>
    </w:p>
    <w:p w14:paraId="12F0A8C0" w14:textId="1D495F5A" w:rsidR="00E138B8" w:rsidRDefault="00EC5FAC" w:rsidP="004E6B5B">
      <w:pPr>
        <w:pStyle w:val="ListParagraph"/>
        <w:numPr>
          <w:ilvl w:val="1"/>
          <w:numId w:val="24"/>
        </w:numPr>
        <w:spacing w:before="120" w:after="120"/>
        <w:contextualSpacing w:val="0"/>
      </w:pPr>
      <w:r>
        <w:t>Prescribe the collection of data in relation to the incidence of sex-based harassment and discrimination, provided via anonymous employee survey data</w:t>
      </w:r>
    </w:p>
    <w:p w14:paraId="5BF8E6DD" w14:textId="77777777" w:rsidR="00C36354" w:rsidRDefault="00C36354" w:rsidP="004E6B5B">
      <w:pPr>
        <w:pStyle w:val="ListParagraph"/>
        <w:numPr>
          <w:ilvl w:val="0"/>
          <w:numId w:val="24"/>
        </w:numPr>
        <w:spacing w:before="120" w:after="120"/>
        <w:contextualSpacing w:val="0"/>
      </w:pPr>
      <w:r>
        <w:t>Include an express commitment to amend the National Employment Standards under the Fair Work Act 2009 (Cth) (FW Act) to provide for additional paid leave entitlements related to menopause, menstruation, and gender affirmation, and to provide additional carer’s leave entitlements</w:t>
      </w:r>
    </w:p>
    <w:p w14:paraId="76BD9003" w14:textId="473DC45F" w:rsidR="00C36354" w:rsidRDefault="00C36354" w:rsidP="004E6B5B">
      <w:pPr>
        <w:pStyle w:val="ListParagraph"/>
        <w:numPr>
          <w:ilvl w:val="1"/>
          <w:numId w:val="24"/>
        </w:numPr>
        <w:spacing w:before="120" w:after="120"/>
        <w:contextualSpacing w:val="0"/>
      </w:pPr>
      <w:r>
        <w:t>Menstruation and menopause leave entitlements should be developed in consultation with peak representative bodies, including union groups, and as a minimum provide an entitlement to 12 days’ paid leave per annum</w:t>
      </w:r>
    </w:p>
    <w:p w14:paraId="614ABA39" w14:textId="65D1C84F" w:rsidR="00C36354" w:rsidRDefault="00C36354" w:rsidP="004E6B5B">
      <w:pPr>
        <w:pStyle w:val="ListParagraph"/>
        <w:numPr>
          <w:ilvl w:val="1"/>
          <w:numId w:val="24"/>
        </w:numPr>
        <w:spacing w:before="120" w:after="120"/>
        <w:contextualSpacing w:val="0"/>
      </w:pPr>
      <w:r>
        <w:t>Gender affirmation leave entitlements should be developed in consultation with peak representative bodies, including the Victorian Commissioner for LGBTIQ+ Communities and corresponding authorities in other States/Territories, and as a minimum provide an entitlement to 8 weeks’ paid leave and up to 12 months unpaid leave</w:t>
      </w:r>
    </w:p>
    <w:p w14:paraId="5FA4B566" w14:textId="77777777" w:rsidR="00C36354" w:rsidRDefault="00C36354" w:rsidP="004E6B5B">
      <w:pPr>
        <w:pStyle w:val="ListParagraph"/>
        <w:numPr>
          <w:ilvl w:val="1"/>
          <w:numId w:val="24"/>
        </w:numPr>
        <w:spacing w:before="120" w:after="120"/>
        <w:contextualSpacing w:val="0"/>
      </w:pPr>
      <w:r>
        <w:t>Section 96 of the FW Act should be amended to provide an additional 10 days’ carer’s leave per annum to be used exclusively in circumstances where the employee is to provide care or support to a member of their immediate family or household who requires support due to illness, injury, or unexpected emergency</w:t>
      </w:r>
    </w:p>
    <w:p w14:paraId="1D3C1C35" w14:textId="63D707C7" w:rsidR="009E48C6" w:rsidRDefault="009E48C6" w:rsidP="004E6B5B">
      <w:pPr>
        <w:pStyle w:val="ListParagraph"/>
        <w:numPr>
          <w:ilvl w:val="0"/>
          <w:numId w:val="24"/>
        </w:numPr>
        <w:spacing w:before="120" w:after="120"/>
        <w:contextualSpacing w:val="0"/>
      </w:pPr>
      <w:r>
        <w:lastRenderedPageBreak/>
        <w:t>Include an express commitment to strengthen the ‘equal pay for work of equal or comparable value’ provisions recently inserted into the Fair Work Act 2009 (Cth) by including a clear procedural requirement for employers to ensure their employees are receiving equal pay for work of equal or comparable value regardless of gender</w:t>
      </w:r>
    </w:p>
    <w:p w14:paraId="2612CD23" w14:textId="41893C08" w:rsidR="009E48C6" w:rsidRDefault="009E48C6" w:rsidP="004E6B5B">
      <w:pPr>
        <w:pStyle w:val="ListParagraph"/>
        <w:numPr>
          <w:ilvl w:val="0"/>
          <w:numId w:val="32"/>
        </w:numPr>
        <w:spacing w:before="120" w:after="120"/>
        <w:contextualSpacing w:val="0"/>
      </w:pPr>
      <w:r>
        <w:t>The Australian Government should ensure that this procedural requirement is specific to the principle of ‘equal pay for work of equal or comparable value’, to ensure it goes beyond the general positive duty under the Sex Discrimination Act 1984 (Cth) to eliminate discrimination (which includes within its scope the elimination of pay discrimination)</w:t>
      </w:r>
    </w:p>
    <w:p w14:paraId="6D35918D" w14:textId="22DBD1F8" w:rsidR="00967EBB" w:rsidRDefault="009E48C6" w:rsidP="004E6B5B">
      <w:pPr>
        <w:pStyle w:val="ListParagraph"/>
        <w:numPr>
          <w:ilvl w:val="0"/>
          <w:numId w:val="32"/>
        </w:numPr>
        <w:spacing w:before="120" w:after="120"/>
        <w:contextualSpacing w:val="0"/>
      </w:pPr>
      <w:r>
        <w:t xml:space="preserve">The Australian Government should fund the development and dissemination of tools to support job valuations and implementation of gender-neutral job classifications. </w:t>
      </w:r>
      <w:r w:rsidR="12FF465E">
        <w:t xml:space="preserve">I note that the ILO has developed </w:t>
      </w:r>
      <w:hyperlink r:id="rId22">
        <w:r w:rsidR="12FF465E" w:rsidRPr="155C1719">
          <w:rPr>
            <w:rStyle w:val="Hyperlink"/>
          </w:rPr>
          <w:t>a step-by-step guide</w:t>
        </w:r>
      </w:hyperlink>
      <w:r w:rsidR="12FF465E">
        <w:t xml:space="preserve"> in this regard</w:t>
      </w:r>
    </w:p>
    <w:p w14:paraId="11131955" w14:textId="6612DB80" w:rsidR="0024628F" w:rsidRDefault="0016464E" w:rsidP="004E6B5B">
      <w:pPr>
        <w:pStyle w:val="ListParagraph"/>
        <w:numPr>
          <w:ilvl w:val="0"/>
          <w:numId w:val="24"/>
        </w:numPr>
        <w:spacing w:before="120" w:after="120"/>
        <w:contextualSpacing w:val="0"/>
      </w:pPr>
      <w:r w:rsidRPr="00667909">
        <w:t>Include an express commitment, and targeted measures, to close the gender pay gap in superannuation</w:t>
      </w:r>
    </w:p>
    <w:p w14:paraId="7A3E844B" w14:textId="7C7BB77B" w:rsidR="00DB67F6" w:rsidRDefault="00DB67F6" w:rsidP="004E6B5B">
      <w:pPr>
        <w:pStyle w:val="ListParagraph"/>
        <w:numPr>
          <w:ilvl w:val="0"/>
          <w:numId w:val="24"/>
        </w:numPr>
        <w:spacing w:before="120" w:after="120"/>
        <w:contextualSpacing w:val="0"/>
      </w:pPr>
      <w:r>
        <w:t>Include an express commitment to embedding gender impact assessment (GIA) in the Commonwealth public sector, beyond the current application to budget processes</w:t>
      </w:r>
    </w:p>
    <w:p w14:paraId="4B6634D2" w14:textId="313ADECC" w:rsidR="00DB67F6" w:rsidRDefault="00DB67F6" w:rsidP="004E6B5B">
      <w:pPr>
        <w:pStyle w:val="ListParagraph"/>
        <w:numPr>
          <w:ilvl w:val="1"/>
          <w:numId w:val="24"/>
        </w:numPr>
        <w:spacing w:before="120" w:after="120"/>
        <w:contextualSpacing w:val="0"/>
      </w:pPr>
      <w:r>
        <w:t>Introduce an obligation, whether in the Workplace Gender Equality Act 2012 (Cth) or other legislative mechanisms, for all Commonwealth agencies, administrative offices, judicial offices and all Commonwealth-funded programs or services, to undertake GIA on all policies, programs, and services with a direct and significant impact on the public</w:t>
      </w:r>
    </w:p>
    <w:p w14:paraId="3D91054F" w14:textId="0041FCE1" w:rsidR="0060698D" w:rsidRDefault="00DB67F6" w:rsidP="004E6B5B">
      <w:pPr>
        <w:pStyle w:val="ListParagraph"/>
        <w:numPr>
          <w:ilvl w:val="1"/>
          <w:numId w:val="24"/>
        </w:numPr>
        <w:spacing w:before="120" w:after="120"/>
        <w:contextualSpacing w:val="0"/>
      </w:pPr>
      <w:r>
        <w:t>Embed GIA in the federal legislative and regulatory development process to ensure that all new and amending legislation and regulations are developed with a gender lens</w:t>
      </w:r>
    </w:p>
    <w:p w14:paraId="61FDADD8" w14:textId="77777777" w:rsidR="00852FB9" w:rsidRDefault="00852FB9" w:rsidP="004E6B5B">
      <w:pPr>
        <w:pStyle w:val="ListParagraph"/>
        <w:numPr>
          <w:ilvl w:val="0"/>
          <w:numId w:val="24"/>
        </w:numPr>
        <w:spacing w:before="120" w:after="120"/>
        <w:contextualSpacing w:val="0"/>
      </w:pPr>
      <w:r>
        <w:t>Consider and commit to implementing family-friendly policies relating to early childhood education and care and non-care household services modelled on those implemented by other OECD countries to enhance women’s participation in the workforce.</w:t>
      </w:r>
    </w:p>
    <w:p w14:paraId="5C031F2B" w14:textId="0B9812CE" w:rsidR="00852FB9" w:rsidRDefault="00852FB9" w:rsidP="004E6B5B">
      <w:pPr>
        <w:pStyle w:val="ListParagraph"/>
        <w:numPr>
          <w:ilvl w:val="1"/>
          <w:numId w:val="24"/>
        </w:numPr>
        <w:spacing w:before="120" w:after="120"/>
        <w:contextualSpacing w:val="0"/>
      </w:pPr>
      <w:r>
        <w:t>The Australian Government should design a holistic and balanced package of service-related, financial-related, and time-related family-friendly policies that cover all parents (regardless of their work status or occupation)</w:t>
      </w:r>
    </w:p>
    <w:p w14:paraId="7ECF9D71" w14:textId="3AA11688" w:rsidR="00852FB9" w:rsidRDefault="00852FB9" w:rsidP="004E6B5B">
      <w:pPr>
        <w:pStyle w:val="ListParagraph"/>
        <w:numPr>
          <w:ilvl w:val="1"/>
          <w:numId w:val="24"/>
        </w:numPr>
        <w:spacing w:before="120" w:after="120"/>
        <w:contextualSpacing w:val="0"/>
      </w:pPr>
      <w:r>
        <w:t xml:space="preserve">The Australian Government must embed a principle of co-responsibility for family-friendly policies, premised on the Australian Government providing universal access to childcare and establishing the required regulatory framework to ensure family-friendly policies are developed and implemented across the country, and for employers to develop and </w:t>
      </w:r>
      <w:r>
        <w:lastRenderedPageBreak/>
        <w:t>implement family-friendly policies particularly related to childcare, parental leave, and flexible working arrangements</w:t>
      </w:r>
    </w:p>
    <w:p w14:paraId="3B1D4D45" w14:textId="04B0F310" w:rsidR="00852FB9" w:rsidRDefault="00852FB9" w:rsidP="004E6B5B">
      <w:pPr>
        <w:pStyle w:val="ListParagraph"/>
        <w:numPr>
          <w:ilvl w:val="1"/>
          <w:numId w:val="24"/>
        </w:numPr>
        <w:spacing w:before="120" w:after="120"/>
        <w:contextualSpacing w:val="0"/>
      </w:pPr>
      <w:r>
        <w:t>The Australian Government must ensure that, in developing such strategies, it consults with key stakeholders representing single mother families to ensure the unique barriers to workforce participation faced by single mothers are adequately considered and addressed</w:t>
      </w:r>
    </w:p>
    <w:p w14:paraId="6539E3B8" w14:textId="3A820E5A" w:rsidR="00CE621D" w:rsidRDefault="00CE621D" w:rsidP="004E6B5B">
      <w:pPr>
        <w:pStyle w:val="ListParagraph"/>
        <w:numPr>
          <w:ilvl w:val="0"/>
          <w:numId w:val="24"/>
        </w:numPr>
        <w:spacing w:before="120" w:after="120"/>
        <w:contextualSpacing w:val="0"/>
      </w:pPr>
      <w:r>
        <w:t>Commit to the funding, development and implementation of evidence-based policies and programs designed to increase recruitment and retention of women and gender diverse people in traditionally male-dominated industries and occupations and of men in traditionally female-dominated industries and occupations</w:t>
      </w:r>
    </w:p>
    <w:p w14:paraId="78E1FBF5" w14:textId="239FB193" w:rsidR="00CE621D" w:rsidRDefault="00CE621D" w:rsidP="004E6B5B">
      <w:pPr>
        <w:pStyle w:val="ListParagraph"/>
        <w:numPr>
          <w:ilvl w:val="1"/>
          <w:numId w:val="24"/>
        </w:numPr>
        <w:spacing w:before="120" w:after="120"/>
        <w:contextualSpacing w:val="0"/>
      </w:pPr>
      <w:r>
        <w:t>The National Strategy should include a nationwide reform agenda for majority-women care industries to address the high proportion of insecure roles, low pay rates, workforce shortages, and projected increased demand</w:t>
      </w:r>
    </w:p>
    <w:p w14:paraId="108BD859" w14:textId="0DD11E2E" w:rsidR="00CE621D" w:rsidRDefault="00CE621D" w:rsidP="004E6B5B">
      <w:pPr>
        <w:pStyle w:val="ListParagraph"/>
        <w:numPr>
          <w:ilvl w:val="1"/>
          <w:numId w:val="24"/>
        </w:numPr>
        <w:spacing w:before="120" w:after="120"/>
        <w:contextualSpacing w:val="0"/>
      </w:pPr>
      <w:r>
        <w:t>The Australian Government should fund research with a specific focus on increasing male workforce participation in female-dominated industries and occupations</w:t>
      </w:r>
    </w:p>
    <w:p w14:paraId="4F7204ED" w14:textId="77777777" w:rsidR="00850052" w:rsidRDefault="00CE621D" w:rsidP="004E6B5B">
      <w:pPr>
        <w:pStyle w:val="ListParagraph"/>
        <w:numPr>
          <w:ilvl w:val="1"/>
          <w:numId w:val="24"/>
        </w:numPr>
        <w:spacing w:before="120" w:after="120"/>
        <w:contextualSpacing w:val="0"/>
      </w:pPr>
      <w:r>
        <w:t>All Commonwealth funded education intuitions and programs should be required to ensure all course promotional materials are gender-neutral, and that students receive the same training opportunities and vocational counselling, irrespective of gender</w:t>
      </w:r>
    </w:p>
    <w:p w14:paraId="35E60D4F" w14:textId="77777777" w:rsidR="00850052" w:rsidRDefault="00850052" w:rsidP="004E6B5B">
      <w:pPr>
        <w:pStyle w:val="ListParagraph"/>
        <w:numPr>
          <w:ilvl w:val="0"/>
          <w:numId w:val="24"/>
        </w:numPr>
        <w:spacing w:before="120" w:after="120"/>
        <w:contextualSpacing w:val="0"/>
      </w:pPr>
      <w:r>
        <w:t>Commit to the funding, development and implementation of evidence-based policies and programs designed to increase women’s representation in leadership positions</w:t>
      </w:r>
    </w:p>
    <w:p w14:paraId="284C0C75" w14:textId="77777777" w:rsidR="00850052" w:rsidRDefault="00850052" w:rsidP="004E6B5B">
      <w:pPr>
        <w:pStyle w:val="ListParagraph"/>
        <w:numPr>
          <w:ilvl w:val="1"/>
          <w:numId w:val="24"/>
        </w:numPr>
        <w:spacing w:before="120" w:after="120"/>
        <w:contextualSpacing w:val="0"/>
      </w:pPr>
      <w:r>
        <w:t xml:space="preserve">The Australian Government should set evidence-based targets to increase women in leadership across all Commonwealth agencies, administrative offices, judicial offices, and all Commonwealth-funded entities </w:t>
      </w:r>
    </w:p>
    <w:p w14:paraId="1B5E50A9" w14:textId="77777777" w:rsidR="00850052" w:rsidRDefault="00850052" w:rsidP="004E6B5B">
      <w:pPr>
        <w:pStyle w:val="ListParagraph"/>
        <w:numPr>
          <w:ilvl w:val="1"/>
          <w:numId w:val="24"/>
        </w:numPr>
        <w:spacing w:before="120" w:after="120"/>
        <w:contextualSpacing w:val="0"/>
      </w:pPr>
      <w:r>
        <w:t>The Australian Government should work collaboratively with the relevant departments and statutory bodies in the States/Territories to set evidence-based targets to increase women in leadership</w:t>
      </w:r>
    </w:p>
    <w:p w14:paraId="2C927EF7" w14:textId="77777777" w:rsidR="00850052" w:rsidRDefault="00850052" w:rsidP="004E6B5B">
      <w:pPr>
        <w:pStyle w:val="ListParagraph"/>
        <w:numPr>
          <w:ilvl w:val="1"/>
          <w:numId w:val="24"/>
        </w:numPr>
        <w:spacing w:before="120" w:after="120"/>
        <w:contextualSpacing w:val="0"/>
      </w:pPr>
      <w:r>
        <w:t xml:space="preserve">The Australian Government should commit to modelling flexible working arrangements at senior levels in all Commonwealth agencies, administrative offices, judicial offices, and all Commonwealth-funded entities </w:t>
      </w:r>
    </w:p>
    <w:p w14:paraId="38625F74" w14:textId="77777777" w:rsidR="00850052" w:rsidRDefault="00850052" w:rsidP="004E6B5B">
      <w:pPr>
        <w:pStyle w:val="ListParagraph"/>
        <w:numPr>
          <w:ilvl w:val="1"/>
          <w:numId w:val="24"/>
        </w:numPr>
        <w:spacing w:before="120" w:after="120"/>
        <w:contextualSpacing w:val="0"/>
      </w:pPr>
      <w:r>
        <w:t>The Australian Government should fund sponsorship programs across male-dominated industries and sectors to support emerging female and gender-diverse leaders</w:t>
      </w:r>
    </w:p>
    <w:p w14:paraId="011F7812" w14:textId="2F2BA4EA" w:rsidR="00DB0CEC" w:rsidRDefault="00850052" w:rsidP="004E6B5B">
      <w:pPr>
        <w:pStyle w:val="ListParagraph"/>
        <w:numPr>
          <w:ilvl w:val="1"/>
          <w:numId w:val="24"/>
        </w:numPr>
        <w:spacing w:before="120" w:after="120"/>
        <w:contextualSpacing w:val="0"/>
      </w:pPr>
      <w:r>
        <w:lastRenderedPageBreak/>
        <w:t>The Australian Government should ensure that all activities specified above (Recommendation 15(a)–(e)) are specifically informed by an intersectional gender lens to ensure increased representation of diverse women, including Aboriginal women, women with disabilities, LGBTQI+ women and women from culturally diverse backgrounds</w:t>
      </w:r>
    </w:p>
    <w:p w14:paraId="44C26BE4" w14:textId="77777777" w:rsidR="00967EBB" w:rsidRPr="002F034B" w:rsidRDefault="00967EBB" w:rsidP="005354FB">
      <w:pPr>
        <w:spacing w:before="120" w:after="120"/>
      </w:pPr>
    </w:p>
    <w:p w14:paraId="6AC90227" w14:textId="20F49E1C" w:rsidR="00BE2214" w:rsidRDefault="00BE2214" w:rsidP="005354FB">
      <w:pPr>
        <w:pStyle w:val="Body"/>
        <w:spacing w:before="120"/>
        <w:ind w:left="360"/>
      </w:pPr>
    </w:p>
    <w:p w14:paraId="532E243B" w14:textId="5BEFD561" w:rsidR="00BD0981" w:rsidRDefault="00BD0981" w:rsidP="607976D0">
      <w:pPr>
        <w:pStyle w:val="Body"/>
        <w:spacing w:before="240"/>
        <w:ind w:left="360"/>
      </w:pPr>
    </w:p>
    <w:p w14:paraId="27EB7E2A" w14:textId="77777777" w:rsidR="00F96192" w:rsidRDefault="00F96192" w:rsidP="607976D0">
      <w:pPr>
        <w:pStyle w:val="Body"/>
        <w:spacing w:before="240"/>
        <w:ind w:left="360"/>
      </w:pPr>
    </w:p>
    <w:p w14:paraId="7B839160" w14:textId="77777777" w:rsidR="00F96192" w:rsidRDefault="00F96192" w:rsidP="607976D0">
      <w:pPr>
        <w:pStyle w:val="Body"/>
        <w:spacing w:before="240"/>
        <w:ind w:left="360"/>
      </w:pPr>
    </w:p>
    <w:p w14:paraId="4F95E672" w14:textId="77777777" w:rsidR="00F96192" w:rsidRDefault="00F96192" w:rsidP="607976D0">
      <w:pPr>
        <w:pStyle w:val="Body"/>
        <w:spacing w:before="240"/>
        <w:ind w:left="360"/>
      </w:pPr>
    </w:p>
    <w:p w14:paraId="261B78D5" w14:textId="77777777" w:rsidR="00F96192" w:rsidRDefault="00F96192" w:rsidP="607976D0">
      <w:pPr>
        <w:pStyle w:val="Body"/>
        <w:spacing w:before="240"/>
        <w:ind w:left="360"/>
      </w:pPr>
    </w:p>
    <w:p w14:paraId="56A9AE17" w14:textId="77777777" w:rsidR="00F96192" w:rsidRDefault="00F96192" w:rsidP="607976D0">
      <w:pPr>
        <w:pStyle w:val="Body"/>
        <w:spacing w:before="240"/>
        <w:ind w:left="360"/>
      </w:pPr>
    </w:p>
    <w:p w14:paraId="7E7BC3E2" w14:textId="77777777" w:rsidR="00F96192" w:rsidRDefault="00F96192" w:rsidP="607976D0">
      <w:pPr>
        <w:pStyle w:val="Body"/>
        <w:spacing w:before="240"/>
        <w:ind w:left="360"/>
      </w:pPr>
    </w:p>
    <w:p w14:paraId="1B7B3FFB" w14:textId="77777777" w:rsidR="00F96192" w:rsidRDefault="00F96192" w:rsidP="607976D0">
      <w:pPr>
        <w:pStyle w:val="Body"/>
        <w:spacing w:before="240"/>
        <w:ind w:left="360"/>
      </w:pPr>
    </w:p>
    <w:p w14:paraId="09FE84C1" w14:textId="77777777" w:rsidR="00F96192" w:rsidRDefault="00F96192" w:rsidP="607976D0">
      <w:pPr>
        <w:pStyle w:val="Body"/>
        <w:spacing w:before="240"/>
        <w:ind w:left="360"/>
      </w:pPr>
    </w:p>
    <w:p w14:paraId="650E838A" w14:textId="77777777" w:rsidR="00F96192" w:rsidRDefault="00F96192" w:rsidP="607976D0">
      <w:pPr>
        <w:pStyle w:val="Body"/>
        <w:spacing w:before="240"/>
        <w:ind w:left="360"/>
      </w:pPr>
    </w:p>
    <w:p w14:paraId="40B35805" w14:textId="77777777" w:rsidR="00F96192" w:rsidRDefault="00F96192" w:rsidP="607976D0">
      <w:pPr>
        <w:pStyle w:val="Body"/>
        <w:spacing w:before="240"/>
        <w:ind w:left="360"/>
      </w:pPr>
    </w:p>
    <w:p w14:paraId="50C2A9A2" w14:textId="77777777" w:rsidR="00F96192" w:rsidRDefault="00F96192" w:rsidP="607976D0">
      <w:pPr>
        <w:pStyle w:val="Body"/>
        <w:spacing w:before="240"/>
        <w:ind w:left="360"/>
      </w:pPr>
    </w:p>
    <w:p w14:paraId="0EB7ED3D" w14:textId="5BEFD561" w:rsidR="005354FB" w:rsidRDefault="005354FB" w:rsidP="002D19B6">
      <w:pPr>
        <w:pStyle w:val="Body"/>
        <w:spacing w:before="120"/>
      </w:pPr>
    </w:p>
    <w:p w14:paraId="434E30EA" w14:textId="77777777" w:rsidR="004E6B5B" w:rsidRDefault="004E6B5B" w:rsidP="002D19B6">
      <w:pPr>
        <w:pStyle w:val="Body"/>
        <w:spacing w:before="120"/>
      </w:pPr>
    </w:p>
    <w:p w14:paraId="7B75595F" w14:textId="77777777" w:rsidR="004E6B5B" w:rsidRDefault="004E6B5B" w:rsidP="002D19B6">
      <w:pPr>
        <w:pStyle w:val="Body"/>
        <w:spacing w:before="120"/>
      </w:pPr>
    </w:p>
    <w:p w14:paraId="747731B6" w14:textId="77777777" w:rsidR="004E6B5B" w:rsidRDefault="004E6B5B" w:rsidP="002D19B6">
      <w:pPr>
        <w:pStyle w:val="Body"/>
        <w:spacing w:before="120"/>
      </w:pPr>
    </w:p>
    <w:p w14:paraId="6E99D3E2" w14:textId="77777777" w:rsidR="004E6B5B" w:rsidRDefault="004E6B5B" w:rsidP="002D19B6">
      <w:pPr>
        <w:pStyle w:val="Body"/>
        <w:spacing w:before="120"/>
      </w:pPr>
    </w:p>
    <w:p w14:paraId="407C22E1" w14:textId="77777777" w:rsidR="004E6B5B" w:rsidRDefault="004E6B5B" w:rsidP="002D19B6">
      <w:pPr>
        <w:pStyle w:val="Body"/>
        <w:spacing w:before="120"/>
      </w:pPr>
    </w:p>
    <w:p w14:paraId="0915FF16" w14:textId="77777777" w:rsidR="004E6B5B" w:rsidRDefault="004E6B5B" w:rsidP="002D19B6">
      <w:pPr>
        <w:pStyle w:val="Body"/>
        <w:spacing w:before="120"/>
      </w:pPr>
    </w:p>
    <w:p w14:paraId="1C16A925" w14:textId="22180F0A" w:rsidR="00A035D6" w:rsidRDefault="00766CB2" w:rsidP="005354FB">
      <w:pPr>
        <w:pStyle w:val="Heading1"/>
        <w:spacing w:before="120" w:after="120"/>
      </w:pPr>
      <w:r>
        <w:lastRenderedPageBreak/>
        <w:t xml:space="preserve">Appendix 2: Victoria’s </w:t>
      </w:r>
      <w:r w:rsidR="001E07B3">
        <w:t xml:space="preserve">Gender </w:t>
      </w:r>
      <w:r>
        <w:t xml:space="preserve">Pay Equity Principles </w:t>
      </w:r>
    </w:p>
    <w:p w14:paraId="652306B6" w14:textId="091F597A" w:rsidR="001E07B3" w:rsidRPr="001E07B3" w:rsidRDefault="001E07B3" w:rsidP="005354FB">
      <w:pPr>
        <w:spacing w:before="120" w:after="120"/>
      </w:pPr>
      <w:r>
        <w:br/>
      </w:r>
      <w:r w:rsidRPr="001E07B3">
        <w:t xml:space="preserve">Regulation 5A of the </w:t>
      </w:r>
      <w:r w:rsidRPr="001E07B3">
        <w:rPr>
          <w:i/>
          <w:iCs/>
        </w:rPr>
        <w:t>Gender Equality Regulations 2020</w:t>
      </w:r>
      <w:r w:rsidRPr="001E07B3">
        <w:t xml:space="preserve"> sets out the following gender pay equity principles, which defined entities must </w:t>
      </w:r>
      <w:bookmarkStart w:id="6" w:name="_Int_sWB2wpyN"/>
      <w:r w:rsidRPr="001E07B3">
        <w:t>take into account</w:t>
      </w:r>
      <w:bookmarkEnd w:id="6"/>
      <w:r w:rsidRPr="001E07B3">
        <w:t xml:space="preserve"> when preparing their Gender Equality Action Plans:</w:t>
      </w:r>
    </w:p>
    <w:p w14:paraId="0BC557DA" w14:textId="77777777" w:rsidR="001E07B3" w:rsidRPr="001E07B3" w:rsidRDefault="001E07B3" w:rsidP="005354FB">
      <w:pPr>
        <w:spacing w:before="120" w:after="120"/>
        <w:rPr>
          <w:b/>
          <w:bCs/>
        </w:rPr>
      </w:pPr>
      <w:r w:rsidRPr="001E07B3">
        <w:rPr>
          <w:b/>
          <w:bCs/>
        </w:rPr>
        <w:t>5A Gender pay equity principles</w:t>
      </w:r>
    </w:p>
    <w:p w14:paraId="2CC7F09B" w14:textId="77777777" w:rsidR="001E07B3" w:rsidRPr="001E07B3" w:rsidRDefault="001E07B3" w:rsidP="005354FB">
      <w:pPr>
        <w:numPr>
          <w:ilvl w:val="0"/>
          <w:numId w:val="18"/>
        </w:numPr>
        <w:spacing w:before="120" w:after="120"/>
      </w:pPr>
      <w:r w:rsidRPr="001E07B3">
        <w:t>For the purposes of section 10(1)(c) of the Act, a prescribed matter is how the defined entity has taken the following gender pay equity principles into account in preparing the Gender Equality Action Plan—</w:t>
      </w:r>
    </w:p>
    <w:p w14:paraId="0D663CCF" w14:textId="77777777" w:rsidR="001E07B3" w:rsidRPr="001E07B3" w:rsidRDefault="001E07B3" w:rsidP="005354FB">
      <w:pPr>
        <w:numPr>
          <w:ilvl w:val="0"/>
          <w:numId w:val="19"/>
        </w:numPr>
        <w:spacing w:before="120" w:after="120"/>
      </w:pPr>
      <w:r w:rsidRPr="001E07B3">
        <w:t xml:space="preserve">equal pay for work of equal or comparable value, which refers to work valued as equal or comparable in terms of skill, effort, responsibility and working conditions, including </w:t>
      </w:r>
      <w:bookmarkStart w:id="7" w:name="_Int_X4KTZybj"/>
      <w:r w:rsidRPr="001E07B3">
        <w:t>different types</w:t>
      </w:r>
      <w:bookmarkEnd w:id="7"/>
      <w:r w:rsidRPr="001E07B3">
        <w:t xml:space="preserve"> of work;</w:t>
      </w:r>
    </w:p>
    <w:p w14:paraId="26378427" w14:textId="77777777" w:rsidR="001E07B3" w:rsidRPr="001E07B3" w:rsidRDefault="001E07B3" w:rsidP="005354FB">
      <w:pPr>
        <w:numPr>
          <w:ilvl w:val="0"/>
          <w:numId w:val="19"/>
        </w:numPr>
        <w:spacing w:before="120" w:after="120"/>
      </w:pPr>
      <w:r w:rsidRPr="001E07B3">
        <w:t>employment and pay practices are free from bias and discrimination, including the effects of unconscious bias and assumptions based on gender;</w:t>
      </w:r>
    </w:p>
    <w:p w14:paraId="3AD5936D" w14:textId="77777777" w:rsidR="001E07B3" w:rsidRPr="001E07B3" w:rsidRDefault="001E07B3" w:rsidP="005354FB">
      <w:pPr>
        <w:numPr>
          <w:ilvl w:val="0"/>
          <w:numId w:val="19"/>
        </w:numPr>
        <w:spacing w:before="120" w:after="120"/>
      </w:pPr>
      <w:r w:rsidRPr="001E07B3">
        <w:t>employment and pay practices, pay rates and systems are transparent and information about these matters is readily accessible and understandable;</w:t>
      </w:r>
    </w:p>
    <w:p w14:paraId="2E858C79" w14:textId="77777777" w:rsidR="001E07B3" w:rsidRPr="001E07B3" w:rsidRDefault="001E07B3" w:rsidP="005354FB">
      <w:pPr>
        <w:numPr>
          <w:ilvl w:val="0"/>
          <w:numId w:val="19"/>
        </w:numPr>
        <w:spacing w:before="120" w:after="120"/>
      </w:pPr>
      <w:r w:rsidRPr="001E07B3">
        <w:t>employment and pay practices recognise and account for different patterns of labour force participation by employees who undertake unpaid or caring work;</w:t>
      </w:r>
    </w:p>
    <w:p w14:paraId="546AC98F" w14:textId="77777777" w:rsidR="001E07B3" w:rsidRPr="001E07B3" w:rsidRDefault="001E07B3" w:rsidP="005354FB">
      <w:pPr>
        <w:numPr>
          <w:ilvl w:val="0"/>
          <w:numId w:val="19"/>
        </w:numPr>
        <w:spacing w:before="120" w:after="120"/>
      </w:pPr>
      <w:r w:rsidRPr="001E07B3">
        <w:t>interventions and solutions are collectively developed and agreed to, sustainable and enduring;</w:t>
      </w:r>
    </w:p>
    <w:p w14:paraId="1FC3575B" w14:textId="77777777" w:rsidR="001E07B3" w:rsidRPr="001E07B3" w:rsidRDefault="001E07B3" w:rsidP="005354FB">
      <w:pPr>
        <w:numPr>
          <w:ilvl w:val="0"/>
          <w:numId w:val="19"/>
        </w:numPr>
        <w:spacing w:before="120" w:after="120"/>
      </w:pPr>
      <w:r w:rsidRPr="001E07B3">
        <w:t xml:space="preserve">employees, </w:t>
      </w:r>
      <w:bookmarkStart w:id="8" w:name="_Int_tU3VOjSF"/>
      <w:r w:rsidRPr="001E07B3">
        <w:t>unions</w:t>
      </w:r>
      <w:bookmarkEnd w:id="8"/>
      <w:r w:rsidRPr="001E07B3">
        <w:t xml:space="preserve"> and employers work collaboratively to achieve mutually agreed outcomes.</w:t>
      </w:r>
    </w:p>
    <w:p w14:paraId="23FB00D2" w14:textId="77777777" w:rsidR="001E07B3" w:rsidRPr="001E07B3" w:rsidRDefault="001E07B3" w:rsidP="005354FB">
      <w:pPr>
        <w:numPr>
          <w:ilvl w:val="0"/>
          <w:numId w:val="18"/>
        </w:numPr>
        <w:spacing w:before="120" w:after="120"/>
      </w:pPr>
      <w:r w:rsidRPr="001E07B3">
        <w:t xml:space="preserve">In </w:t>
      </w:r>
      <w:proofErr w:type="spellStart"/>
      <w:r w:rsidRPr="001E07B3">
        <w:t>subregulation</w:t>
      </w:r>
      <w:proofErr w:type="spellEnd"/>
      <w:r w:rsidRPr="001E07B3">
        <w:t xml:space="preserve"> (1)(a), </w:t>
      </w:r>
      <w:r w:rsidRPr="001E07B3">
        <w:rPr>
          <w:b/>
          <w:bCs/>
          <w:i/>
          <w:iCs/>
        </w:rPr>
        <w:t>pay</w:t>
      </w:r>
      <w:r w:rsidRPr="001E07B3">
        <w:t xml:space="preserve"> means remuneration and includes but is not limited to salary, bonuses, overtime payments, </w:t>
      </w:r>
      <w:bookmarkStart w:id="9" w:name="_Int_pG5gbNyN"/>
      <w:r w:rsidRPr="001E07B3">
        <w:t>allowances</w:t>
      </w:r>
      <w:bookmarkEnd w:id="9"/>
      <w:r w:rsidRPr="001E07B3">
        <w:t xml:space="preserve"> and superannuation.</w:t>
      </w:r>
    </w:p>
    <w:p w14:paraId="04BDC7B8" w14:textId="77777777" w:rsidR="001E07B3" w:rsidRPr="002210A7" w:rsidRDefault="001E07B3" w:rsidP="005354FB">
      <w:pPr>
        <w:spacing w:before="120" w:after="120"/>
      </w:pPr>
    </w:p>
    <w:sectPr w:rsidR="001E07B3" w:rsidRPr="002210A7" w:rsidSect="00C359BF">
      <w:headerReference w:type="default" r:id="rId23"/>
      <w:footerReference w:type="default" r:id="rId24"/>
      <w:pgSz w:w="11906" w:h="16838"/>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A6EE" w14:textId="77777777" w:rsidR="0029463B" w:rsidRDefault="0029463B" w:rsidP="003C3DA1">
      <w:pPr>
        <w:spacing w:after="0" w:line="240" w:lineRule="auto"/>
      </w:pPr>
      <w:r>
        <w:separator/>
      </w:r>
    </w:p>
  </w:endnote>
  <w:endnote w:type="continuationSeparator" w:id="0">
    <w:p w14:paraId="6E8A689A" w14:textId="77777777" w:rsidR="0029463B" w:rsidRDefault="0029463B" w:rsidP="003C3DA1">
      <w:pPr>
        <w:spacing w:after="0" w:line="240" w:lineRule="auto"/>
      </w:pPr>
      <w:r>
        <w:continuationSeparator/>
      </w:r>
    </w:p>
  </w:endnote>
  <w:endnote w:type="continuationNotice" w:id="1">
    <w:p w14:paraId="5F7D5EE2" w14:textId="77777777" w:rsidR="0029463B" w:rsidRDefault="00294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41C1" w14:textId="4D7F0DE7" w:rsidR="004316A9" w:rsidRPr="00A964EC" w:rsidRDefault="002E360A" w:rsidP="006F0D99">
    <w:pPr>
      <w:pStyle w:val="Footer"/>
      <w:rPr>
        <w:rFonts w:ascii="VIC Medium" w:hAnsi="VIC Medium"/>
      </w:rPr>
    </w:pPr>
    <w:r>
      <w:rPr>
        <w:rFonts w:ascii="VIC Medium" w:hAnsi="VIC Medium"/>
        <w:noProof/>
      </w:rPr>
      <mc:AlternateContent>
        <mc:Choice Requires="wps">
          <w:drawing>
            <wp:anchor distT="0" distB="0" distL="114300" distR="114300" simplePos="0" relativeHeight="251658241" behindDoc="0" locked="0" layoutInCell="0" allowOverlap="1" wp14:anchorId="08BE3749" wp14:editId="048B1772">
              <wp:simplePos x="0" y="0"/>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1C001" w14:textId="58C37BEC" w:rsidR="002E360A" w:rsidRPr="002E360A" w:rsidRDefault="002E360A" w:rsidP="002E360A">
                          <w:pPr>
                            <w:spacing w:after="0"/>
                            <w:jc w:val="center"/>
                            <w:rPr>
                              <w:rFonts w:ascii="Arial Black" w:hAnsi="Arial Black"/>
                              <w:color w:val="000000"/>
                              <w:sz w:val="20"/>
                            </w:rPr>
                          </w:pPr>
                          <w:r w:rsidRPr="002E360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BE3749" id="_x0000_t202" coordsize="21600,21600" o:spt="202" path="m,l,21600r21600,l21600,xe">
              <v:stroke joinstyle="miter"/>
              <v:path gradientshapeok="t" o:connecttype="rect"/>
            </v:shapetype>
            <v:shape id="Text Box 6"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771C001" w14:textId="58C37BEC" w:rsidR="002E360A" w:rsidRPr="002E360A" w:rsidRDefault="002E360A" w:rsidP="002E360A">
                    <w:pPr>
                      <w:spacing w:after="0"/>
                      <w:jc w:val="center"/>
                      <w:rPr>
                        <w:rFonts w:ascii="Arial Black" w:hAnsi="Arial Black"/>
                        <w:color w:val="000000"/>
                        <w:sz w:val="20"/>
                      </w:rPr>
                    </w:pPr>
                    <w:r w:rsidRPr="002E360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8E67" w14:textId="77777777" w:rsidR="0029463B" w:rsidRDefault="0029463B" w:rsidP="003C3DA1">
      <w:pPr>
        <w:spacing w:after="0" w:line="240" w:lineRule="auto"/>
      </w:pPr>
      <w:r>
        <w:separator/>
      </w:r>
    </w:p>
  </w:footnote>
  <w:footnote w:type="continuationSeparator" w:id="0">
    <w:p w14:paraId="2849CE52" w14:textId="77777777" w:rsidR="0029463B" w:rsidRDefault="0029463B" w:rsidP="003C3DA1">
      <w:pPr>
        <w:spacing w:after="0" w:line="240" w:lineRule="auto"/>
      </w:pPr>
      <w:r>
        <w:continuationSeparator/>
      </w:r>
    </w:p>
  </w:footnote>
  <w:footnote w:type="continuationNotice" w:id="1">
    <w:p w14:paraId="7D0623BD" w14:textId="77777777" w:rsidR="0029463B" w:rsidRDefault="0029463B">
      <w:pPr>
        <w:spacing w:after="0" w:line="240" w:lineRule="auto"/>
      </w:pPr>
    </w:p>
  </w:footnote>
  <w:footnote w:id="2">
    <w:p w14:paraId="78B0DE6F" w14:textId="10D5FE9E" w:rsidR="00AC474E" w:rsidRPr="00541E27" w:rsidRDefault="00AC474E">
      <w:pPr>
        <w:pStyle w:val="FootnoteText"/>
        <w:rPr>
          <w:sz w:val="18"/>
          <w:szCs w:val="18"/>
        </w:rPr>
      </w:pPr>
      <w:r w:rsidRPr="00541E27">
        <w:rPr>
          <w:rStyle w:val="FootnoteReference"/>
          <w:sz w:val="18"/>
          <w:szCs w:val="18"/>
        </w:rPr>
        <w:footnoteRef/>
      </w:r>
      <w:r w:rsidRPr="00541E27">
        <w:rPr>
          <w:sz w:val="18"/>
          <w:szCs w:val="18"/>
        </w:rPr>
        <w:t xml:space="preserve"> This includes the introduction of a suite of gender equality amendments into various pieces of legislation through the </w:t>
      </w:r>
      <w:hyperlink r:id="rId1" w:history="1">
        <w:r w:rsidRPr="00541E27">
          <w:rPr>
            <w:rStyle w:val="Hyperlink"/>
            <w:i/>
            <w:iCs/>
            <w:sz w:val="18"/>
            <w:szCs w:val="18"/>
          </w:rPr>
          <w:t>Anti-Discrimination and Human Rights Legislation Amendment (Respect@Work) Act 2022</w:t>
        </w:r>
        <w:r w:rsidRPr="00541E27">
          <w:rPr>
            <w:rStyle w:val="Hyperlink"/>
            <w:sz w:val="18"/>
            <w:szCs w:val="18"/>
          </w:rPr>
          <w:t xml:space="preserve"> (Cth)</w:t>
        </w:r>
      </w:hyperlink>
      <w:r w:rsidRPr="00541E27">
        <w:rPr>
          <w:rStyle w:val="Hyperlink"/>
          <w:sz w:val="18"/>
          <w:szCs w:val="18"/>
        </w:rPr>
        <w:t xml:space="preserve"> (</w:t>
      </w:r>
      <w:r w:rsidRPr="00541E27">
        <w:rPr>
          <w:sz w:val="18"/>
          <w:szCs w:val="18"/>
        </w:rPr>
        <w:t>Respect@Work Act) in 2022</w:t>
      </w:r>
    </w:p>
  </w:footnote>
  <w:footnote w:id="3">
    <w:p w14:paraId="590CDC3F" w14:textId="4A4F16D4" w:rsidR="001D0451" w:rsidRPr="00541E27" w:rsidRDefault="001D0451">
      <w:pPr>
        <w:pStyle w:val="FootnoteText"/>
        <w:rPr>
          <w:sz w:val="18"/>
          <w:szCs w:val="18"/>
        </w:rPr>
      </w:pPr>
      <w:r w:rsidRPr="00541E27">
        <w:rPr>
          <w:rStyle w:val="FootnoteReference"/>
          <w:sz w:val="18"/>
          <w:szCs w:val="18"/>
        </w:rPr>
        <w:footnoteRef/>
      </w:r>
      <w:r w:rsidRPr="00541E27">
        <w:rPr>
          <w:sz w:val="18"/>
          <w:szCs w:val="18"/>
        </w:rPr>
        <w:t xml:space="preserve"> </w:t>
      </w:r>
      <w:r w:rsidR="00EA65C0" w:rsidRPr="00541E27">
        <w:rPr>
          <w:sz w:val="18"/>
          <w:szCs w:val="18"/>
        </w:rPr>
        <w:t xml:space="preserve">See, for example, World Economic Forum, </w:t>
      </w:r>
      <w:hyperlink r:id="rId2" w:history="1">
        <w:r w:rsidR="00EA65C0" w:rsidRPr="00541E27">
          <w:rPr>
            <w:rStyle w:val="Hyperlink"/>
            <w:sz w:val="18"/>
            <w:szCs w:val="18"/>
          </w:rPr>
          <w:t>Globa</w:t>
        </w:r>
        <w:r w:rsidR="00CF4E8C" w:rsidRPr="00541E27">
          <w:rPr>
            <w:rStyle w:val="Hyperlink"/>
            <w:sz w:val="18"/>
            <w:szCs w:val="18"/>
          </w:rPr>
          <w:t>l Gender Gap Report 2022: Insight Report</w:t>
        </w:r>
      </w:hyperlink>
      <w:r w:rsidR="00CF4E8C" w:rsidRPr="00541E27">
        <w:rPr>
          <w:sz w:val="18"/>
          <w:szCs w:val="18"/>
        </w:rPr>
        <w:t xml:space="preserve"> (July 2022), </w:t>
      </w:r>
      <w:r w:rsidR="007F4C3A" w:rsidRPr="00541E27">
        <w:rPr>
          <w:sz w:val="18"/>
          <w:szCs w:val="18"/>
        </w:rPr>
        <w:t>accessed on 29 March 20223</w:t>
      </w:r>
    </w:p>
  </w:footnote>
  <w:footnote w:id="4">
    <w:p w14:paraId="5F8A7463" w14:textId="77777777" w:rsidR="0045221F" w:rsidRPr="00541E27" w:rsidRDefault="0045221F" w:rsidP="0045221F">
      <w:pPr>
        <w:pStyle w:val="FootnoteText"/>
        <w:rPr>
          <w:sz w:val="18"/>
          <w:szCs w:val="18"/>
        </w:rPr>
      </w:pPr>
      <w:r w:rsidRPr="00541E27">
        <w:rPr>
          <w:rStyle w:val="FootnoteReference"/>
          <w:sz w:val="18"/>
          <w:szCs w:val="18"/>
        </w:rPr>
        <w:footnoteRef/>
      </w:r>
      <w:r w:rsidRPr="00541E27">
        <w:rPr>
          <w:sz w:val="18"/>
          <w:szCs w:val="18"/>
        </w:rPr>
        <w:t xml:space="preserve"> This includes the </w:t>
      </w:r>
      <w:hyperlink r:id="rId3" w:history="1">
        <w:r w:rsidRPr="00541E27">
          <w:rPr>
            <w:rStyle w:val="Hyperlink"/>
            <w:i/>
            <w:iCs/>
            <w:sz w:val="18"/>
            <w:szCs w:val="18"/>
          </w:rPr>
          <w:t>Sex Discrimination Act 1984</w:t>
        </w:r>
        <w:r w:rsidRPr="00541E27">
          <w:rPr>
            <w:rStyle w:val="Hyperlink"/>
            <w:sz w:val="18"/>
            <w:szCs w:val="18"/>
          </w:rPr>
          <w:t xml:space="preserve"> (</w:t>
        </w:r>
        <w:r w:rsidRPr="00541E27">
          <w:rPr>
            <w:rStyle w:val="Hyperlink"/>
            <w:sz w:val="18"/>
            <w:szCs w:val="18"/>
          </w:rPr>
          <w:t>Cth)</w:t>
        </w:r>
      </w:hyperlink>
      <w:r w:rsidRPr="00541E27">
        <w:rPr>
          <w:sz w:val="18"/>
          <w:szCs w:val="18"/>
        </w:rPr>
        <w:t xml:space="preserve"> (SD Act), </w:t>
      </w:r>
      <w:hyperlink r:id="rId4" w:history="1">
        <w:r w:rsidRPr="00541E27">
          <w:rPr>
            <w:rStyle w:val="Hyperlink"/>
            <w:i/>
            <w:iCs/>
            <w:sz w:val="18"/>
            <w:szCs w:val="18"/>
          </w:rPr>
          <w:t>Workplace Gender Equality Act 2012</w:t>
        </w:r>
        <w:r w:rsidRPr="00541E27">
          <w:rPr>
            <w:rStyle w:val="Hyperlink"/>
            <w:sz w:val="18"/>
            <w:szCs w:val="18"/>
          </w:rPr>
          <w:t xml:space="preserve"> (Cth)</w:t>
        </w:r>
      </w:hyperlink>
      <w:r w:rsidRPr="00541E27">
        <w:rPr>
          <w:sz w:val="18"/>
          <w:szCs w:val="18"/>
        </w:rPr>
        <w:t xml:space="preserve"> (WGE Act), and </w:t>
      </w:r>
      <w:r w:rsidRPr="00541E27">
        <w:rPr>
          <w:i/>
          <w:iCs/>
          <w:sz w:val="18"/>
          <w:szCs w:val="18"/>
        </w:rPr>
        <w:t>Fair Work Act 2009</w:t>
      </w:r>
      <w:r w:rsidRPr="00541E27">
        <w:rPr>
          <w:sz w:val="18"/>
          <w:szCs w:val="18"/>
        </w:rPr>
        <w:t xml:space="preserve"> (Cth) (FW Act)</w:t>
      </w:r>
    </w:p>
  </w:footnote>
  <w:footnote w:id="5">
    <w:p w14:paraId="45C875B7" w14:textId="44BF682F" w:rsidR="00AE7B4A" w:rsidRPr="00541E27" w:rsidRDefault="00AE7B4A">
      <w:pPr>
        <w:pStyle w:val="FootnoteText"/>
        <w:rPr>
          <w:sz w:val="18"/>
          <w:szCs w:val="18"/>
        </w:rPr>
      </w:pPr>
      <w:r w:rsidRPr="00541E27">
        <w:rPr>
          <w:rStyle w:val="FootnoteReference"/>
          <w:sz w:val="18"/>
          <w:szCs w:val="18"/>
        </w:rPr>
        <w:footnoteRef/>
      </w:r>
      <w:r w:rsidRPr="00541E27">
        <w:rPr>
          <w:sz w:val="18"/>
          <w:szCs w:val="18"/>
        </w:rPr>
        <w:t xml:space="preserve"> </w:t>
      </w:r>
      <w:r w:rsidR="001B4B4A" w:rsidRPr="00541E27">
        <w:rPr>
          <w:i/>
          <w:iCs/>
          <w:sz w:val="18"/>
          <w:szCs w:val="18"/>
        </w:rPr>
        <w:t>Act on the Equal Status and Equal Rights Irrespective of Gender</w:t>
      </w:r>
      <w:r w:rsidR="001B4B4A" w:rsidRPr="00541E27">
        <w:rPr>
          <w:sz w:val="18"/>
          <w:szCs w:val="18"/>
        </w:rPr>
        <w:t xml:space="preserve"> </w:t>
      </w:r>
      <w:r w:rsidR="009B0E33" w:rsidRPr="00541E27">
        <w:rPr>
          <w:sz w:val="18"/>
          <w:szCs w:val="18"/>
        </w:rPr>
        <w:t>(</w:t>
      </w:r>
      <w:r w:rsidR="00A55E51" w:rsidRPr="00541E27">
        <w:rPr>
          <w:sz w:val="18"/>
          <w:szCs w:val="18"/>
        </w:rPr>
        <w:t>No. 10/2008</w:t>
      </w:r>
      <w:r w:rsidR="009B0E33" w:rsidRPr="00541E27">
        <w:rPr>
          <w:sz w:val="18"/>
          <w:szCs w:val="18"/>
        </w:rPr>
        <w:t>)</w:t>
      </w:r>
      <w:r w:rsidR="00A55E51" w:rsidRPr="00541E27">
        <w:rPr>
          <w:sz w:val="18"/>
          <w:szCs w:val="18"/>
        </w:rPr>
        <w:t>, accessed</w:t>
      </w:r>
      <w:r w:rsidR="002D500B" w:rsidRPr="00541E27">
        <w:rPr>
          <w:sz w:val="18"/>
          <w:szCs w:val="18"/>
        </w:rPr>
        <w:t xml:space="preserve"> on 29 March 2023</w:t>
      </w:r>
      <w:r w:rsidR="007F4C3A" w:rsidRPr="00541E27">
        <w:rPr>
          <w:sz w:val="18"/>
          <w:szCs w:val="18"/>
        </w:rPr>
        <w:t xml:space="preserve">, accessed at: </w:t>
      </w:r>
      <w:hyperlink r:id="rId5" w:history="1">
        <w:r w:rsidR="007F4C3A" w:rsidRPr="00541E27">
          <w:rPr>
            <w:rStyle w:val="Hyperlink"/>
            <w:sz w:val="18"/>
            <w:szCs w:val="18"/>
          </w:rPr>
          <w:t>https://www.government.is/publications/legislation/lex/2021/04/16/Act-on-Equal-Status-and-Equal-Rights-Irrespective-of-Gender/</w:t>
        </w:r>
      </w:hyperlink>
    </w:p>
  </w:footnote>
  <w:footnote w:id="6">
    <w:p w14:paraId="144FA699" w14:textId="7F16836B" w:rsidR="00E7037C" w:rsidRDefault="00E7037C">
      <w:pPr>
        <w:pStyle w:val="FootnoteText"/>
      </w:pPr>
      <w:r w:rsidRPr="00541E27">
        <w:rPr>
          <w:rStyle w:val="FootnoteReference"/>
          <w:sz w:val="18"/>
          <w:szCs w:val="18"/>
        </w:rPr>
        <w:footnoteRef/>
      </w:r>
      <w:r w:rsidRPr="00541E27">
        <w:rPr>
          <w:sz w:val="18"/>
          <w:szCs w:val="18"/>
        </w:rPr>
        <w:t xml:space="preserve"> </w:t>
      </w:r>
      <w:r w:rsidR="00AD55A8" w:rsidRPr="00541E27">
        <w:rPr>
          <w:sz w:val="18"/>
          <w:szCs w:val="18"/>
        </w:rPr>
        <w:t>Art</w:t>
      </w:r>
      <w:r w:rsidR="00F33CEC" w:rsidRPr="00541E27">
        <w:rPr>
          <w:sz w:val="18"/>
          <w:szCs w:val="18"/>
        </w:rPr>
        <w:t>s</w:t>
      </w:r>
      <w:r w:rsidR="007013F7" w:rsidRPr="00541E27">
        <w:rPr>
          <w:sz w:val="18"/>
          <w:szCs w:val="18"/>
        </w:rPr>
        <w:t>.</w:t>
      </w:r>
      <w:r w:rsidR="009F6D15" w:rsidRPr="00541E27">
        <w:rPr>
          <w:sz w:val="18"/>
          <w:szCs w:val="18"/>
        </w:rPr>
        <w:t xml:space="preserve"> </w:t>
      </w:r>
      <w:r w:rsidR="00F33CEC" w:rsidRPr="00541E27">
        <w:rPr>
          <w:sz w:val="18"/>
          <w:szCs w:val="18"/>
        </w:rPr>
        <w:t>24-</w:t>
      </w:r>
      <w:r w:rsidR="00AD55A8" w:rsidRPr="00541E27">
        <w:rPr>
          <w:sz w:val="18"/>
          <w:szCs w:val="18"/>
        </w:rPr>
        <w:t>25</w:t>
      </w:r>
      <w:r w:rsidR="00F019CA" w:rsidRPr="00541E27">
        <w:rPr>
          <w:sz w:val="18"/>
          <w:szCs w:val="18"/>
        </w:rPr>
        <w:t>, Iceland Act</w:t>
      </w:r>
    </w:p>
  </w:footnote>
  <w:footnote w:id="7">
    <w:p w14:paraId="2C6B70CB" w14:textId="7774AE3A" w:rsidR="00580746" w:rsidRPr="00541E27" w:rsidRDefault="00580746" w:rsidP="00580746">
      <w:pPr>
        <w:pStyle w:val="FootnoteText"/>
        <w:rPr>
          <w:sz w:val="18"/>
          <w:szCs w:val="18"/>
        </w:rPr>
      </w:pPr>
      <w:r w:rsidRPr="00541E27">
        <w:rPr>
          <w:rStyle w:val="FootnoteReference"/>
          <w:sz w:val="18"/>
          <w:szCs w:val="18"/>
        </w:rPr>
        <w:footnoteRef/>
      </w:r>
      <w:r w:rsidRPr="00541E27">
        <w:rPr>
          <w:sz w:val="18"/>
          <w:szCs w:val="18"/>
        </w:rPr>
        <w:t xml:space="preserve"> Art</w:t>
      </w:r>
      <w:r w:rsidR="007013F7" w:rsidRPr="00541E27">
        <w:rPr>
          <w:sz w:val="18"/>
          <w:szCs w:val="18"/>
        </w:rPr>
        <w:t>.</w:t>
      </w:r>
      <w:r w:rsidRPr="00541E27">
        <w:rPr>
          <w:sz w:val="18"/>
          <w:szCs w:val="18"/>
        </w:rPr>
        <w:t xml:space="preserve"> 26, Iceland Act</w:t>
      </w:r>
    </w:p>
  </w:footnote>
  <w:footnote w:id="8">
    <w:p w14:paraId="736536C2" w14:textId="03FA067C" w:rsidR="00100C78" w:rsidRPr="00541E27" w:rsidRDefault="00100C78">
      <w:pPr>
        <w:pStyle w:val="FootnoteText"/>
        <w:rPr>
          <w:sz w:val="18"/>
          <w:szCs w:val="18"/>
        </w:rPr>
      </w:pPr>
      <w:r w:rsidRPr="00541E27">
        <w:rPr>
          <w:rStyle w:val="FootnoteReference"/>
          <w:sz w:val="18"/>
          <w:szCs w:val="18"/>
        </w:rPr>
        <w:footnoteRef/>
      </w:r>
      <w:r w:rsidRPr="00541E27">
        <w:rPr>
          <w:sz w:val="18"/>
          <w:szCs w:val="18"/>
        </w:rPr>
        <w:t xml:space="preserve"> </w:t>
      </w:r>
      <w:r w:rsidR="00C65516" w:rsidRPr="00541E27">
        <w:rPr>
          <w:sz w:val="18"/>
          <w:szCs w:val="18"/>
        </w:rPr>
        <w:t>Art</w:t>
      </w:r>
      <w:r w:rsidR="007013F7" w:rsidRPr="00541E27">
        <w:rPr>
          <w:sz w:val="18"/>
          <w:szCs w:val="18"/>
        </w:rPr>
        <w:t>.</w:t>
      </w:r>
      <w:r w:rsidR="00C65516" w:rsidRPr="00541E27">
        <w:rPr>
          <w:sz w:val="18"/>
          <w:szCs w:val="18"/>
        </w:rPr>
        <w:t xml:space="preserve"> 22, Iceland Act</w:t>
      </w:r>
    </w:p>
  </w:footnote>
  <w:footnote w:id="9">
    <w:p w14:paraId="33DB4060" w14:textId="6618AD36" w:rsidR="000D39B1" w:rsidRDefault="000D39B1">
      <w:pPr>
        <w:pStyle w:val="FootnoteText"/>
      </w:pPr>
      <w:r w:rsidRPr="00541E27">
        <w:rPr>
          <w:rStyle w:val="FootnoteReference"/>
          <w:sz w:val="18"/>
          <w:szCs w:val="18"/>
        </w:rPr>
        <w:footnoteRef/>
      </w:r>
      <w:r w:rsidRPr="00541E27">
        <w:rPr>
          <w:sz w:val="18"/>
          <w:szCs w:val="18"/>
        </w:rPr>
        <w:t xml:space="preserve"> Iceland has ranked number one on the World Economic Forum’s Global Gender Gap Index for twelve consecutive years: </w:t>
      </w:r>
      <w:r w:rsidR="006D42FB" w:rsidRPr="00541E27">
        <w:rPr>
          <w:sz w:val="18"/>
          <w:szCs w:val="18"/>
        </w:rPr>
        <w:t xml:space="preserve">Government of Iceland, </w:t>
      </w:r>
      <w:hyperlink r:id="rId6" w:history="1">
        <w:r w:rsidR="00FA52DC" w:rsidRPr="00541E27">
          <w:rPr>
            <w:rStyle w:val="Hyperlink"/>
            <w:sz w:val="18"/>
            <w:szCs w:val="18"/>
          </w:rPr>
          <w:t>Prime Minister’s Office webpage: Equality</w:t>
        </w:r>
      </w:hyperlink>
      <w:r w:rsidR="00FA52DC" w:rsidRPr="00541E27">
        <w:rPr>
          <w:sz w:val="18"/>
          <w:szCs w:val="18"/>
        </w:rPr>
        <w:t xml:space="preserve">, </w:t>
      </w:r>
      <w:r w:rsidR="00981BCA" w:rsidRPr="00541E27">
        <w:rPr>
          <w:sz w:val="18"/>
          <w:szCs w:val="18"/>
        </w:rPr>
        <w:t>accessed 29 March 2023</w:t>
      </w:r>
    </w:p>
  </w:footnote>
  <w:footnote w:id="10">
    <w:p w14:paraId="5B95B121" w14:textId="0FE10BD4" w:rsidR="008F6A62" w:rsidRPr="00614D84" w:rsidRDefault="008F6A62" w:rsidP="00545530">
      <w:pPr>
        <w:pStyle w:val="FootnoteText"/>
        <w:rPr>
          <w:sz w:val="18"/>
          <w:szCs w:val="18"/>
        </w:rPr>
      </w:pPr>
      <w:r w:rsidRPr="00614D84">
        <w:rPr>
          <w:rStyle w:val="FootnoteReference"/>
          <w:sz w:val="18"/>
          <w:szCs w:val="18"/>
        </w:rPr>
        <w:footnoteRef/>
      </w:r>
      <w:r w:rsidRPr="00614D84">
        <w:rPr>
          <w:sz w:val="18"/>
          <w:szCs w:val="18"/>
        </w:rPr>
        <w:t xml:space="preserve"> </w:t>
      </w:r>
      <w:r w:rsidR="00C36296" w:rsidRPr="00614D84">
        <w:rPr>
          <w:sz w:val="18"/>
          <w:szCs w:val="18"/>
        </w:rPr>
        <w:t xml:space="preserve">Department of Families, Fairness and Housing, </w:t>
      </w:r>
      <w:hyperlink r:id="rId7" w:history="1">
        <w:r w:rsidR="00C36296" w:rsidRPr="00614D84">
          <w:rPr>
            <w:rStyle w:val="Hyperlink"/>
            <w:sz w:val="18"/>
            <w:szCs w:val="18"/>
          </w:rPr>
          <w:t>Inquiry into economic equity for Victorian women, Final Report</w:t>
        </w:r>
      </w:hyperlink>
      <w:r w:rsidR="00C36296" w:rsidRPr="00614D84">
        <w:rPr>
          <w:rStyle w:val="Hyperlink"/>
          <w:sz w:val="18"/>
          <w:szCs w:val="18"/>
        </w:rPr>
        <w:t>,</w:t>
      </w:r>
      <w:r w:rsidR="00C36296" w:rsidRPr="00614D84">
        <w:rPr>
          <w:sz w:val="18"/>
          <w:szCs w:val="18"/>
        </w:rPr>
        <w:t xml:space="preserve"> State Government of Victoria, January 2022, accessed 3 April 2023; Goldman Sachs, </w:t>
      </w:r>
      <w:hyperlink r:id="rId8" w:history="1">
        <w:r w:rsidR="00C36296" w:rsidRPr="00614D84">
          <w:rPr>
            <w:rStyle w:val="Hyperlink"/>
            <w:sz w:val="18"/>
            <w:szCs w:val="18"/>
          </w:rPr>
          <w:t>Australia’s Hidden Resource: The Economic Case for Increasing Female Participation</w:t>
        </w:r>
      </w:hyperlink>
      <w:r w:rsidR="00C36296" w:rsidRPr="00614D84">
        <w:rPr>
          <w:sz w:val="18"/>
          <w:szCs w:val="18"/>
        </w:rPr>
        <w:t>, ASX website, 2009, accessed 3 April 2023</w:t>
      </w:r>
    </w:p>
  </w:footnote>
  <w:footnote w:id="11">
    <w:p w14:paraId="3F78F618" w14:textId="03F996C2" w:rsidR="00F00B86" w:rsidRPr="00614D84" w:rsidRDefault="00F00B86" w:rsidP="00F00B86">
      <w:pPr>
        <w:pStyle w:val="FootnoteText"/>
        <w:rPr>
          <w:sz w:val="18"/>
          <w:szCs w:val="18"/>
        </w:rPr>
      </w:pPr>
      <w:r w:rsidRPr="00614D84">
        <w:rPr>
          <w:rStyle w:val="FootnoteReference"/>
          <w:sz w:val="18"/>
          <w:szCs w:val="18"/>
        </w:rPr>
        <w:footnoteRef/>
      </w:r>
      <w:r w:rsidRPr="00614D84">
        <w:rPr>
          <w:sz w:val="18"/>
          <w:szCs w:val="18"/>
        </w:rPr>
        <w:t xml:space="preserve"> </w:t>
      </w:r>
      <w:r w:rsidR="006032D0" w:rsidRPr="00614D84">
        <w:rPr>
          <w:sz w:val="18"/>
          <w:szCs w:val="18"/>
        </w:rPr>
        <w:t>A joint State/Territory Government Initiative</w:t>
      </w:r>
      <w:hyperlink r:id="rId9" w:history="1">
        <w:r w:rsidR="006032D0" w:rsidRPr="00614D84">
          <w:rPr>
            <w:rStyle w:val="Hyperlink"/>
            <w:sz w:val="18"/>
            <w:szCs w:val="18"/>
          </w:rPr>
          <w:t>, National Plan to End Violence against Women and Children 2022-2032</w:t>
        </w:r>
      </w:hyperlink>
      <w:r w:rsidR="006032D0" w:rsidRPr="00614D84">
        <w:rPr>
          <w:rStyle w:val="Hyperlink"/>
          <w:sz w:val="18"/>
          <w:szCs w:val="18"/>
        </w:rPr>
        <w:t>,</w:t>
      </w:r>
      <w:r w:rsidR="006032D0" w:rsidRPr="00614D84">
        <w:rPr>
          <w:sz w:val="18"/>
          <w:szCs w:val="18"/>
        </w:rPr>
        <w:t xml:space="preserve"> 2022, accessed 3 April 2023; Our Watch, </w:t>
      </w:r>
      <w:hyperlink r:id="rId10" w:history="1">
        <w:r w:rsidR="006032D0" w:rsidRPr="00614D84">
          <w:rPr>
            <w:rStyle w:val="Hyperlink"/>
            <w:sz w:val="18"/>
            <w:szCs w:val="18"/>
          </w:rPr>
          <w:t>Change the story. A shared framework for the primary prevention of violence against women in Australia (second edition)</w:t>
        </w:r>
      </w:hyperlink>
      <w:r w:rsidR="006032D0" w:rsidRPr="00614D84">
        <w:rPr>
          <w:sz w:val="18"/>
          <w:szCs w:val="18"/>
        </w:rPr>
        <w:t>, 2021, accessed 3 April 2023</w:t>
      </w:r>
    </w:p>
  </w:footnote>
  <w:footnote w:id="12">
    <w:p w14:paraId="486C42C8" w14:textId="72CA98E4" w:rsidR="005C31EC" w:rsidRPr="00614D84" w:rsidRDefault="005C31EC">
      <w:pPr>
        <w:pStyle w:val="FootnoteText"/>
        <w:rPr>
          <w:sz w:val="18"/>
          <w:szCs w:val="18"/>
        </w:rPr>
      </w:pPr>
      <w:r w:rsidRPr="00614D84">
        <w:rPr>
          <w:rStyle w:val="FootnoteReference"/>
          <w:sz w:val="18"/>
          <w:szCs w:val="18"/>
        </w:rPr>
        <w:footnoteRef/>
      </w:r>
      <w:r w:rsidRPr="00614D84">
        <w:rPr>
          <w:sz w:val="18"/>
          <w:szCs w:val="18"/>
        </w:rPr>
        <w:t xml:space="preserve"> </w:t>
      </w:r>
      <w:bookmarkStart w:id="0" w:name="_Hlk131595414"/>
      <w:r w:rsidR="006032D0" w:rsidRPr="00614D84">
        <w:rPr>
          <w:sz w:val="18"/>
          <w:szCs w:val="18"/>
        </w:rPr>
        <w:t xml:space="preserve">WGEA, Business Council of Australia, McKinsey &amp; Company, </w:t>
      </w:r>
      <w:hyperlink r:id="rId11" w:history="1">
        <w:r w:rsidR="006032D0" w:rsidRPr="00614D84">
          <w:rPr>
            <w:rStyle w:val="Hyperlink"/>
            <w:sz w:val="18"/>
            <w:szCs w:val="18"/>
          </w:rPr>
          <w:t>Women in leadership: Lessons from Australian companies leading the way</w:t>
        </w:r>
      </w:hyperlink>
      <w:r w:rsidR="006032D0" w:rsidRPr="00614D84">
        <w:rPr>
          <w:rStyle w:val="Hyperlink"/>
          <w:sz w:val="18"/>
          <w:szCs w:val="18"/>
        </w:rPr>
        <w:t>,</w:t>
      </w:r>
      <w:r w:rsidR="006032D0" w:rsidRPr="00614D84">
        <w:rPr>
          <w:sz w:val="18"/>
          <w:szCs w:val="18"/>
        </w:rPr>
        <w:t xml:space="preserve"> 1 November 2018, accessed 3 April 2023  </w:t>
      </w:r>
      <w:bookmarkEnd w:id="0"/>
    </w:p>
  </w:footnote>
  <w:footnote w:id="13">
    <w:p w14:paraId="037A2823" w14:textId="40B75C0B" w:rsidR="00714225" w:rsidRPr="00614D84" w:rsidRDefault="00714225">
      <w:pPr>
        <w:pStyle w:val="FootnoteText"/>
        <w:rPr>
          <w:sz w:val="18"/>
          <w:szCs w:val="18"/>
        </w:rPr>
      </w:pPr>
      <w:r w:rsidRPr="00614D84">
        <w:rPr>
          <w:rStyle w:val="FootnoteReference"/>
          <w:sz w:val="18"/>
          <w:szCs w:val="18"/>
        </w:rPr>
        <w:footnoteRef/>
      </w:r>
      <w:r w:rsidRPr="00614D84">
        <w:rPr>
          <w:sz w:val="18"/>
          <w:szCs w:val="18"/>
        </w:rPr>
        <w:t xml:space="preserve"> This is on the basis that driving </w:t>
      </w:r>
      <w:r w:rsidR="00E9260D" w:rsidRPr="00614D84">
        <w:rPr>
          <w:sz w:val="18"/>
          <w:szCs w:val="18"/>
        </w:rPr>
        <w:t>significant</w:t>
      </w:r>
      <w:r w:rsidRPr="00614D84">
        <w:rPr>
          <w:sz w:val="18"/>
          <w:szCs w:val="18"/>
        </w:rPr>
        <w:t xml:space="preserve"> systemic change across the Victorian community will require action in the private and non-for-profit sectors, in addition to the public sector</w:t>
      </w:r>
    </w:p>
  </w:footnote>
  <w:footnote w:id="14">
    <w:p w14:paraId="750B962F" w14:textId="48DABF15" w:rsidR="001B48A9" w:rsidRPr="00614D84" w:rsidRDefault="001B48A9">
      <w:pPr>
        <w:pStyle w:val="FootnoteText"/>
        <w:rPr>
          <w:sz w:val="18"/>
          <w:szCs w:val="18"/>
        </w:rPr>
      </w:pPr>
      <w:r w:rsidRPr="00614D84">
        <w:rPr>
          <w:rStyle w:val="FootnoteReference"/>
          <w:sz w:val="18"/>
          <w:szCs w:val="18"/>
        </w:rPr>
        <w:footnoteRef/>
      </w:r>
      <w:r w:rsidRPr="00614D84">
        <w:rPr>
          <w:sz w:val="18"/>
          <w:szCs w:val="18"/>
        </w:rPr>
        <w:t xml:space="preserve"> </w:t>
      </w:r>
      <w:r w:rsidR="00714225" w:rsidRPr="00614D84">
        <w:rPr>
          <w:sz w:val="18"/>
          <w:szCs w:val="18"/>
        </w:rPr>
        <w:t>International best practice suggests that workplace gender equality obligations should apply to organisations with less than 50 employees (and at least an average of 25 or more employees, as is the case in the Iceland Act: Arts</w:t>
      </w:r>
      <w:r w:rsidR="006032D0" w:rsidRPr="00614D84">
        <w:rPr>
          <w:sz w:val="18"/>
          <w:szCs w:val="18"/>
        </w:rPr>
        <w:t>.</w:t>
      </w:r>
      <w:r w:rsidR="00714225" w:rsidRPr="00614D84">
        <w:rPr>
          <w:sz w:val="18"/>
          <w:szCs w:val="18"/>
        </w:rPr>
        <w:t xml:space="preserve"> 5, 7, 8, 9, 10, Iceland Act)</w:t>
      </w:r>
    </w:p>
  </w:footnote>
  <w:footnote w:id="15">
    <w:p w14:paraId="3ED14816" w14:textId="18B7DCED" w:rsidR="006A78A4" w:rsidRPr="0045221F" w:rsidRDefault="006A78A4">
      <w:pPr>
        <w:pStyle w:val="FootnoteText"/>
        <w:rPr>
          <w:sz w:val="18"/>
          <w:szCs w:val="18"/>
        </w:rPr>
      </w:pPr>
      <w:r w:rsidRPr="00614D84">
        <w:rPr>
          <w:rStyle w:val="FootnoteReference"/>
          <w:sz w:val="18"/>
          <w:szCs w:val="18"/>
        </w:rPr>
        <w:footnoteRef/>
      </w:r>
      <w:r w:rsidRPr="00614D84">
        <w:rPr>
          <w:sz w:val="18"/>
          <w:szCs w:val="18"/>
        </w:rPr>
        <w:t xml:space="preserve"> </w:t>
      </w:r>
      <w:r w:rsidR="00614D84" w:rsidRPr="00614D84">
        <w:rPr>
          <w:sz w:val="18"/>
          <w:szCs w:val="18"/>
        </w:rPr>
        <w:t>Including volunteers significantly furthers the achievement of workplace gender equality across the community in light of the large volunteer workforce across Australia and is inconsistent with national legislation and policy: See, e.g. Volunteering Australia, ‘</w:t>
      </w:r>
      <w:hyperlink r:id="rId12" w:history="1">
        <w:r w:rsidR="00614D84" w:rsidRPr="00614D84">
          <w:rPr>
            <w:rStyle w:val="Hyperlink"/>
            <w:sz w:val="18"/>
            <w:szCs w:val="18"/>
          </w:rPr>
          <w:t>The National Standards for Volunteer Involvement</w:t>
        </w:r>
      </w:hyperlink>
      <w:r w:rsidR="00614D84" w:rsidRPr="00614D84">
        <w:rPr>
          <w:sz w:val="18"/>
          <w:szCs w:val="18"/>
        </w:rPr>
        <w:t>’, 2015, accessed 3 April 2023</w:t>
      </w:r>
    </w:p>
  </w:footnote>
  <w:footnote w:id="16">
    <w:p w14:paraId="3CB69834" w14:textId="5B426E2B" w:rsidR="005947DE" w:rsidRPr="00A453C5" w:rsidRDefault="005947DE" w:rsidP="005947DE">
      <w:pPr>
        <w:pStyle w:val="FootnoteText"/>
        <w:rPr>
          <w:rFonts w:cs="Arial"/>
          <w:sz w:val="18"/>
          <w:szCs w:val="18"/>
        </w:rPr>
      </w:pPr>
      <w:r w:rsidRPr="00A453C5">
        <w:rPr>
          <w:rStyle w:val="FootnoteReference"/>
          <w:rFonts w:cs="Arial"/>
          <w:sz w:val="18"/>
          <w:szCs w:val="18"/>
        </w:rPr>
        <w:footnoteRef/>
      </w:r>
      <w:r w:rsidRPr="00A453C5">
        <w:rPr>
          <w:rFonts w:cs="Arial"/>
          <w:sz w:val="18"/>
          <w:szCs w:val="18"/>
        </w:rPr>
        <w:t xml:space="preserve"> </w:t>
      </w:r>
      <w:r w:rsidR="00A453C5" w:rsidRPr="00A453C5">
        <w:rPr>
          <w:rFonts w:cs="Arial"/>
          <w:sz w:val="18"/>
          <w:szCs w:val="18"/>
        </w:rPr>
        <w:t>Equal Measures 2030, ‘</w:t>
      </w:r>
      <w:hyperlink r:id="rId13" w:history="1">
        <w:r w:rsidR="00A453C5" w:rsidRPr="00A453C5">
          <w:rPr>
            <w:rStyle w:val="Hyperlink"/>
            <w:rFonts w:cs="Arial"/>
            <w:sz w:val="18"/>
            <w:szCs w:val="18"/>
          </w:rPr>
          <w:t>Harnessing the Power of Data for Gender Equality: Introducing the 2019 EM2030 SDG Gender Index</w:t>
        </w:r>
      </w:hyperlink>
      <w:r w:rsidR="00A453C5" w:rsidRPr="00A453C5">
        <w:rPr>
          <w:rFonts w:cs="Arial"/>
          <w:sz w:val="18"/>
          <w:szCs w:val="18"/>
        </w:rPr>
        <w:t xml:space="preserve">’, 2019, accessed on 29 March 2030; C Hannon, </w:t>
      </w:r>
      <w:hyperlink r:id="rId14" w:history="1">
        <w:r w:rsidR="00A453C5" w:rsidRPr="00A453C5">
          <w:rPr>
            <w:rStyle w:val="Hyperlink"/>
            <w:rFonts w:cs="Arial"/>
            <w:sz w:val="18"/>
            <w:szCs w:val="18"/>
          </w:rPr>
          <w:t>Handbook on Gender Mainstreaming for Gender Equality Results</w:t>
        </w:r>
      </w:hyperlink>
      <w:r w:rsidR="00A453C5" w:rsidRPr="00A453C5">
        <w:rPr>
          <w:rFonts w:cs="Arial"/>
          <w:sz w:val="18"/>
          <w:szCs w:val="18"/>
        </w:rPr>
        <w:t xml:space="preserve">, UN Women, 2022, p. 79. See also:  T W Fitzsimmons, MS Yates, V.J Callan, ‘Employer of Choice for Gender Equality: Leading practices in strategy, policy and implementation, AIBE Centre for Gender Equality in the Workplace, 2020, p. 47; J. </w:t>
      </w:r>
      <w:r w:rsidR="00A453C5" w:rsidRPr="00A453C5">
        <w:rPr>
          <w:rFonts w:cs="Arial"/>
          <w:sz w:val="18"/>
          <w:szCs w:val="18"/>
        </w:rPr>
        <w:t xml:space="preserve">Askim, A. Johnsen, K.A Christophersen, ‘Factors behind Organizational Learning from Benchmarking: Experiences from Norwegian Municipal Benchmarking Networks’, </w:t>
      </w:r>
      <w:r w:rsidR="00A453C5" w:rsidRPr="00A453C5">
        <w:rPr>
          <w:rFonts w:cs="Arial"/>
          <w:i/>
          <w:sz w:val="18"/>
          <w:szCs w:val="18"/>
        </w:rPr>
        <w:t xml:space="preserve">Journal of Public Administration Research and Theory, </w:t>
      </w:r>
      <w:r w:rsidR="00A453C5" w:rsidRPr="00A453C5">
        <w:rPr>
          <w:rFonts w:cs="Arial"/>
          <w:sz w:val="18"/>
          <w:szCs w:val="18"/>
        </w:rPr>
        <w:t>2007, 18(2), p. 299</w:t>
      </w:r>
    </w:p>
  </w:footnote>
  <w:footnote w:id="17">
    <w:p w14:paraId="436B4A42" w14:textId="209CEC5A" w:rsidR="00F25732" w:rsidRPr="00541E27" w:rsidRDefault="00F25732">
      <w:pPr>
        <w:pStyle w:val="FootnoteText"/>
        <w:rPr>
          <w:sz w:val="18"/>
          <w:szCs w:val="18"/>
        </w:rPr>
      </w:pPr>
      <w:r w:rsidRPr="00541E27">
        <w:rPr>
          <w:rStyle w:val="FootnoteReference"/>
          <w:sz w:val="18"/>
          <w:szCs w:val="18"/>
        </w:rPr>
        <w:footnoteRef/>
      </w:r>
      <w:r w:rsidRPr="00541E27">
        <w:rPr>
          <w:sz w:val="18"/>
          <w:szCs w:val="18"/>
        </w:rPr>
        <w:t xml:space="preserve"> </w:t>
      </w:r>
      <w:r w:rsidR="00A453C5" w:rsidRPr="00541E27">
        <w:rPr>
          <w:sz w:val="18"/>
          <w:szCs w:val="18"/>
        </w:rPr>
        <w:t xml:space="preserve">This is in line with Recommendation II(ii) of the OECD, </w:t>
      </w:r>
      <w:hyperlink r:id="rId15" w:anchor="page1" w:history="1">
        <w:r w:rsidR="00A453C5" w:rsidRPr="00541E27">
          <w:rPr>
            <w:rStyle w:val="Hyperlink"/>
            <w:sz w:val="18"/>
            <w:szCs w:val="18"/>
          </w:rPr>
          <w:t>2015 OECD Recommendation of the Council on Gender Equality in Public Life</w:t>
        </w:r>
      </w:hyperlink>
      <w:r w:rsidR="00A453C5" w:rsidRPr="00541E27">
        <w:rPr>
          <w:rStyle w:val="Hyperlink"/>
          <w:sz w:val="18"/>
          <w:szCs w:val="18"/>
        </w:rPr>
        <w:t>,</w:t>
      </w:r>
      <w:r w:rsidR="00A453C5" w:rsidRPr="00541E27">
        <w:rPr>
          <w:sz w:val="18"/>
          <w:szCs w:val="18"/>
        </w:rPr>
        <w:t xml:space="preserve"> 2016, OECD Publishing, Paris, accessed 29 March 2023</w:t>
      </w:r>
    </w:p>
  </w:footnote>
  <w:footnote w:id="18">
    <w:p w14:paraId="76E5525C" w14:textId="7A7057D1" w:rsidR="00713442" w:rsidRPr="00541E27" w:rsidRDefault="00713442" w:rsidP="00713442">
      <w:pPr>
        <w:pStyle w:val="FootnoteText"/>
        <w:rPr>
          <w:sz w:val="18"/>
          <w:szCs w:val="18"/>
        </w:rPr>
      </w:pPr>
      <w:r w:rsidRPr="00541E27">
        <w:rPr>
          <w:rStyle w:val="FootnoteReference"/>
          <w:sz w:val="18"/>
          <w:szCs w:val="18"/>
        </w:rPr>
        <w:footnoteRef/>
      </w:r>
      <w:r w:rsidRPr="00541E27">
        <w:rPr>
          <w:sz w:val="18"/>
          <w:szCs w:val="18"/>
        </w:rPr>
        <w:t xml:space="preserve"> MindTribes and Victorian Multicultural Commission, </w:t>
      </w:r>
      <w:hyperlink r:id="rId16" w:anchor="how-defined-entities-can-achieve-gender-equality-for-culturally-diverse-women-in-the-victorian-public-sector-%E2%80%93-mind-tribes-and-the-victorian-multicultural-commission" w:history="1">
        <w:r w:rsidR="008772DE" w:rsidRPr="00541E27">
          <w:rPr>
            <w:rStyle w:val="Hyperlink"/>
            <w:sz w:val="18"/>
            <w:szCs w:val="18"/>
          </w:rPr>
          <w:t>How defined entities can achieve gender equality for Culturally Diverse Women in the Victorian Public Sector, Final Report</w:t>
        </w:r>
      </w:hyperlink>
      <w:r w:rsidR="00E77311" w:rsidRPr="00541E27">
        <w:rPr>
          <w:sz w:val="18"/>
          <w:szCs w:val="18"/>
        </w:rPr>
        <w:t>,</w:t>
      </w:r>
      <w:r w:rsidRPr="00541E27">
        <w:rPr>
          <w:sz w:val="18"/>
          <w:szCs w:val="18"/>
        </w:rPr>
        <w:t xml:space="preserve"> February 202</w:t>
      </w:r>
      <w:r w:rsidR="00885BAE" w:rsidRPr="00541E27">
        <w:rPr>
          <w:sz w:val="18"/>
          <w:szCs w:val="18"/>
        </w:rPr>
        <w:t>2</w:t>
      </w:r>
      <w:r w:rsidR="00E77311" w:rsidRPr="00541E27">
        <w:rPr>
          <w:sz w:val="18"/>
          <w:szCs w:val="18"/>
        </w:rPr>
        <w:t>,</w:t>
      </w:r>
      <w:r w:rsidRPr="00541E27">
        <w:rPr>
          <w:sz w:val="18"/>
          <w:szCs w:val="18"/>
        </w:rPr>
        <w:t>, accessed 3 April 2023</w:t>
      </w:r>
    </w:p>
  </w:footnote>
  <w:footnote w:id="19">
    <w:p w14:paraId="56957F64" w14:textId="19E8130A" w:rsidR="00713442" w:rsidRPr="00541E27" w:rsidRDefault="00713442" w:rsidP="00713442">
      <w:pPr>
        <w:pStyle w:val="FootnoteText"/>
        <w:rPr>
          <w:sz w:val="18"/>
          <w:szCs w:val="18"/>
        </w:rPr>
      </w:pPr>
      <w:r w:rsidRPr="00541E27">
        <w:rPr>
          <w:rStyle w:val="FootnoteReference"/>
          <w:sz w:val="18"/>
          <w:szCs w:val="18"/>
        </w:rPr>
        <w:footnoteRef/>
      </w:r>
      <w:r w:rsidRPr="00541E27">
        <w:rPr>
          <w:sz w:val="18"/>
          <w:szCs w:val="18"/>
        </w:rPr>
        <w:t xml:space="preserve"> Women with Disabilities Australia, </w:t>
      </w:r>
      <w:hyperlink r:id="rId17" w:history="1">
        <w:r w:rsidRPr="00541E27">
          <w:rPr>
            <w:rStyle w:val="Hyperlink"/>
            <w:sz w:val="18"/>
            <w:szCs w:val="18"/>
          </w:rPr>
          <w:t>Submission in response to the National Disability Employment Strategy Consultation Paper</w:t>
        </w:r>
      </w:hyperlink>
      <w:r w:rsidR="00E77311" w:rsidRPr="00541E27">
        <w:rPr>
          <w:rStyle w:val="Hyperlink"/>
          <w:sz w:val="18"/>
          <w:szCs w:val="18"/>
        </w:rPr>
        <w:t>,</w:t>
      </w:r>
      <w:r w:rsidRPr="00541E27">
        <w:rPr>
          <w:sz w:val="18"/>
          <w:szCs w:val="18"/>
        </w:rPr>
        <w:t xml:space="preserve"> May 2021, accessed 3 April 2023</w:t>
      </w:r>
    </w:p>
  </w:footnote>
  <w:footnote w:id="20">
    <w:p w14:paraId="404515CA" w14:textId="40E9E35B" w:rsidR="00713442" w:rsidRPr="00541E27" w:rsidRDefault="00713442" w:rsidP="00713442">
      <w:pPr>
        <w:pStyle w:val="FootnoteText"/>
        <w:rPr>
          <w:sz w:val="18"/>
          <w:szCs w:val="18"/>
        </w:rPr>
      </w:pPr>
      <w:r w:rsidRPr="00541E27">
        <w:rPr>
          <w:rStyle w:val="FootnoteReference"/>
          <w:sz w:val="18"/>
          <w:szCs w:val="18"/>
        </w:rPr>
        <w:footnoteRef/>
      </w:r>
      <w:r w:rsidRPr="00541E27">
        <w:rPr>
          <w:sz w:val="18"/>
          <w:szCs w:val="18"/>
        </w:rPr>
        <w:t xml:space="preserve"> </w:t>
      </w:r>
      <w:r w:rsidR="002A693A" w:rsidRPr="00541E27">
        <w:rPr>
          <w:sz w:val="18"/>
          <w:szCs w:val="18"/>
        </w:rPr>
        <w:t xml:space="preserve">Public Service Commission, </w:t>
      </w:r>
      <w:hyperlink r:id="rId18" w:history="1">
        <w:r w:rsidR="002A693A" w:rsidRPr="00541E27">
          <w:rPr>
            <w:rStyle w:val="Hyperlink"/>
            <w:sz w:val="18"/>
            <w:szCs w:val="18"/>
          </w:rPr>
          <w:t>Queensland public sector LGBTQI+ inclusion strategy: A strategy for sexual orientation, gender diversity and intersex inclusion 2012 – 2022</w:t>
        </w:r>
      </w:hyperlink>
      <w:r w:rsidR="002A693A" w:rsidRPr="00541E27">
        <w:rPr>
          <w:rStyle w:val="Hyperlink"/>
          <w:sz w:val="18"/>
          <w:szCs w:val="18"/>
        </w:rPr>
        <w:t xml:space="preserve">, </w:t>
      </w:r>
      <w:r w:rsidR="002A693A" w:rsidRPr="00541E27">
        <w:rPr>
          <w:sz w:val="18"/>
          <w:szCs w:val="18"/>
        </w:rPr>
        <w:t>State of Queensland, March 2017,, accessed 3 April 2023</w:t>
      </w:r>
    </w:p>
  </w:footnote>
  <w:footnote w:id="21">
    <w:p w14:paraId="63CC67B0" w14:textId="71870B12" w:rsidR="00CF36E5" w:rsidRDefault="00CF36E5">
      <w:pPr>
        <w:pStyle w:val="FootnoteText"/>
      </w:pPr>
      <w:r w:rsidRPr="00541E27">
        <w:rPr>
          <w:rStyle w:val="FootnoteReference"/>
          <w:sz w:val="18"/>
          <w:szCs w:val="18"/>
        </w:rPr>
        <w:footnoteRef/>
      </w:r>
      <w:r w:rsidRPr="00541E27">
        <w:rPr>
          <w:sz w:val="18"/>
          <w:szCs w:val="18"/>
        </w:rPr>
        <w:t xml:space="preserve"> S</w:t>
      </w:r>
      <w:r w:rsidR="00122FBA" w:rsidRPr="00541E27">
        <w:rPr>
          <w:sz w:val="18"/>
          <w:szCs w:val="18"/>
        </w:rPr>
        <w:t>s</w:t>
      </w:r>
      <w:r w:rsidR="002A693A" w:rsidRPr="00541E27">
        <w:rPr>
          <w:sz w:val="18"/>
          <w:szCs w:val="18"/>
        </w:rPr>
        <w:t>.</w:t>
      </w:r>
      <w:r w:rsidRPr="00541E27">
        <w:rPr>
          <w:sz w:val="18"/>
          <w:szCs w:val="18"/>
        </w:rPr>
        <w:t xml:space="preserve"> 9(2)(c),</w:t>
      </w:r>
      <w:r w:rsidR="00122FBA" w:rsidRPr="00541E27">
        <w:rPr>
          <w:sz w:val="18"/>
          <w:szCs w:val="18"/>
        </w:rPr>
        <w:t xml:space="preserve"> 11(3)(b),</w:t>
      </w:r>
      <w:r w:rsidRPr="00541E27">
        <w:rPr>
          <w:sz w:val="18"/>
          <w:szCs w:val="18"/>
        </w:rPr>
        <w:t xml:space="preserve"> </w:t>
      </w:r>
      <w:r w:rsidR="00122FBA" w:rsidRPr="00541E27">
        <w:rPr>
          <w:sz w:val="18"/>
          <w:szCs w:val="18"/>
        </w:rPr>
        <w:t xml:space="preserve">10(1) </w:t>
      </w:r>
      <w:r w:rsidRPr="00541E27">
        <w:rPr>
          <w:sz w:val="18"/>
          <w:szCs w:val="18"/>
        </w:rPr>
        <w:t>GE Act</w:t>
      </w:r>
    </w:p>
  </w:footnote>
  <w:footnote w:id="22">
    <w:p w14:paraId="3455019D" w14:textId="08B0BAC3" w:rsidR="00FB0B69" w:rsidRPr="00541E27" w:rsidRDefault="00FB0B69" w:rsidP="00FB0B69">
      <w:pPr>
        <w:pStyle w:val="FootnoteText"/>
        <w:rPr>
          <w:sz w:val="18"/>
          <w:szCs w:val="18"/>
        </w:rPr>
      </w:pPr>
      <w:r w:rsidRPr="00541E27">
        <w:rPr>
          <w:rStyle w:val="FootnoteReference"/>
          <w:sz w:val="18"/>
          <w:szCs w:val="18"/>
        </w:rPr>
        <w:footnoteRef/>
      </w:r>
      <w:r w:rsidRPr="00541E27">
        <w:rPr>
          <w:sz w:val="18"/>
          <w:szCs w:val="18"/>
        </w:rPr>
        <w:t xml:space="preserve"> </w:t>
      </w:r>
      <w:r w:rsidR="002A693A" w:rsidRPr="00541E27">
        <w:rPr>
          <w:sz w:val="18"/>
          <w:szCs w:val="18"/>
        </w:rPr>
        <w:t xml:space="preserve">Reg. 5A, </w:t>
      </w:r>
      <w:hyperlink r:id="rId19" w:history="1">
        <w:r w:rsidR="002A693A" w:rsidRPr="00541E27">
          <w:rPr>
            <w:rStyle w:val="Hyperlink"/>
            <w:sz w:val="18"/>
            <w:szCs w:val="18"/>
          </w:rPr>
          <w:t>Gender Equality Regulations 2020</w:t>
        </w:r>
      </w:hyperlink>
      <w:r w:rsidR="002A693A" w:rsidRPr="00541E27">
        <w:rPr>
          <w:sz w:val="18"/>
          <w:szCs w:val="18"/>
        </w:rPr>
        <w:t xml:space="preserve"> (Vic)</w:t>
      </w:r>
    </w:p>
  </w:footnote>
  <w:footnote w:id="23">
    <w:p w14:paraId="3C2BAFF0" w14:textId="7EF98D5F" w:rsidR="00FB0B69" w:rsidRPr="00E13924" w:rsidRDefault="00FB0B69" w:rsidP="00FB0B69">
      <w:pPr>
        <w:pStyle w:val="FootnoteText"/>
        <w:rPr>
          <w:sz w:val="18"/>
          <w:szCs w:val="18"/>
        </w:rPr>
      </w:pPr>
      <w:r w:rsidRPr="00541E27">
        <w:rPr>
          <w:rStyle w:val="FootnoteReference"/>
          <w:sz w:val="18"/>
          <w:szCs w:val="18"/>
        </w:rPr>
        <w:footnoteRef/>
      </w:r>
      <w:r w:rsidR="007763F5" w:rsidRPr="00541E27">
        <w:rPr>
          <w:sz w:val="18"/>
          <w:szCs w:val="18"/>
        </w:rPr>
        <w:t xml:space="preserve"> </w:t>
      </w:r>
      <w:r w:rsidR="00461F03" w:rsidRPr="00541E27">
        <w:rPr>
          <w:sz w:val="18"/>
          <w:szCs w:val="18"/>
        </w:rPr>
        <w:t>SS. 134(ab)</w:t>
      </w:r>
      <w:r w:rsidR="007763F5" w:rsidRPr="00541E27">
        <w:rPr>
          <w:sz w:val="18"/>
          <w:szCs w:val="18"/>
        </w:rPr>
        <w:t xml:space="preserve">, </w:t>
      </w:r>
      <w:r w:rsidR="004F533D" w:rsidRPr="00541E27">
        <w:rPr>
          <w:sz w:val="18"/>
          <w:szCs w:val="18"/>
        </w:rPr>
        <w:t xml:space="preserve">157(2B), </w:t>
      </w:r>
      <w:r w:rsidR="008368D8" w:rsidRPr="00541E27">
        <w:rPr>
          <w:sz w:val="18"/>
          <w:szCs w:val="18"/>
        </w:rPr>
        <w:t>284(1)(aa),</w:t>
      </w:r>
      <w:r w:rsidR="00A97053" w:rsidRPr="00541E27">
        <w:rPr>
          <w:sz w:val="18"/>
          <w:szCs w:val="18"/>
        </w:rPr>
        <w:t xml:space="preserve"> 302(3A)-(3C)</w:t>
      </w:r>
      <w:r w:rsidR="0032155B" w:rsidRPr="00541E27">
        <w:rPr>
          <w:sz w:val="18"/>
          <w:szCs w:val="18"/>
        </w:rPr>
        <w:t>,</w:t>
      </w:r>
      <w:r w:rsidR="008368D8" w:rsidRPr="00541E27">
        <w:rPr>
          <w:sz w:val="18"/>
          <w:szCs w:val="18"/>
        </w:rPr>
        <w:t xml:space="preserve"> </w:t>
      </w:r>
      <w:r w:rsidR="007763F5" w:rsidRPr="00541E27">
        <w:rPr>
          <w:sz w:val="18"/>
          <w:szCs w:val="18"/>
        </w:rPr>
        <w:t>FW Act</w:t>
      </w:r>
    </w:p>
  </w:footnote>
  <w:footnote w:id="24">
    <w:p w14:paraId="7C8ED995" w14:textId="7EEB42C8" w:rsidR="000F2D2B" w:rsidRPr="00541E27" w:rsidRDefault="000F2D2B" w:rsidP="000F2D2B">
      <w:pPr>
        <w:pStyle w:val="FootnoteText"/>
        <w:rPr>
          <w:sz w:val="18"/>
          <w:szCs w:val="18"/>
        </w:rPr>
      </w:pPr>
      <w:r w:rsidRPr="00541E27">
        <w:rPr>
          <w:rStyle w:val="FootnoteReference"/>
          <w:sz w:val="18"/>
          <w:szCs w:val="18"/>
        </w:rPr>
        <w:footnoteRef/>
      </w:r>
      <w:r w:rsidRPr="00541E27">
        <w:rPr>
          <w:sz w:val="18"/>
          <w:szCs w:val="18"/>
        </w:rPr>
        <w:t xml:space="preserve"> </w:t>
      </w:r>
      <w:r w:rsidR="003B42E9" w:rsidRPr="00541E27">
        <w:rPr>
          <w:sz w:val="18"/>
          <w:szCs w:val="18"/>
        </w:rPr>
        <w:t xml:space="preserve">Department of the Prime Minister and Cabinet, </w:t>
      </w:r>
      <w:hyperlink r:id="rId20" w:history="1">
        <w:r w:rsidR="003B42E9" w:rsidRPr="00541E27">
          <w:rPr>
            <w:rStyle w:val="Hyperlink"/>
            <w:sz w:val="18"/>
            <w:szCs w:val="18"/>
          </w:rPr>
          <w:t>WGEA Review Report. Review of the Workplace Gender Equality Act 2012</w:t>
        </w:r>
      </w:hyperlink>
      <w:r w:rsidR="003B42E9" w:rsidRPr="00541E27">
        <w:rPr>
          <w:rStyle w:val="Hyperlink"/>
          <w:sz w:val="18"/>
          <w:szCs w:val="18"/>
        </w:rPr>
        <w:t xml:space="preserve">, </w:t>
      </w:r>
      <w:r w:rsidR="003B42E9" w:rsidRPr="00541E27">
        <w:rPr>
          <w:sz w:val="18"/>
          <w:szCs w:val="18"/>
        </w:rPr>
        <w:t>Commonwealth of Australia, December 2021, accessed 3 April 2023</w:t>
      </w:r>
    </w:p>
  </w:footnote>
  <w:footnote w:id="25">
    <w:p w14:paraId="0FA9F774" w14:textId="6769E2F3" w:rsidR="00A95223" w:rsidRPr="00541E27" w:rsidRDefault="00A95223" w:rsidP="00A95223">
      <w:pPr>
        <w:pStyle w:val="FootnoteText"/>
        <w:rPr>
          <w:sz w:val="18"/>
          <w:szCs w:val="18"/>
        </w:rPr>
      </w:pPr>
      <w:r w:rsidRPr="00541E27">
        <w:rPr>
          <w:rStyle w:val="FootnoteReference"/>
          <w:sz w:val="18"/>
          <w:szCs w:val="18"/>
        </w:rPr>
        <w:footnoteRef/>
      </w:r>
      <w:r w:rsidRPr="00541E27">
        <w:rPr>
          <w:sz w:val="18"/>
          <w:szCs w:val="18"/>
        </w:rPr>
        <w:t xml:space="preserve"> </w:t>
      </w:r>
      <w:hyperlink r:id="rId21" w:history="1">
        <w:r w:rsidRPr="00541E27">
          <w:rPr>
            <w:rStyle w:val="Hyperlink"/>
            <w:i/>
            <w:iCs/>
            <w:sz w:val="18"/>
            <w:szCs w:val="18"/>
          </w:rPr>
          <w:t>Workplace Gender Equality (Gender Equality Standards) Instrument 2023</w:t>
        </w:r>
      </w:hyperlink>
      <w:r w:rsidR="003B42E9" w:rsidRPr="00541E27">
        <w:rPr>
          <w:rStyle w:val="Hyperlink"/>
          <w:sz w:val="18"/>
          <w:szCs w:val="18"/>
        </w:rPr>
        <w:t xml:space="preserve"> (</w:t>
      </w:r>
      <w:r w:rsidR="003B42E9" w:rsidRPr="00541E27">
        <w:rPr>
          <w:rStyle w:val="Hyperlink"/>
          <w:sz w:val="18"/>
          <w:szCs w:val="18"/>
        </w:rPr>
        <w:t>Cth)</w:t>
      </w:r>
    </w:p>
  </w:footnote>
  <w:footnote w:id="26">
    <w:p w14:paraId="582748DD" w14:textId="05515F83" w:rsidR="00A95223" w:rsidRPr="00541E27" w:rsidRDefault="00A95223" w:rsidP="00A95223">
      <w:pPr>
        <w:pStyle w:val="FootnoteText"/>
        <w:rPr>
          <w:sz w:val="18"/>
          <w:szCs w:val="18"/>
        </w:rPr>
      </w:pPr>
      <w:r w:rsidRPr="00541E27">
        <w:rPr>
          <w:rStyle w:val="FootnoteReference"/>
          <w:sz w:val="18"/>
          <w:szCs w:val="18"/>
        </w:rPr>
        <w:footnoteRef/>
      </w:r>
      <w:r w:rsidRPr="00541E27">
        <w:rPr>
          <w:sz w:val="18"/>
          <w:szCs w:val="18"/>
        </w:rPr>
        <w:t xml:space="preserve"> </w:t>
      </w:r>
      <w:r w:rsidR="003B42E9" w:rsidRPr="00541E27">
        <w:rPr>
          <w:sz w:val="18"/>
          <w:szCs w:val="18"/>
        </w:rPr>
        <w:t xml:space="preserve">K Gallagher, Minister for Women, </w:t>
      </w:r>
      <w:hyperlink r:id="rId22" w:history="1">
        <w:r w:rsidR="003B42E9" w:rsidRPr="00541E27">
          <w:rPr>
            <w:rStyle w:val="Hyperlink"/>
            <w:i/>
            <w:iCs/>
            <w:sz w:val="18"/>
            <w:szCs w:val="18"/>
          </w:rPr>
          <w:t>Parliamentary Debates</w:t>
        </w:r>
      </w:hyperlink>
      <w:r w:rsidR="003B42E9" w:rsidRPr="00541E27">
        <w:rPr>
          <w:sz w:val="18"/>
          <w:szCs w:val="18"/>
        </w:rPr>
        <w:t>, Commonwealth of Australia, Senate, 8 February 2023, p. 71</w:t>
      </w:r>
    </w:p>
  </w:footnote>
  <w:footnote w:id="27">
    <w:p w14:paraId="2ADE4222" w14:textId="644762F7" w:rsidR="00E93DF0" w:rsidRPr="00541E27" w:rsidRDefault="00E93DF0">
      <w:pPr>
        <w:pStyle w:val="FootnoteText"/>
        <w:rPr>
          <w:sz w:val="18"/>
          <w:szCs w:val="18"/>
        </w:rPr>
      </w:pPr>
      <w:r w:rsidRPr="00541E27">
        <w:rPr>
          <w:rStyle w:val="FootnoteReference"/>
          <w:sz w:val="18"/>
          <w:szCs w:val="18"/>
        </w:rPr>
        <w:footnoteRef/>
      </w:r>
      <w:r w:rsidRPr="00541E27">
        <w:rPr>
          <w:sz w:val="18"/>
          <w:szCs w:val="18"/>
        </w:rPr>
        <w:t xml:space="preserve"> </w:t>
      </w:r>
      <w:r w:rsidR="00F13C63" w:rsidRPr="00541E27">
        <w:rPr>
          <w:sz w:val="18"/>
          <w:szCs w:val="18"/>
        </w:rPr>
        <w:t>S</w:t>
      </w:r>
      <w:r w:rsidR="009A31B5" w:rsidRPr="00541E27">
        <w:rPr>
          <w:sz w:val="18"/>
          <w:szCs w:val="18"/>
        </w:rPr>
        <w:t>. 6(1)</w:t>
      </w:r>
      <w:r w:rsidRPr="00541E27">
        <w:rPr>
          <w:sz w:val="18"/>
          <w:szCs w:val="18"/>
        </w:rPr>
        <w:t>, 2023 Standards Instrument</w:t>
      </w:r>
    </w:p>
  </w:footnote>
  <w:footnote w:id="28">
    <w:p w14:paraId="3630BD03" w14:textId="228179BA" w:rsidR="001E0A42" w:rsidRPr="00541E27" w:rsidRDefault="001E0A42" w:rsidP="001E0A42">
      <w:pPr>
        <w:pStyle w:val="FootnoteText"/>
        <w:rPr>
          <w:sz w:val="18"/>
          <w:szCs w:val="18"/>
        </w:rPr>
      </w:pPr>
      <w:r w:rsidRPr="00541E27">
        <w:rPr>
          <w:rStyle w:val="FootnoteReference"/>
          <w:sz w:val="18"/>
          <w:szCs w:val="18"/>
        </w:rPr>
        <w:footnoteRef/>
      </w:r>
      <w:r w:rsidRPr="00541E27">
        <w:rPr>
          <w:sz w:val="18"/>
          <w:szCs w:val="18"/>
        </w:rPr>
        <w:t xml:space="preserve"> </w:t>
      </w:r>
      <w:r w:rsidR="00084563" w:rsidRPr="00541E27">
        <w:rPr>
          <w:sz w:val="18"/>
          <w:szCs w:val="18"/>
        </w:rPr>
        <w:t xml:space="preserve">ABS, Reference period: 2020-21 financial year, ‘Table 1: State/Territory by business size’ [data set], </w:t>
      </w:r>
      <w:hyperlink r:id="rId23" w:anchor="data-downloads" w:history="1">
        <w:r w:rsidR="00084563" w:rsidRPr="00541E27">
          <w:rPr>
            <w:rStyle w:val="Hyperlink"/>
            <w:i/>
            <w:iCs/>
            <w:sz w:val="18"/>
            <w:szCs w:val="18"/>
          </w:rPr>
          <w:t>Australian Industry</w:t>
        </w:r>
      </w:hyperlink>
      <w:r w:rsidR="00084563" w:rsidRPr="00541E27">
        <w:rPr>
          <w:sz w:val="18"/>
          <w:szCs w:val="18"/>
        </w:rPr>
        <w:t>, May 2023, accessed 27 February 2023</w:t>
      </w:r>
    </w:p>
  </w:footnote>
  <w:footnote w:id="29">
    <w:p w14:paraId="12E50D7B" w14:textId="7447B7EF" w:rsidR="004F3758" w:rsidRDefault="004F3758" w:rsidP="004F3758">
      <w:pPr>
        <w:pStyle w:val="FootnoteText"/>
      </w:pPr>
      <w:r w:rsidRPr="00541E27">
        <w:rPr>
          <w:rStyle w:val="FootnoteReference"/>
          <w:sz w:val="18"/>
          <w:szCs w:val="18"/>
        </w:rPr>
        <w:footnoteRef/>
      </w:r>
      <w:r w:rsidRPr="00541E27">
        <w:rPr>
          <w:sz w:val="18"/>
          <w:szCs w:val="18"/>
        </w:rPr>
        <w:t xml:space="preserve"> </w:t>
      </w:r>
      <w:r w:rsidR="00084563" w:rsidRPr="00541E27">
        <w:rPr>
          <w:sz w:val="18"/>
          <w:szCs w:val="18"/>
        </w:rPr>
        <w:t xml:space="preserve">Victorian Equal Opportunity and Human Rights Commission (VEOHRC), </w:t>
      </w:r>
      <w:hyperlink r:id="rId24" w:history="1">
        <w:r w:rsidR="00084563" w:rsidRPr="00541E27">
          <w:rPr>
            <w:rStyle w:val="Hyperlink"/>
            <w:sz w:val="18"/>
            <w:szCs w:val="18"/>
          </w:rPr>
          <w:t>Equal pay matters: Achieving gender pay equality in small-to-medium enterprises</w:t>
        </w:r>
      </w:hyperlink>
      <w:r w:rsidR="00084563" w:rsidRPr="00541E27">
        <w:rPr>
          <w:sz w:val="18"/>
          <w:szCs w:val="18"/>
        </w:rPr>
        <w:t>, August 2021, accessed 11 April 2023</w:t>
      </w:r>
    </w:p>
  </w:footnote>
  <w:footnote w:id="30">
    <w:p w14:paraId="20D1784C" w14:textId="4C446DF0" w:rsidR="000F2D2B" w:rsidRPr="00541E27" w:rsidRDefault="000F2D2B" w:rsidP="001F5CFF">
      <w:pPr>
        <w:pStyle w:val="FootnoteText"/>
        <w:rPr>
          <w:sz w:val="18"/>
          <w:szCs w:val="18"/>
        </w:rPr>
      </w:pPr>
      <w:r w:rsidRPr="00541E27">
        <w:rPr>
          <w:rStyle w:val="FootnoteReference"/>
          <w:sz w:val="18"/>
          <w:szCs w:val="18"/>
        </w:rPr>
        <w:footnoteRef/>
      </w:r>
      <w:r w:rsidRPr="00541E27">
        <w:rPr>
          <w:sz w:val="18"/>
          <w:szCs w:val="18"/>
        </w:rPr>
        <w:t xml:space="preserve"> </w:t>
      </w:r>
      <w:r w:rsidR="009E3B26" w:rsidRPr="00541E27">
        <w:rPr>
          <w:sz w:val="18"/>
          <w:szCs w:val="18"/>
        </w:rPr>
        <w:t xml:space="preserve">Commonwealth of Australia, </w:t>
      </w:r>
      <w:r w:rsidR="001F5CFF" w:rsidRPr="00541E27">
        <w:rPr>
          <w:sz w:val="18"/>
          <w:szCs w:val="18"/>
        </w:rPr>
        <w:t>'A husband is not a retirement plan' - Achieving economic security for women in retirement</w:t>
      </w:r>
      <w:r w:rsidR="00E829FC" w:rsidRPr="00541E27">
        <w:rPr>
          <w:sz w:val="18"/>
          <w:szCs w:val="18"/>
        </w:rPr>
        <w:t xml:space="preserve">, </w:t>
      </w:r>
      <w:hyperlink r:id="rId25" w:history="1">
        <w:r w:rsidR="00E829FC" w:rsidRPr="00541E27">
          <w:rPr>
            <w:rStyle w:val="Hyperlink"/>
            <w:sz w:val="18"/>
            <w:szCs w:val="18"/>
          </w:rPr>
          <w:t>Chapter 3 – Narrowing the gender pay gap</w:t>
        </w:r>
      </w:hyperlink>
      <w:r w:rsidR="00E829FC" w:rsidRPr="00541E27">
        <w:rPr>
          <w:sz w:val="18"/>
          <w:szCs w:val="18"/>
        </w:rPr>
        <w:t xml:space="preserve">, </w:t>
      </w:r>
      <w:r w:rsidR="000B7289" w:rsidRPr="00541E27">
        <w:rPr>
          <w:sz w:val="18"/>
          <w:szCs w:val="18"/>
        </w:rPr>
        <w:t>29 April 2017, accessed 5 April 2023</w:t>
      </w:r>
    </w:p>
  </w:footnote>
  <w:footnote w:id="31">
    <w:p w14:paraId="4541E471" w14:textId="0F65D577" w:rsidR="001949B7" w:rsidRPr="00541E27" w:rsidRDefault="001949B7">
      <w:pPr>
        <w:pStyle w:val="FootnoteText"/>
        <w:rPr>
          <w:sz w:val="18"/>
          <w:szCs w:val="18"/>
        </w:rPr>
      </w:pPr>
      <w:r w:rsidRPr="00541E27">
        <w:rPr>
          <w:rStyle w:val="FootnoteReference"/>
          <w:sz w:val="18"/>
          <w:szCs w:val="18"/>
        </w:rPr>
        <w:footnoteRef/>
      </w:r>
      <w:r w:rsidRPr="00541E27">
        <w:rPr>
          <w:sz w:val="18"/>
          <w:szCs w:val="18"/>
        </w:rPr>
        <w:t xml:space="preserve"> </w:t>
      </w:r>
      <w:r w:rsidR="00B40BA5" w:rsidRPr="00541E27">
        <w:rPr>
          <w:sz w:val="18"/>
          <w:szCs w:val="18"/>
        </w:rPr>
        <w:t>At present, if an employer fails to comply with the WGE Act, WGEA has the power to publicly name the employer as having failed to comply with the WGE Act and set out details of the non-compliance</w:t>
      </w:r>
      <w:r w:rsidR="008C4C91" w:rsidRPr="00541E27">
        <w:rPr>
          <w:sz w:val="18"/>
          <w:szCs w:val="18"/>
        </w:rPr>
        <w:t>. Non-compliant employers ‘may not be eligible to compete for contracts under the Commonwealth procurement framework and may not be eligible for Commonwealth grants or other financial assistance’: S. 18, WGE Act</w:t>
      </w:r>
    </w:p>
  </w:footnote>
  <w:footnote w:id="32">
    <w:p w14:paraId="59CCA95A" w14:textId="77777777" w:rsidR="004C44EA" w:rsidRPr="00541E27" w:rsidRDefault="004C44EA" w:rsidP="004C44EA">
      <w:pPr>
        <w:pStyle w:val="FootnoteText"/>
        <w:rPr>
          <w:sz w:val="18"/>
          <w:szCs w:val="18"/>
        </w:rPr>
      </w:pPr>
      <w:r w:rsidRPr="00541E27">
        <w:rPr>
          <w:rStyle w:val="FootnoteReference"/>
          <w:sz w:val="18"/>
          <w:szCs w:val="18"/>
        </w:rPr>
        <w:footnoteRef/>
      </w:r>
      <w:r w:rsidRPr="00541E27">
        <w:rPr>
          <w:sz w:val="18"/>
          <w:szCs w:val="18"/>
        </w:rPr>
        <w:t xml:space="preserve"> Recommendation 8 recommends that all relevant employers must comply with the WGEA’s reporting obligations for Commonwealth grants eligibility and Commonwealth procurement participation – a strengthening from the current wording of ‘may not be eligible’</w:t>
      </w:r>
    </w:p>
  </w:footnote>
  <w:footnote w:id="33">
    <w:p w14:paraId="0DF9656B" w14:textId="4F7EB733" w:rsidR="00D12CFE" w:rsidRPr="00541E27" w:rsidRDefault="00D12CFE">
      <w:pPr>
        <w:pStyle w:val="FootnoteText"/>
        <w:rPr>
          <w:sz w:val="18"/>
          <w:szCs w:val="18"/>
        </w:rPr>
      </w:pPr>
      <w:r w:rsidRPr="00541E27">
        <w:rPr>
          <w:rStyle w:val="FootnoteReference"/>
          <w:sz w:val="18"/>
          <w:szCs w:val="18"/>
        </w:rPr>
        <w:footnoteRef/>
      </w:r>
      <w:r w:rsidRPr="00541E27">
        <w:rPr>
          <w:sz w:val="18"/>
          <w:szCs w:val="18"/>
        </w:rPr>
        <w:t xml:space="preserve"> </w:t>
      </w:r>
      <w:r w:rsidR="00840A39" w:rsidRPr="00541E27">
        <w:rPr>
          <w:sz w:val="18"/>
          <w:szCs w:val="18"/>
        </w:rPr>
        <w:t>P</w:t>
      </w:r>
      <w:r w:rsidR="00084563" w:rsidRPr="00541E27">
        <w:rPr>
          <w:sz w:val="18"/>
          <w:szCs w:val="18"/>
        </w:rPr>
        <w:t>t.</w:t>
      </w:r>
      <w:r w:rsidR="00840A39" w:rsidRPr="00541E27">
        <w:rPr>
          <w:sz w:val="18"/>
          <w:szCs w:val="18"/>
        </w:rPr>
        <w:t xml:space="preserve"> 6, GE Act</w:t>
      </w:r>
    </w:p>
  </w:footnote>
  <w:footnote w:id="34">
    <w:p w14:paraId="25588044" w14:textId="1D76E357" w:rsidR="004F08BB" w:rsidRPr="00541E27" w:rsidRDefault="004F08BB">
      <w:pPr>
        <w:pStyle w:val="FootnoteText"/>
        <w:rPr>
          <w:sz w:val="18"/>
          <w:szCs w:val="18"/>
        </w:rPr>
      </w:pPr>
      <w:r w:rsidRPr="00541E27">
        <w:rPr>
          <w:rStyle w:val="FootnoteReference"/>
          <w:sz w:val="18"/>
          <w:szCs w:val="18"/>
        </w:rPr>
        <w:footnoteRef/>
      </w:r>
      <w:r w:rsidRPr="00541E27">
        <w:rPr>
          <w:sz w:val="18"/>
          <w:szCs w:val="18"/>
        </w:rPr>
        <w:t xml:space="preserve"> </w:t>
      </w:r>
      <w:r w:rsidR="00E93F83" w:rsidRPr="00541E27">
        <w:rPr>
          <w:sz w:val="18"/>
          <w:szCs w:val="18"/>
        </w:rPr>
        <w:t>Art</w:t>
      </w:r>
      <w:r w:rsidR="00084563" w:rsidRPr="00541E27">
        <w:rPr>
          <w:sz w:val="18"/>
          <w:szCs w:val="18"/>
        </w:rPr>
        <w:t>.</w:t>
      </w:r>
      <w:r w:rsidR="00E93F83" w:rsidRPr="00541E27">
        <w:rPr>
          <w:sz w:val="18"/>
          <w:szCs w:val="18"/>
        </w:rPr>
        <w:t xml:space="preserve"> 32, Iceland Act</w:t>
      </w:r>
    </w:p>
  </w:footnote>
  <w:footnote w:id="35">
    <w:p w14:paraId="05E34732" w14:textId="45B2ECE5" w:rsidR="00AF514C" w:rsidRPr="00541E27" w:rsidRDefault="00AF514C" w:rsidP="00AF514C">
      <w:pPr>
        <w:pStyle w:val="FootnoteText"/>
        <w:rPr>
          <w:sz w:val="18"/>
          <w:szCs w:val="18"/>
        </w:rPr>
      </w:pPr>
      <w:r w:rsidRPr="00541E27">
        <w:rPr>
          <w:rStyle w:val="FootnoteReference"/>
          <w:sz w:val="18"/>
          <w:szCs w:val="18"/>
        </w:rPr>
        <w:footnoteRef/>
      </w:r>
      <w:r w:rsidRPr="00541E27">
        <w:rPr>
          <w:sz w:val="18"/>
          <w:szCs w:val="18"/>
        </w:rPr>
        <w:t xml:space="preserve"> </w:t>
      </w:r>
      <w:r w:rsidR="000C6143" w:rsidRPr="00541E27">
        <w:rPr>
          <w:sz w:val="18"/>
          <w:szCs w:val="18"/>
        </w:rPr>
        <w:t xml:space="preserve">VEOHRC, </w:t>
      </w:r>
      <w:hyperlink r:id="rId26" w:history="1">
        <w:r w:rsidR="000C6143" w:rsidRPr="00541E27">
          <w:rPr>
            <w:rStyle w:val="Hyperlink"/>
            <w:i/>
            <w:iCs/>
            <w:sz w:val="18"/>
            <w:szCs w:val="18"/>
          </w:rPr>
          <w:t>Preventing and responding to workplace sexual harassment</w:t>
        </w:r>
      </w:hyperlink>
      <w:r w:rsidR="000C6143" w:rsidRPr="00541E27">
        <w:rPr>
          <w:sz w:val="18"/>
          <w:szCs w:val="18"/>
        </w:rPr>
        <w:t>, August 2020, p 92, accessed 11 April 2023</w:t>
      </w:r>
    </w:p>
  </w:footnote>
  <w:footnote w:id="36">
    <w:p w14:paraId="798B8CBB" w14:textId="165CD287" w:rsidR="00946752" w:rsidRPr="0045221F" w:rsidRDefault="00946752" w:rsidP="00946752">
      <w:pPr>
        <w:pStyle w:val="FootnoteText"/>
        <w:rPr>
          <w:sz w:val="18"/>
          <w:szCs w:val="18"/>
        </w:rPr>
      </w:pPr>
      <w:r w:rsidRPr="00541E27">
        <w:rPr>
          <w:rStyle w:val="FootnoteReference"/>
          <w:sz w:val="18"/>
          <w:szCs w:val="18"/>
        </w:rPr>
        <w:footnoteRef/>
      </w:r>
      <w:r w:rsidRPr="00541E27">
        <w:rPr>
          <w:sz w:val="18"/>
          <w:szCs w:val="18"/>
        </w:rPr>
        <w:t xml:space="preserve"> </w:t>
      </w:r>
      <w:r w:rsidR="000C6143" w:rsidRPr="00541E27">
        <w:rPr>
          <w:sz w:val="18"/>
          <w:szCs w:val="18"/>
        </w:rPr>
        <w:t xml:space="preserve">AHRC, </w:t>
      </w:r>
      <w:hyperlink r:id="rId27" w:history="1">
        <w:r w:rsidR="000C6143" w:rsidRPr="00541E27">
          <w:rPr>
            <w:rStyle w:val="Hyperlink"/>
            <w:i/>
            <w:iCs/>
            <w:sz w:val="18"/>
            <w:szCs w:val="18"/>
          </w:rPr>
          <w:t>Time for respect: Fifth national survey on sexual harassment in Australian workplaces</w:t>
        </w:r>
      </w:hyperlink>
      <w:r w:rsidR="000C6143" w:rsidRPr="00541E27">
        <w:rPr>
          <w:sz w:val="18"/>
          <w:szCs w:val="18"/>
        </w:rPr>
        <w:t>, November 2022, p. 130, accessed 28 February 2023</w:t>
      </w:r>
    </w:p>
  </w:footnote>
  <w:footnote w:id="37">
    <w:p w14:paraId="77C77619" w14:textId="372FBE9D" w:rsidR="00946752" w:rsidRPr="00541E27" w:rsidRDefault="00946752" w:rsidP="00946752">
      <w:pPr>
        <w:pStyle w:val="FootnoteText"/>
        <w:rPr>
          <w:sz w:val="18"/>
          <w:szCs w:val="18"/>
        </w:rPr>
      </w:pPr>
      <w:r w:rsidRPr="00541E27">
        <w:rPr>
          <w:rStyle w:val="FootnoteReference"/>
          <w:sz w:val="18"/>
          <w:szCs w:val="18"/>
        </w:rPr>
        <w:footnoteRef/>
      </w:r>
      <w:r w:rsidRPr="00541E27">
        <w:rPr>
          <w:sz w:val="18"/>
          <w:szCs w:val="18"/>
        </w:rPr>
        <w:t xml:space="preserve"> </w:t>
      </w:r>
      <w:r w:rsidR="004A2F5C" w:rsidRPr="00541E27">
        <w:rPr>
          <w:sz w:val="18"/>
          <w:szCs w:val="18"/>
        </w:rPr>
        <w:t xml:space="preserve">State of Victoria, Commission for Gender Equality in the Public Sector, </w:t>
      </w:r>
      <w:hyperlink r:id="rId28" w:history="1">
        <w:r w:rsidR="004A2F5C" w:rsidRPr="00541E27">
          <w:rPr>
            <w:rStyle w:val="Hyperlink"/>
            <w:sz w:val="18"/>
            <w:szCs w:val="18"/>
          </w:rPr>
          <w:t>Baseline Report – 2021 workplace gender audit data analysis</w:t>
        </w:r>
      </w:hyperlink>
      <w:r w:rsidR="004A2F5C" w:rsidRPr="00541E27">
        <w:rPr>
          <w:sz w:val="18"/>
          <w:szCs w:val="18"/>
        </w:rPr>
        <w:t>, September 2022, p. 58, accessed 28 February 2023</w:t>
      </w:r>
    </w:p>
  </w:footnote>
  <w:footnote w:id="38">
    <w:p w14:paraId="554AFB39" w14:textId="77777777" w:rsidR="003A7122" w:rsidRPr="00541E27" w:rsidRDefault="003A7122" w:rsidP="003A7122">
      <w:pPr>
        <w:pStyle w:val="FootnoteText"/>
        <w:rPr>
          <w:sz w:val="18"/>
          <w:szCs w:val="18"/>
        </w:rPr>
      </w:pPr>
      <w:r w:rsidRPr="00541E27">
        <w:rPr>
          <w:rStyle w:val="FootnoteReference"/>
          <w:sz w:val="18"/>
          <w:szCs w:val="18"/>
        </w:rPr>
        <w:footnoteRef/>
      </w:r>
      <w:r w:rsidRPr="00541E27">
        <w:rPr>
          <w:sz w:val="18"/>
          <w:szCs w:val="18"/>
        </w:rPr>
        <w:t xml:space="preserve"> S. 96, FW Act</w:t>
      </w:r>
    </w:p>
  </w:footnote>
  <w:footnote w:id="39">
    <w:p w14:paraId="38949798" w14:textId="77777777" w:rsidR="003A7122" w:rsidRPr="0045221F" w:rsidRDefault="003A7122" w:rsidP="003A7122">
      <w:pPr>
        <w:pStyle w:val="FootnoteText"/>
        <w:rPr>
          <w:sz w:val="18"/>
          <w:szCs w:val="18"/>
        </w:rPr>
      </w:pPr>
      <w:r w:rsidRPr="00541E27">
        <w:rPr>
          <w:rStyle w:val="FootnoteReference"/>
          <w:sz w:val="18"/>
          <w:szCs w:val="18"/>
        </w:rPr>
        <w:footnoteRef/>
      </w:r>
      <w:r w:rsidRPr="00541E27">
        <w:rPr>
          <w:sz w:val="18"/>
          <w:szCs w:val="18"/>
        </w:rPr>
        <w:t xml:space="preserve"> S. 107(3), FW Act</w:t>
      </w:r>
    </w:p>
  </w:footnote>
  <w:footnote w:id="40">
    <w:p w14:paraId="37886C8C" w14:textId="67599280" w:rsidR="003A7122" w:rsidRPr="00541E27" w:rsidRDefault="003A7122" w:rsidP="003A7122">
      <w:pPr>
        <w:pStyle w:val="FootnoteText"/>
        <w:rPr>
          <w:sz w:val="18"/>
          <w:szCs w:val="18"/>
        </w:rPr>
      </w:pPr>
      <w:r w:rsidRPr="00541E27">
        <w:rPr>
          <w:rStyle w:val="FootnoteReference"/>
          <w:sz w:val="18"/>
          <w:szCs w:val="18"/>
        </w:rPr>
        <w:footnoteRef/>
      </w:r>
      <w:r w:rsidRPr="00541E27">
        <w:rPr>
          <w:sz w:val="18"/>
          <w:szCs w:val="18"/>
        </w:rPr>
        <w:t xml:space="preserve"> WGEA, </w:t>
      </w:r>
      <w:hyperlink r:id="rId29" w:history="1">
        <w:r w:rsidRPr="00541E27">
          <w:rPr>
            <w:rStyle w:val="Hyperlink"/>
            <w:sz w:val="18"/>
            <w:szCs w:val="18"/>
          </w:rPr>
          <w:t>Gender equality and caring</w:t>
        </w:r>
      </w:hyperlink>
      <w:r w:rsidR="004A2F5C" w:rsidRPr="00541E27">
        <w:rPr>
          <w:sz w:val="18"/>
          <w:szCs w:val="18"/>
        </w:rPr>
        <w:t xml:space="preserve">, WGEA </w:t>
      </w:r>
      <w:r w:rsidRPr="00541E27">
        <w:rPr>
          <w:sz w:val="18"/>
          <w:szCs w:val="18"/>
        </w:rPr>
        <w:t>(website), accessed 4 April 2023</w:t>
      </w:r>
    </w:p>
  </w:footnote>
  <w:footnote w:id="41">
    <w:p w14:paraId="2D1C7B85" w14:textId="05734894" w:rsidR="0091190C" w:rsidRPr="00541E27" w:rsidRDefault="0091190C" w:rsidP="0091190C">
      <w:pPr>
        <w:pStyle w:val="FootnoteText"/>
        <w:rPr>
          <w:sz w:val="18"/>
          <w:szCs w:val="18"/>
        </w:rPr>
      </w:pPr>
      <w:r w:rsidRPr="00541E27">
        <w:rPr>
          <w:rStyle w:val="FootnoteReference"/>
          <w:sz w:val="18"/>
          <w:szCs w:val="18"/>
        </w:rPr>
        <w:footnoteRef/>
      </w:r>
      <w:r w:rsidRPr="00541E27">
        <w:rPr>
          <w:sz w:val="18"/>
          <w:szCs w:val="18"/>
        </w:rPr>
        <w:t xml:space="preserve"> </w:t>
      </w:r>
      <w:r w:rsidR="004B0591" w:rsidRPr="00541E27">
        <w:rPr>
          <w:sz w:val="18"/>
          <w:szCs w:val="18"/>
        </w:rPr>
        <w:t xml:space="preserve">A </w:t>
      </w:r>
      <w:r w:rsidR="004B0591" w:rsidRPr="00541E27">
        <w:rPr>
          <w:sz w:val="18"/>
          <w:szCs w:val="18"/>
        </w:rPr>
        <w:t>Tufvesson</w:t>
      </w:r>
      <w:r w:rsidR="004B0591" w:rsidRPr="00541E27">
        <w:rPr>
          <w:i/>
          <w:iCs/>
          <w:sz w:val="18"/>
          <w:szCs w:val="18"/>
        </w:rPr>
        <w:t xml:space="preserve">, </w:t>
      </w:r>
      <w:hyperlink r:id="rId30" w:history="1">
        <w:r w:rsidR="004B0591" w:rsidRPr="00541E27">
          <w:rPr>
            <w:rStyle w:val="Hyperlink"/>
            <w:i/>
            <w:iCs/>
            <w:sz w:val="18"/>
            <w:szCs w:val="18"/>
          </w:rPr>
          <w:t>Should law firms introduce menstrual leave?</w:t>
        </w:r>
      </w:hyperlink>
      <w:r w:rsidR="004B0591" w:rsidRPr="00541E27">
        <w:rPr>
          <w:rStyle w:val="Hyperlink"/>
          <w:i/>
          <w:iCs/>
          <w:sz w:val="18"/>
          <w:szCs w:val="18"/>
        </w:rPr>
        <w:t>,</w:t>
      </w:r>
      <w:r w:rsidR="004B0591" w:rsidRPr="00541E27">
        <w:rPr>
          <w:sz w:val="18"/>
          <w:szCs w:val="18"/>
        </w:rPr>
        <w:t xml:space="preserve"> 3 April 2022, Law Society of NSW Journal (Online), accessed 4 April 2023</w:t>
      </w:r>
    </w:p>
  </w:footnote>
  <w:footnote w:id="42">
    <w:p w14:paraId="0778B201" w14:textId="31F527DD" w:rsidR="0091190C" w:rsidRPr="00541E27" w:rsidRDefault="0091190C" w:rsidP="0091190C">
      <w:pPr>
        <w:pStyle w:val="FootnoteText"/>
        <w:rPr>
          <w:sz w:val="18"/>
          <w:szCs w:val="18"/>
        </w:rPr>
      </w:pPr>
      <w:r w:rsidRPr="00541E27">
        <w:rPr>
          <w:rStyle w:val="FootnoteReference"/>
          <w:sz w:val="18"/>
          <w:szCs w:val="18"/>
        </w:rPr>
        <w:footnoteRef/>
      </w:r>
      <w:r w:rsidRPr="00541E27">
        <w:rPr>
          <w:sz w:val="18"/>
          <w:szCs w:val="18"/>
        </w:rPr>
        <w:t xml:space="preserve"> Circle In, </w:t>
      </w:r>
      <w:hyperlink r:id="rId31" w:history="1">
        <w:r w:rsidRPr="00541E27">
          <w:rPr>
            <w:rStyle w:val="Hyperlink"/>
            <w:sz w:val="18"/>
            <w:szCs w:val="18"/>
          </w:rPr>
          <w:t>Driving the change: Menopause and the workplace</w:t>
        </w:r>
      </w:hyperlink>
      <w:r w:rsidR="004B0591" w:rsidRPr="00541E27">
        <w:rPr>
          <w:sz w:val="18"/>
          <w:szCs w:val="18"/>
        </w:rPr>
        <w:t xml:space="preserve">, </w:t>
      </w:r>
      <w:r w:rsidRPr="00541E27">
        <w:rPr>
          <w:sz w:val="18"/>
          <w:szCs w:val="18"/>
        </w:rPr>
        <w:t xml:space="preserve">30 March 2021, accessed 4 April 2023 </w:t>
      </w:r>
    </w:p>
  </w:footnote>
  <w:footnote w:id="43">
    <w:p w14:paraId="0702A449" w14:textId="32700845" w:rsidR="00310814" w:rsidRPr="00541E27" w:rsidRDefault="00310814">
      <w:pPr>
        <w:pStyle w:val="FootnoteText"/>
        <w:rPr>
          <w:sz w:val="18"/>
          <w:szCs w:val="18"/>
        </w:rPr>
      </w:pPr>
      <w:r w:rsidRPr="00541E27">
        <w:rPr>
          <w:rStyle w:val="FootnoteReference"/>
          <w:sz w:val="18"/>
          <w:szCs w:val="18"/>
        </w:rPr>
        <w:footnoteRef/>
      </w:r>
      <w:r w:rsidRPr="00541E27">
        <w:rPr>
          <w:sz w:val="18"/>
          <w:szCs w:val="18"/>
        </w:rPr>
        <w:t xml:space="preserve"> </w:t>
      </w:r>
      <w:r w:rsidR="00EB7D9B" w:rsidRPr="00541E27">
        <w:rPr>
          <w:sz w:val="18"/>
          <w:szCs w:val="18"/>
        </w:rPr>
        <w:t xml:space="preserve">M Baird, E Hill and S </w:t>
      </w:r>
      <w:r w:rsidR="00EB7D9B" w:rsidRPr="00541E27">
        <w:rPr>
          <w:sz w:val="18"/>
          <w:szCs w:val="18"/>
        </w:rPr>
        <w:t xml:space="preserve">Colussi, </w:t>
      </w:r>
      <w:hyperlink r:id="rId32" w:history="1">
        <w:r w:rsidR="006E033E" w:rsidRPr="00541E27">
          <w:rPr>
            <w:rStyle w:val="Hyperlink"/>
            <w:sz w:val="18"/>
            <w:szCs w:val="18"/>
          </w:rPr>
          <w:t>‘</w:t>
        </w:r>
        <w:r w:rsidR="00EB7D9B" w:rsidRPr="00541E27">
          <w:rPr>
            <w:rStyle w:val="Hyperlink"/>
            <w:sz w:val="18"/>
            <w:szCs w:val="18"/>
          </w:rPr>
          <w:t>Mapping Menstrual Leave Legislation and Policy Historically and Globally: A Labor Entitlement to Reinforce, Remedy, or Revolutionize Gender Equality at Work?</w:t>
        </w:r>
      </w:hyperlink>
      <w:r w:rsidR="006E033E" w:rsidRPr="00541E27">
        <w:rPr>
          <w:sz w:val="18"/>
          <w:szCs w:val="18"/>
        </w:rPr>
        <w:t>’</w:t>
      </w:r>
      <w:r w:rsidR="004B0591" w:rsidRPr="00541E27">
        <w:rPr>
          <w:sz w:val="18"/>
          <w:szCs w:val="18"/>
        </w:rPr>
        <w:t xml:space="preserve">, </w:t>
      </w:r>
      <w:r w:rsidR="00355C22" w:rsidRPr="00541E27">
        <w:rPr>
          <w:sz w:val="18"/>
          <w:szCs w:val="18"/>
        </w:rPr>
        <w:t>2021-2022</w:t>
      </w:r>
      <w:r w:rsidR="004B0591" w:rsidRPr="00541E27">
        <w:rPr>
          <w:sz w:val="18"/>
          <w:szCs w:val="18"/>
        </w:rPr>
        <w:t>,</w:t>
      </w:r>
      <w:r w:rsidR="00355C22" w:rsidRPr="00541E27">
        <w:rPr>
          <w:sz w:val="18"/>
          <w:szCs w:val="18"/>
        </w:rPr>
        <w:t xml:space="preserve"> 42 </w:t>
      </w:r>
      <w:r w:rsidR="00355C22" w:rsidRPr="00541E27">
        <w:rPr>
          <w:i/>
          <w:iCs/>
          <w:sz w:val="18"/>
          <w:szCs w:val="18"/>
        </w:rPr>
        <w:t>Comparative Labour Law and Policy Journal</w:t>
      </w:r>
      <w:r w:rsidR="00355C22" w:rsidRPr="00541E27">
        <w:rPr>
          <w:sz w:val="18"/>
          <w:szCs w:val="18"/>
        </w:rPr>
        <w:t xml:space="preserve"> 187, pp.</w:t>
      </w:r>
      <w:r w:rsidR="006E033E" w:rsidRPr="00541E27">
        <w:rPr>
          <w:sz w:val="18"/>
          <w:szCs w:val="18"/>
        </w:rPr>
        <w:t xml:space="preserve"> 187 </w:t>
      </w:r>
      <w:r w:rsidR="00F0308E" w:rsidRPr="00541E27">
        <w:rPr>
          <w:sz w:val="18"/>
          <w:szCs w:val="18"/>
        </w:rPr>
        <w:t>–</w:t>
      </w:r>
      <w:r w:rsidR="006E033E" w:rsidRPr="00541E27">
        <w:rPr>
          <w:sz w:val="18"/>
          <w:szCs w:val="18"/>
        </w:rPr>
        <w:t xml:space="preserve"> </w:t>
      </w:r>
      <w:r w:rsidR="0069473C" w:rsidRPr="00541E27">
        <w:rPr>
          <w:sz w:val="18"/>
          <w:szCs w:val="18"/>
        </w:rPr>
        <w:t>228</w:t>
      </w:r>
      <w:r w:rsidR="00F0308E" w:rsidRPr="00541E27">
        <w:rPr>
          <w:sz w:val="18"/>
          <w:szCs w:val="18"/>
        </w:rPr>
        <w:t xml:space="preserve">: C Bello and L Llach, </w:t>
      </w:r>
      <w:hyperlink r:id="rId33" w:history="1">
        <w:r w:rsidR="00F0308E" w:rsidRPr="00541E27">
          <w:rPr>
            <w:rStyle w:val="Hyperlink"/>
            <w:sz w:val="18"/>
            <w:szCs w:val="18"/>
          </w:rPr>
          <w:t>Painful periods? Spain just passed Europe’s first paid 'menstrual leave' law</w:t>
        </w:r>
      </w:hyperlink>
      <w:r w:rsidR="004B0591" w:rsidRPr="00541E27">
        <w:rPr>
          <w:sz w:val="18"/>
          <w:szCs w:val="18"/>
        </w:rPr>
        <w:t xml:space="preserve">, </w:t>
      </w:r>
      <w:r w:rsidR="00F0308E" w:rsidRPr="00541E27">
        <w:rPr>
          <w:sz w:val="18"/>
          <w:szCs w:val="18"/>
        </w:rPr>
        <w:t>25 February 2023</w:t>
      </w:r>
      <w:r w:rsidR="004B0591" w:rsidRPr="00541E27">
        <w:rPr>
          <w:sz w:val="18"/>
          <w:szCs w:val="18"/>
        </w:rPr>
        <w:t>,</w:t>
      </w:r>
      <w:r w:rsidR="00F0308E" w:rsidRPr="00541E27">
        <w:rPr>
          <w:sz w:val="18"/>
          <w:szCs w:val="18"/>
        </w:rPr>
        <w:t xml:space="preserve"> Euronews.net </w:t>
      </w:r>
      <w:r w:rsidR="004B0591" w:rsidRPr="00541E27">
        <w:rPr>
          <w:sz w:val="18"/>
          <w:szCs w:val="18"/>
        </w:rPr>
        <w:t>(</w:t>
      </w:r>
      <w:r w:rsidR="00F0308E" w:rsidRPr="00541E27">
        <w:rPr>
          <w:sz w:val="18"/>
          <w:szCs w:val="18"/>
        </w:rPr>
        <w:t>Online</w:t>
      </w:r>
      <w:r w:rsidR="004B0591" w:rsidRPr="00541E27">
        <w:rPr>
          <w:sz w:val="18"/>
          <w:szCs w:val="18"/>
        </w:rPr>
        <w:t>)</w:t>
      </w:r>
      <w:r w:rsidR="00F0308E" w:rsidRPr="00541E27">
        <w:rPr>
          <w:sz w:val="18"/>
          <w:szCs w:val="18"/>
        </w:rPr>
        <w:t>, accessed 4 April 2023</w:t>
      </w:r>
    </w:p>
  </w:footnote>
  <w:footnote w:id="44">
    <w:p w14:paraId="4CAA4092" w14:textId="412FE016" w:rsidR="00535595" w:rsidRPr="00541E27" w:rsidRDefault="00535595">
      <w:pPr>
        <w:pStyle w:val="FootnoteText"/>
        <w:rPr>
          <w:sz w:val="18"/>
          <w:szCs w:val="18"/>
        </w:rPr>
      </w:pPr>
      <w:r w:rsidRPr="00541E27">
        <w:rPr>
          <w:rStyle w:val="FootnoteReference"/>
          <w:sz w:val="18"/>
          <w:szCs w:val="18"/>
        </w:rPr>
        <w:footnoteRef/>
      </w:r>
      <w:r w:rsidRPr="00541E27">
        <w:rPr>
          <w:sz w:val="18"/>
          <w:szCs w:val="18"/>
        </w:rPr>
        <w:t xml:space="preserve"> Victorian Women’s Trust have</w:t>
      </w:r>
      <w:r w:rsidR="009621FC" w:rsidRPr="00541E27">
        <w:rPr>
          <w:sz w:val="18"/>
          <w:szCs w:val="18"/>
        </w:rPr>
        <w:t xml:space="preserve"> also developed a template menstrual and menopause wellbeing policy, </w:t>
      </w:r>
      <w:r w:rsidR="002202ED" w:rsidRPr="00541E27">
        <w:rPr>
          <w:sz w:val="18"/>
          <w:szCs w:val="18"/>
        </w:rPr>
        <w:t xml:space="preserve">which can be accessed here: </w:t>
      </w:r>
      <w:hyperlink r:id="rId34" w:history="1">
        <w:r w:rsidR="00325239" w:rsidRPr="00541E27">
          <w:rPr>
            <w:rStyle w:val="Hyperlink"/>
            <w:sz w:val="18"/>
            <w:szCs w:val="18"/>
          </w:rPr>
          <w:t>Menstrual and Menopause Wellbeing Policy - Victorian Women's Trust (vwt.org.au)</w:t>
        </w:r>
      </w:hyperlink>
    </w:p>
  </w:footnote>
  <w:footnote w:id="45">
    <w:p w14:paraId="5B6E6F4D" w14:textId="494BE3E7" w:rsidR="007C35D9" w:rsidRPr="0045221F" w:rsidRDefault="007C35D9">
      <w:pPr>
        <w:pStyle w:val="FootnoteText"/>
        <w:rPr>
          <w:sz w:val="18"/>
          <w:szCs w:val="18"/>
        </w:rPr>
      </w:pPr>
      <w:r w:rsidRPr="00541E27">
        <w:rPr>
          <w:rStyle w:val="FootnoteReference"/>
          <w:sz w:val="18"/>
          <w:szCs w:val="18"/>
        </w:rPr>
        <w:footnoteRef/>
      </w:r>
      <w:r w:rsidR="004B0591" w:rsidRPr="00541E27">
        <w:rPr>
          <w:sz w:val="18"/>
          <w:szCs w:val="18"/>
        </w:rPr>
        <w:t xml:space="preserve">A </w:t>
      </w:r>
      <w:r w:rsidR="004B0591" w:rsidRPr="00541E27">
        <w:rPr>
          <w:sz w:val="18"/>
          <w:szCs w:val="18"/>
        </w:rPr>
        <w:t>Tufvesson</w:t>
      </w:r>
      <w:r w:rsidR="004B0591" w:rsidRPr="00541E27">
        <w:rPr>
          <w:i/>
          <w:iCs/>
          <w:sz w:val="18"/>
          <w:szCs w:val="18"/>
        </w:rPr>
        <w:t xml:space="preserve">, </w:t>
      </w:r>
      <w:hyperlink r:id="rId35" w:history="1">
        <w:r w:rsidR="004B0591" w:rsidRPr="00541E27">
          <w:rPr>
            <w:rStyle w:val="Hyperlink"/>
            <w:i/>
            <w:iCs/>
            <w:sz w:val="18"/>
            <w:szCs w:val="18"/>
          </w:rPr>
          <w:t>Should law firms introduce menstrual leave?</w:t>
        </w:r>
      </w:hyperlink>
      <w:r w:rsidR="004B0591" w:rsidRPr="00541E27">
        <w:rPr>
          <w:rStyle w:val="Hyperlink"/>
          <w:i/>
          <w:iCs/>
          <w:sz w:val="18"/>
          <w:szCs w:val="18"/>
        </w:rPr>
        <w:t>,</w:t>
      </w:r>
      <w:r w:rsidR="004B0591" w:rsidRPr="00541E27">
        <w:rPr>
          <w:sz w:val="18"/>
          <w:szCs w:val="18"/>
        </w:rPr>
        <w:t xml:space="preserve"> 3 April 2022, Law Society of NSW Journal (Online), accessed 4 April 2023</w:t>
      </w:r>
    </w:p>
  </w:footnote>
  <w:footnote w:id="46">
    <w:p w14:paraId="77F1E353" w14:textId="71037F18" w:rsidR="00C21637" w:rsidRPr="00541E27" w:rsidRDefault="00C21637">
      <w:pPr>
        <w:pStyle w:val="FootnoteText"/>
        <w:rPr>
          <w:sz w:val="18"/>
          <w:szCs w:val="18"/>
        </w:rPr>
      </w:pPr>
      <w:r w:rsidRPr="00541E27">
        <w:rPr>
          <w:rStyle w:val="FootnoteReference"/>
          <w:sz w:val="18"/>
          <w:szCs w:val="18"/>
        </w:rPr>
        <w:footnoteRef/>
      </w:r>
      <w:r w:rsidRPr="00541E27">
        <w:rPr>
          <w:sz w:val="18"/>
          <w:szCs w:val="18"/>
        </w:rPr>
        <w:t xml:space="preserve"> </w:t>
      </w:r>
      <w:r w:rsidR="00BB5BEF" w:rsidRPr="00541E27">
        <w:rPr>
          <w:sz w:val="18"/>
          <w:szCs w:val="18"/>
        </w:rPr>
        <w:t>Ibid</w:t>
      </w:r>
    </w:p>
  </w:footnote>
  <w:footnote w:id="47">
    <w:p w14:paraId="22D89E02" w14:textId="1AD0CCAF" w:rsidR="00A82E2A" w:rsidRPr="00541E27" w:rsidRDefault="00A82E2A">
      <w:pPr>
        <w:pStyle w:val="FootnoteText"/>
        <w:rPr>
          <w:sz w:val="18"/>
          <w:szCs w:val="18"/>
        </w:rPr>
      </w:pPr>
      <w:r w:rsidRPr="00541E27">
        <w:rPr>
          <w:rStyle w:val="FootnoteReference"/>
          <w:sz w:val="18"/>
          <w:szCs w:val="18"/>
        </w:rPr>
        <w:footnoteRef/>
      </w:r>
      <w:r w:rsidRPr="00541E27">
        <w:rPr>
          <w:sz w:val="18"/>
          <w:szCs w:val="18"/>
        </w:rPr>
        <w:t xml:space="preserve"> </w:t>
      </w:r>
      <w:r w:rsidR="005E6A8C" w:rsidRPr="00541E27">
        <w:rPr>
          <w:sz w:val="18"/>
          <w:szCs w:val="18"/>
        </w:rPr>
        <w:t>A Kelsey-Sugg and M Tickle</w:t>
      </w:r>
      <w:r w:rsidR="00D6108B" w:rsidRPr="00541E27">
        <w:rPr>
          <w:sz w:val="18"/>
          <w:szCs w:val="18"/>
        </w:rPr>
        <w:t xml:space="preserve"> (This Working Life)</w:t>
      </w:r>
      <w:r w:rsidR="005E6A8C" w:rsidRPr="00541E27">
        <w:rPr>
          <w:sz w:val="18"/>
          <w:szCs w:val="18"/>
        </w:rPr>
        <w:t>,</w:t>
      </w:r>
      <w:r w:rsidR="00D6108B" w:rsidRPr="00541E27">
        <w:rPr>
          <w:sz w:val="18"/>
          <w:szCs w:val="18"/>
        </w:rPr>
        <w:t xml:space="preserve"> </w:t>
      </w:r>
      <w:r w:rsidR="005C31F4" w:rsidRPr="00541E27">
        <w:rPr>
          <w:sz w:val="18"/>
          <w:szCs w:val="18"/>
        </w:rPr>
        <w:t>‘</w:t>
      </w:r>
      <w:r w:rsidR="00D6108B" w:rsidRPr="00541E27">
        <w:rPr>
          <w:sz w:val="18"/>
          <w:szCs w:val="18"/>
        </w:rPr>
        <w:t xml:space="preserve">Menopause can make </w:t>
      </w:r>
      <w:r w:rsidR="00D6108B" w:rsidRPr="00541E27">
        <w:rPr>
          <w:sz w:val="18"/>
          <w:szCs w:val="18"/>
        </w:rPr>
        <w:t>everyday work a struggle. So why aren't we talking about it</w:t>
      </w:r>
      <w:r w:rsidR="005C31F4" w:rsidRPr="00541E27">
        <w:rPr>
          <w:sz w:val="18"/>
          <w:szCs w:val="18"/>
        </w:rPr>
        <w:t xml:space="preserve">?’, </w:t>
      </w:r>
      <w:r w:rsidR="00D6108B" w:rsidRPr="00541E27">
        <w:rPr>
          <w:sz w:val="18"/>
          <w:szCs w:val="18"/>
        </w:rPr>
        <w:t xml:space="preserve">29 March 2021, accessed 4 April 2023 </w:t>
      </w:r>
      <w:r w:rsidR="005E6A8C" w:rsidRPr="00541E27">
        <w:rPr>
          <w:sz w:val="18"/>
          <w:szCs w:val="18"/>
        </w:rPr>
        <w:t xml:space="preserve"> </w:t>
      </w:r>
    </w:p>
  </w:footnote>
  <w:footnote w:id="48">
    <w:p w14:paraId="6E2C618D" w14:textId="6FB8BE42" w:rsidR="00874A22" w:rsidRPr="00541E27" w:rsidRDefault="00874A22">
      <w:pPr>
        <w:pStyle w:val="FootnoteText"/>
        <w:rPr>
          <w:sz w:val="18"/>
          <w:szCs w:val="18"/>
        </w:rPr>
      </w:pPr>
      <w:r w:rsidRPr="00541E27">
        <w:rPr>
          <w:rStyle w:val="FootnoteReference"/>
          <w:sz w:val="18"/>
          <w:szCs w:val="18"/>
        </w:rPr>
        <w:footnoteRef/>
      </w:r>
      <w:r w:rsidRPr="00541E27">
        <w:rPr>
          <w:sz w:val="18"/>
          <w:szCs w:val="18"/>
        </w:rPr>
        <w:t xml:space="preserve"> </w:t>
      </w:r>
      <w:r w:rsidR="003C1E90" w:rsidRPr="00541E27">
        <w:rPr>
          <w:sz w:val="18"/>
          <w:szCs w:val="18"/>
        </w:rPr>
        <w:t xml:space="preserve">International research has shown that transgender adults are twice as likely as cisgender adults to be unemployed, earn 32% less than cisgender employees even where they have similar or higher education levels, and feel far less supported in their workplace than their cisgender colleagues: D </w:t>
      </w:r>
      <w:r w:rsidR="003C1E90" w:rsidRPr="00541E27">
        <w:rPr>
          <w:sz w:val="18"/>
          <w:szCs w:val="18"/>
        </w:rPr>
        <w:t>Baboolall and S Greenberg, ‘</w:t>
      </w:r>
      <w:hyperlink r:id="rId36" w:history="1">
        <w:r w:rsidR="003C1E90" w:rsidRPr="00541E27">
          <w:rPr>
            <w:rStyle w:val="Hyperlink"/>
            <w:sz w:val="18"/>
            <w:szCs w:val="18"/>
          </w:rPr>
          <w:t>Being transgender at work</w:t>
        </w:r>
      </w:hyperlink>
      <w:r w:rsidR="003C1E90" w:rsidRPr="00541E27">
        <w:rPr>
          <w:sz w:val="18"/>
          <w:szCs w:val="18"/>
        </w:rPr>
        <w:t>’, McKinsey Quarterly, 10 November 2021, McKinsey &amp; Company, accessed 4 April 2023; Kantar, DIVA,  and Stonewall, The Diva Survey - LGBT+ Women and Non-Binary People’s Insight 2021, 2021, accessed 4 April 2023</w:t>
      </w:r>
    </w:p>
  </w:footnote>
  <w:footnote w:id="49">
    <w:p w14:paraId="70B9F59D" w14:textId="30A174F8" w:rsidR="00A301C4" w:rsidRPr="00541E27" w:rsidRDefault="00A301C4">
      <w:pPr>
        <w:pStyle w:val="FootnoteText"/>
        <w:rPr>
          <w:sz w:val="18"/>
          <w:szCs w:val="18"/>
        </w:rPr>
      </w:pPr>
      <w:r w:rsidRPr="00541E27">
        <w:rPr>
          <w:rStyle w:val="FootnoteReference"/>
          <w:sz w:val="18"/>
          <w:szCs w:val="18"/>
        </w:rPr>
        <w:footnoteRef/>
      </w:r>
      <w:r w:rsidRPr="00541E27">
        <w:rPr>
          <w:sz w:val="18"/>
          <w:szCs w:val="18"/>
        </w:rPr>
        <w:t xml:space="preserve"> I note that the </w:t>
      </w:r>
      <w:hyperlink r:id="rId37" w:history="1">
        <w:r w:rsidRPr="00541E27">
          <w:rPr>
            <w:rStyle w:val="Hyperlink"/>
            <w:i/>
            <w:iCs/>
            <w:sz w:val="18"/>
            <w:szCs w:val="18"/>
          </w:rPr>
          <w:t>Victorian Public Se</w:t>
        </w:r>
        <w:r w:rsidR="0013584B" w:rsidRPr="00541E27">
          <w:rPr>
            <w:rStyle w:val="Hyperlink"/>
            <w:i/>
            <w:iCs/>
            <w:sz w:val="18"/>
            <w:szCs w:val="18"/>
          </w:rPr>
          <w:t>rvice</w:t>
        </w:r>
        <w:r w:rsidRPr="00541E27">
          <w:rPr>
            <w:rStyle w:val="Hyperlink"/>
            <w:i/>
            <w:iCs/>
            <w:sz w:val="18"/>
            <w:szCs w:val="18"/>
          </w:rPr>
          <w:t xml:space="preserve"> Enterprise Agreement 2020</w:t>
        </w:r>
      </w:hyperlink>
      <w:r w:rsidRPr="00541E27">
        <w:rPr>
          <w:sz w:val="18"/>
          <w:szCs w:val="18"/>
        </w:rPr>
        <w:t xml:space="preserve"> </w:t>
      </w:r>
      <w:r w:rsidR="0013584B" w:rsidRPr="00541E27">
        <w:rPr>
          <w:sz w:val="18"/>
          <w:szCs w:val="18"/>
        </w:rPr>
        <w:t xml:space="preserve">(which covers some, but not all, public sector employees in Victoria) </w:t>
      </w:r>
      <w:r w:rsidRPr="00541E27">
        <w:rPr>
          <w:sz w:val="18"/>
          <w:szCs w:val="18"/>
        </w:rPr>
        <w:t>also</w:t>
      </w:r>
      <w:r w:rsidR="00137A24" w:rsidRPr="00541E27">
        <w:rPr>
          <w:sz w:val="18"/>
          <w:szCs w:val="18"/>
        </w:rPr>
        <w:t xml:space="preserve"> contains an entitlement to</w:t>
      </w:r>
      <w:r w:rsidR="00FF59DF" w:rsidRPr="00541E27">
        <w:rPr>
          <w:sz w:val="18"/>
          <w:szCs w:val="18"/>
        </w:rPr>
        <w:t xml:space="preserve"> 4 weeks’ paid and </w:t>
      </w:r>
      <w:r w:rsidR="00CA1833" w:rsidRPr="00541E27">
        <w:rPr>
          <w:sz w:val="18"/>
          <w:szCs w:val="18"/>
        </w:rPr>
        <w:t>48 weeks’ unpaid</w:t>
      </w:r>
      <w:r w:rsidR="00137A24" w:rsidRPr="00541E27">
        <w:rPr>
          <w:sz w:val="18"/>
          <w:szCs w:val="18"/>
        </w:rPr>
        <w:t xml:space="preserve"> gender transition leave</w:t>
      </w:r>
      <w:r w:rsidR="00CA1833" w:rsidRPr="00541E27">
        <w:rPr>
          <w:sz w:val="18"/>
          <w:szCs w:val="18"/>
        </w:rPr>
        <w:t>: see cl. 58</w:t>
      </w:r>
    </w:p>
  </w:footnote>
  <w:footnote w:id="50">
    <w:p w14:paraId="3CFD2E07" w14:textId="3680E748" w:rsidR="00866746" w:rsidRPr="0045221F" w:rsidRDefault="00866746" w:rsidP="00AF06CA">
      <w:pPr>
        <w:pStyle w:val="FootnoteText"/>
        <w:rPr>
          <w:sz w:val="18"/>
          <w:szCs w:val="18"/>
        </w:rPr>
      </w:pPr>
      <w:r w:rsidRPr="00541E27">
        <w:rPr>
          <w:rStyle w:val="FootnoteReference"/>
          <w:sz w:val="18"/>
          <w:szCs w:val="18"/>
        </w:rPr>
        <w:footnoteRef/>
      </w:r>
      <w:r w:rsidRPr="00541E27">
        <w:rPr>
          <w:sz w:val="18"/>
          <w:szCs w:val="18"/>
        </w:rPr>
        <w:t xml:space="preserve"> </w:t>
      </w:r>
      <w:r w:rsidR="005849EE" w:rsidRPr="00541E27">
        <w:rPr>
          <w:sz w:val="18"/>
          <w:szCs w:val="18"/>
        </w:rPr>
        <w:t xml:space="preserve">A Silva, </w:t>
      </w:r>
      <w:r w:rsidR="005C31F4" w:rsidRPr="00541E27">
        <w:rPr>
          <w:sz w:val="18"/>
          <w:szCs w:val="18"/>
        </w:rPr>
        <w:t>‘</w:t>
      </w:r>
      <w:hyperlink r:id="rId38" w:history="1">
        <w:r w:rsidR="007A7B9F" w:rsidRPr="00541E27">
          <w:rPr>
            <w:rStyle w:val="Hyperlink"/>
            <w:sz w:val="18"/>
            <w:szCs w:val="18"/>
          </w:rPr>
          <w:t>ANZ introduces paid gender affirmation leave. What is it and what other types of leave are there?</w:t>
        </w:r>
      </w:hyperlink>
      <w:r w:rsidR="005C31F4" w:rsidRPr="00541E27">
        <w:rPr>
          <w:sz w:val="18"/>
          <w:szCs w:val="18"/>
        </w:rPr>
        <w:t xml:space="preserve">’, </w:t>
      </w:r>
      <w:r w:rsidR="007A7B9F" w:rsidRPr="00541E27">
        <w:rPr>
          <w:sz w:val="18"/>
          <w:szCs w:val="18"/>
        </w:rPr>
        <w:t xml:space="preserve">ABC </w:t>
      </w:r>
      <w:r w:rsidR="005C31F4" w:rsidRPr="00541E27">
        <w:rPr>
          <w:sz w:val="18"/>
          <w:szCs w:val="18"/>
        </w:rPr>
        <w:t>News (</w:t>
      </w:r>
      <w:r w:rsidR="007A7B9F" w:rsidRPr="00541E27">
        <w:rPr>
          <w:sz w:val="18"/>
          <w:szCs w:val="18"/>
        </w:rPr>
        <w:t>Online</w:t>
      </w:r>
      <w:r w:rsidR="005C31F4" w:rsidRPr="00541E27">
        <w:rPr>
          <w:sz w:val="18"/>
          <w:szCs w:val="18"/>
        </w:rPr>
        <w:t>)</w:t>
      </w:r>
      <w:r w:rsidR="007A7B9F" w:rsidRPr="00541E27">
        <w:rPr>
          <w:sz w:val="18"/>
          <w:szCs w:val="18"/>
        </w:rPr>
        <w:t xml:space="preserve">, </w:t>
      </w:r>
      <w:r w:rsidR="00B237BD" w:rsidRPr="00541E27">
        <w:rPr>
          <w:sz w:val="18"/>
          <w:szCs w:val="18"/>
        </w:rPr>
        <w:t xml:space="preserve">7 June 2022, </w:t>
      </w:r>
      <w:r w:rsidR="007A7B9F" w:rsidRPr="00541E27">
        <w:rPr>
          <w:sz w:val="18"/>
          <w:szCs w:val="18"/>
        </w:rPr>
        <w:t>accessed 4 April 2023</w:t>
      </w:r>
    </w:p>
  </w:footnote>
  <w:footnote w:id="51">
    <w:p w14:paraId="62D084DA" w14:textId="7C903B8F" w:rsidR="008518D8" w:rsidRPr="00541E27" w:rsidRDefault="008518D8" w:rsidP="008518D8">
      <w:pPr>
        <w:pStyle w:val="FootnoteText"/>
        <w:rPr>
          <w:sz w:val="18"/>
          <w:szCs w:val="18"/>
        </w:rPr>
      </w:pPr>
      <w:r w:rsidRPr="00541E27">
        <w:rPr>
          <w:rStyle w:val="FootnoteReference"/>
          <w:sz w:val="18"/>
          <w:szCs w:val="18"/>
        </w:rPr>
        <w:footnoteRef/>
      </w:r>
      <w:r w:rsidRPr="00541E27">
        <w:rPr>
          <w:sz w:val="18"/>
          <w:szCs w:val="18"/>
        </w:rPr>
        <w:t xml:space="preserve"> </w:t>
      </w:r>
      <w:bookmarkStart w:id="4" w:name="_Hlk131520291"/>
      <w:r w:rsidRPr="00541E27">
        <w:rPr>
          <w:rFonts w:cs="Segoe UI"/>
          <w:color w:val="000000"/>
          <w:sz w:val="18"/>
          <w:szCs w:val="18"/>
        </w:rPr>
        <w:t xml:space="preserve">Deloitte, </w:t>
      </w:r>
      <w:hyperlink r:id="rId39" w:history="1">
        <w:r w:rsidRPr="00541E27">
          <w:rPr>
            <w:rStyle w:val="Hyperlink"/>
            <w:rFonts w:cs="Segoe UI"/>
            <w:sz w:val="18"/>
            <w:szCs w:val="18"/>
          </w:rPr>
          <w:t>The Value of Informal Care in 2020</w:t>
        </w:r>
      </w:hyperlink>
      <w:r w:rsidR="00B237BD" w:rsidRPr="00541E27">
        <w:rPr>
          <w:rFonts w:cs="Segoe UI"/>
          <w:color w:val="000000"/>
          <w:sz w:val="18"/>
          <w:szCs w:val="18"/>
        </w:rPr>
        <w:t xml:space="preserve">, </w:t>
      </w:r>
      <w:r w:rsidRPr="00541E27">
        <w:rPr>
          <w:rFonts w:cs="Segoe UI"/>
          <w:color w:val="000000"/>
          <w:sz w:val="18"/>
          <w:szCs w:val="18"/>
        </w:rPr>
        <w:t>May 2020, 15 February 2021, p. 7, accessed 4 April 2023</w:t>
      </w:r>
      <w:bookmarkEnd w:id="4"/>
    </w:p>
  </w:footnote>
  <w:footnote w:id="52">
    <w:p w14:paraId="15AC92C9" w14:textId="3903B4B0" w:rsidR="006C6887" w:rsidRPr="00541E27" w:rsidRDefault="006C6887">
      <w:pPr>
        <w:pStyle w:val="FootnoteText"/>
        <w:rPr>
          <w:sz w:val="18"/>
          <w:szCs w:val="18"/>
        </w:rPr>
      </w:pPr>
      <w:r w:rsidRPr="00541E27">
        <w:rPr>
          <w:rStyle w:val="FootnoteReference"/>
          <w:sz w:val="18"/>
          <w:szCs w:val="18"/>
        </w:rPr>
        <w:footnoteRef/>
      </w:r>
      <w:r w:rsidRPr="00541E27">
        <w:rPr>
          <w:sz w:val="18"/>
          <w:szCs w:val="18"/>
        </w:rPr>
        <w:t xml:space="preserve"> Ibid, p. v</w:t>
      </w:r>
    </w:p>
  </w:footnote>
  <w:footnote w:id="53">
    <w:p w14:paraId="648EFE20" w14:textId="4D7C76BE" w:rsidR="00803FE5" w:rsidRPr="00541E27" w:rsidRDefault="00803FE5">
      <w:pPr>
        <w:pStyle w:val="FootnoteText"/>
        <w:rPr>
          <w:sz w:val="18"/>
          <w:szCs w:val="18"/>
        </w:rPr>
      </w:pPr>
      <w:r w:rsidRPr="00541E27">
        <w:rPr>
          <w:rStyle w:val="FootnoteReference"/>
          <w:sz w:val="18"/>
          <w:szCs w:val="18"/>
        </w:rPr>
        <w:footnoteRef/>
      </w:r>
      <w:r w:rsidRPr="00541E27">
        <w:rPr>
          <w:sz w:val="18"/>
          <w:szCs w:val="18"/>
        </w:rPr>
        <w:t xml:space="preserve"> </w:t>
      </w:r>
      <w:r w:rsidR="00B237BD" w:rsidRPr="00541E27">
        <w:rPr>
          <w:rFonts w:cs="Segoe UI"/>
          <w:color w:val="000000"/>
          <w:sz w:val="18"/>
          <w:szCs w:val="18"/>
        </w:rPr>
        <w:t>Ibid, p. 36</w:t>
      </w:r>
    </w:p>
  </w:footnote>
  <w:footnote w:id="54">
    <w:p w14:paraId="554C34EF" w14:textId="0C67AD85" w:rsidR="007E3860" w:rsidRPr="00BA2F95" w:rsidRDefault="007E3860" w:rsidP="007E3860">
      <w:pPr>
        <w:pStyle w:val="FootnoteText"/>
        <w:rPr>
          <w:sz w:val="18"/>
          <w:szCs w:val="18"/>
        </w:rPr>
      </w:pPr>
      <w:r w:rsidRPr="00541E27">
        <w:rPr>
          <w:rStyle w:val="FootnoteReference"/>
          <w:sz w:val="18"/>
          <w:szCs w:val="18"/>
        </w:rPr>
        <w:footnoteRef/>
      </w:r>
      <w:r w:rsidRPr="00541E27">
        <w:rPr>
          <w:sz w:val="18"/>
          <w:szCs w:val="18"/>
        </w:rPr>
        <w:t xml:space="preserve">  Commonwealth of Australia, </w:t>
      </w:r>
      <w:hyperlink r:id="rId40" w:history="1">
        <w:r w:rsidRPr="00541E27">
          <w:rPr>
            <w:rStyle w:val="Hyperlink"/>
            <w:sz w:val="18"/>
            <w:szCs w:val="18"/>
          </w:rPr>
          <w:t>Royal Commission into Aged Care Quality and Safety: Research Paper 2 - Review of International Systems of Long-term Care for Older People</w:t>
        </w:r>
      </w:hyperlink>
      <w:r w:rsidR="00B237BD" w:rsidRPr="00541E27">
        <w:rPr>
          <w:sz w:val="18"/>
          <w:szCs w:val="18"/>
        </w:rPr>
        <w:t>, 2</w:t>
      </w:r>
      <w:r w:rsidRPr="00541E27">
        <w:rPr>
          <w:sz w:val="18"/>
          <w:szCs w:val="18"/>
        </w:rPr>
        <w:t>4 January 2020, accessed 4 April 2023</w:t>
      </w:r>
    </w:p>
  </w:footnote>
  <w:footnote w:id="55">
    <w:p w14:paraId="655F548E" w14:textId="67E5B069" w:rsidR="00CF5481" w:rsidRPr="00541E27" w:rsidRDefault="00CF5481">
      <w:pPr>
        <w:pStyle w:val="FootnoteText"/>
        <w:rPr>
          <w:sz w:val="18"/>
          <w:szCs w:val="18"/>
        </w:rPr>
      </w:pPr>
      <w:r w:rsidRPr="00541E27">
        <w:rPr>
          <w:rStyle w:val="FootnoteReference"/>
          <w:sz w:val="18"/>
          <w:szCs w:val="18"/>
        </w:rPr>
        <w:footnoteRef/>
      </w:r>
      <w:r w:rsidRPr="00541E27">
        <w:rPr>
          <w:sz w:val="18"/>
          <w:szCs w:val="18"/>
        </w:rPr>
        <w:t xml:space="preserve"> </w:t>
      </w:r>
      <w:r w:rsidR="009A4F24" w:rsidRPr="00541E27">
        <w:rPr>
          <w:sz w:val="18"/>
          <w:szCs w:val="18"/>
        </w:rPr>
        <w:t xml:space="preserve">R </w:t>
      </w:r>
      <w:r w:rsidR="009A4F24" w:rsidRPr="00541E27">
        <w:rPr>
          <w:sz w:val="18"/>
          <w:szCs w:val="18"/>
        </w:rPr>
        <w:t xml:space="preserve">Khatter, </w:t>
      </w:r>
      <w:r w:rsidR="00F747B3" w:rsidRPr="00541E27">
        <w:rPr>
          <w:sz w:val="18"/>
          <w:szCs w:val="18"/>
        </w:rPr>
        <w:t>‘</w:t>
      </w:r>
      <w:hyperlink r:id="rId41" w:history="1">
        <w:r w:rsidR="00793BA8" w:rsidRPr="00541E27">
          <w:rPr>
            <w:rStyle w:val="Hyperlink"/>
            <w:sz w:val="18"/>
            <w:szCs w:val="18"/>
          </w:rPr>
          <w:t>Chapter 2: Promoting equal pay for work of equal value’</w:t>
        </w:r>
      </w:hyperlink>
      <w:r w:rsidR="00FA7DC0" w:rsidRPr="00541E27">
        <w:rPr>
          <w:sz w:val="18"/>
          <w:szCs w:val="18"/>
        </w:rPr>
        <w:t xml:space="preserve"> in OECD, Pay Transparency Tools to Close the Gender Wage Gap</w:t>
      </w:r>
      <w:r w:rsidR="00B237BD" w:rsidRPr="00541E27">
        <w:rPr>
          <w:sz w:val="18"/>
          <w:szCs w:val="18"/>
        </w:rPr>
        <w:t xml:space="preserve">, </w:t>
      </w:r>
      <w:r w:rsidR="00462662" w:rsidRPr="00541E27">
        <w:rPr>
          <w:sz w:val="18"/>
          <w:szCs w:val="18"/>
        </w:rPr>
        <w:t xml:space="preserve">30 November 2021, accessed 4 April 2023, </w:t>
      </w:r>
      <w:hyperlink r:id="rId42" w:history="1">
        <w:r w:rsidR="00712C4E" w:rsidRPr="00541E27">
          <w:rPr>
            <w:rStyle w:val="Hyperlink"/>
            <w:sz w:val="18"/>
            <w:szCs w:val="18"/>
          </w:rPr>
          <w:t>https://doi.org/10.1787/eba5b91d-en</w:t>
        </w:r>
      </w:hyperlink>
    </w:p>
  </w:footnote>
  <w:footnote w:id="56">
    <w:p w14:paraId="04CD8B21" w14:textId="16E411DD" w:rsidR="00C521BB" w:rsidRPr="00541E27" w:rsidRDefault="00C521BB">
      <w:pPr>
        <w:pStyle w:val="FootnoteText"/>
        <w:rPr>
          <w:sz w:val="18"/>
          <w:szCs w:val="18"/>
        </w:rPr>
      </w:pPr>
      <w:r w:rsidRPr="00541E27">
        <w:rPr>
          <w:rStyle w:val="FootnoteReference"/>
          <w:sz w:val="18"/>
          <w:szCs w:val="18"/>
        </w:rPr>
        <w:footnoteRef/>
      </w:r>
      <w:r w:rsidRPr="00541E27">
        <w:rPr>
          <w:sz w:val="18"/>
          <w:szCs w:val="18"/>
        </w:rPr>
        <w:t xml:space="preserve"> </w:t>
      </w:r>
      <w:r w:rsidR="00873061" w:rsidRPr="00541E27">
        <w:rPr>
          <w:sz w:val="18"/>
          <w:szCs w:val="18"/>
        </w:rPr>
        <w:t>KPMG, She’s Price(d)less: The economics of the gender pay gap, KPMG, 2022, accessed 14 April 2023</w:t>
      </w:r>
    </w:p>
  </w:footnote>
  <w:footnote w:id="57">
    <w:p w14:paraId="696B071B" w14:textId="511C17F3" w:rsidR="007B665D" w:rsidRPr="00541E27" w:rsidRDefault="007B665D">
      <w:pPr>
        <w:pStyle w:val="FootnoteText"/>
        <w:rPr>
          <w:sz w:val="18"/>
          <w:szCs w:val="18"/>
        </w:rPr>
      </w:pPr>
      <w:r w:rsidRPr="00541E27">
        <w:rPr>
          <w:rStyle w:val="FootnoteReference"/>
          <w:sz w:val="18"/>
          <w:szCs w:val="18"/>
        </w:rPr>
        <w:footnoteRef/>
      </w:r>
      <w:r w:rsidRPr="00541E27">
        <w:rPr>
          <w:sz w:val="18"/>
          <w:szCs w:val="18"/>
        </w:rPr>
        <w:t xml:space="preserve"> </w:t>
      </w:r>
      <w:r w:rsidR="00EC5439" w:rsidRPr="00541E27">
        <w:rPr>
          <w:sz w:val="18"/>
          <w:szCs w:val="18"/>
        </w:rPr>
        <w:t xml:space="preserve">KPMG, </w:t>
      </w:r>
      <w:hyperlink r:id="rId43" w:history="1">
        <w:r w:rsidR="00EC5439" w:rsidRPr="00541E27">
          <w:rPr>
            <w:rStyle w:val="Hyperlink"/>
            <w:sz w:val="18"/>
            <w:szCs w:val="18"/>
          </w:rPr>
          <w:t>Towards a more equal sharing of work</w:t>
        </w:r>
      </w:hyperlink>
      <w:r w:rsidR="00EC5439" w:rsidRPr="00541E27">
        <w:rPr>
          <w:sz w:val="18"/>
          <w:szCs w:val="18"/>
        </w:rPr>
        <w:t xml:space="preserve">, KPMG, May 2021; The Treasury, </w:t>
      </w:r>
      <w:hyperlink r:id="rId44" w:history="1">
        <w:r w:rsidR="00EC5439" w:rsidRPr="00541E27">
          <w:rPr>
            <w:rStyle w:val="Hyperlink"/>
            <w:sz w:val="18"/>
            <w:szCs w:val="18"/>
          </w:rPr>
          <w:t>Retirement Income Review: Final Report</w:t>
        </w:r>
      </w:hyperlink>
      <w:r w:rsidR="00EC5439" w:rsidRPr="00541E27">
        <w:rPr>
          <w:sz w:val="18"/>
          <w:szCs w:val="18"/>
        </w:rPr>
        <w:t>, Australian Government, July 2020, pp 262–263</w:t>
      </w:r>
    </w:p>
  </w:footnote>
  <w:footnote w:id="58">
    <w:p w14:paraId="63DCF9BA" w14:textId="67F7EF23" w:rsidR="00DD12CD" w:rsidRPr="003B7BC4" w:rsidRDefault="00DD12CD">
      <w:pPr>
        <w:pStyle w:val="FootnoteText"/>
        <w:rPr>
          <w:sz w:val="18"/>
          <w:szCs w:val="18"/>
        </w:rPr>
      </w:pPr>
      <w:r w:rsidRPr="00541E27">
        <w:rPr>
          <w:rStyle w:val="FootnoteReference"/>
          <w:sz w:val="18"/>
          <w:szCs w:val="18"/>
        </w:rPr>
        <w:footnoteRef/>
      </w:r>
      <w:r w:rsidRPr="00541E27">
        <w:rPr>
          <w:sz w:val="18"/>
          <w:szCs w:val="18"/>
        </w:rPr>
        <w:t xml:space="preserve"> </w:t>
      </w:r>
      <w:r w:rsidR="00015062" w:rsidRPr="00541E27">
        <w:rPr>
          <w:sz w:val="18"/>
          <w:szCs w:val="18"/>
        </w:rPr>
        <w:t>KPMG, Towards a more equal sharing of work, p.14. Voluntary contributions play a role in closing the superannuation gap at retirement age as, on average, women aged 55-64 make significantly larger voluntary contributions to their super than men: The Treasury, Retirement Income Review: Final Report, p. 272</w:t>
      </w:r>
    </w:p>
  </w:footnote>
  <w:footnote w:id="59">
    <w:p w14:paraId="5556B1EE" w14:textId="77777777" w:rsidR="00596659" w:rsidRPr="003B7BC4" w:rsidRDefault="00596659" w:rsidP="00596659">
      <w:pPr>
        <w:pStyle w:val="FootnoteText"/>
        <w:rPr>
          <w:sz w:val="18"/>
          <w:szCs w:val="18"/>
        </w:rPr>
      </w:pPr>
      <w:r w:rsidRPr="003B7BC4">
        <w:rPr>
          <w:rStyle w:val="FootnoteReference"/>
          <w:sz w:val="18"/>
          <w:szCs w:val="18"/>
        </w:rPr>
        <w:footnoteRef/>
      </w:r>
      <w:r w:rsidRPr="003B7BC4">
        <w:rPr>
          <w:sz w:val="18"/>
          <w:szCs w:val="18"/>
        </w:rPr>
        <w:t xml:space="preserve"> The Treasury, Retirement Income Review: Final Report, p. 257</w:t>
      </w:r>
    </w:p>
  </w:footnote>
  <w:footnote w:id="60">
    <w:p w14:paraId="03F3C407" w14:textId="1AF57C77" w:rsidR="00DD12CD" w:rsidRDefault="00DD12CD">
      <w:pPr>
        <w:pStyle w:val="FootnoteText"/>
      </w:pPr>
      <w:r w:rsidRPr="003B7BC4">
        <w:rPr>
          <w:rStyle w:val="FootnoteReference"/>
          <w:sz w:val="18"/>
          <w:szCs w:val="18"/>
        </w:rPr>
        <w:footnoteRef/>
      </w:r>
      <w:r w:rsidRPr="003B7BC4">
        <w:rPr>
          <w:sz w:val="18"/>
          <w:szCs w:val="18"/>
        </w:rPr>
        <w:t xml:space="preserve"> </w:t>
      </w:r>
      <w:r w:rsidR="000E59AE" w:rsidRPr="003B7BC4">
        <w:rPr>
          <w:sz w:val="18"/>
          <w:szCs w:val="18"/>
        </w:rPr>
        <w:t>Ibid</w:t>
      </w:r>
    </w:p>
  </w:footnote>
  <w:footnote w:id="61">
    <w:p w14:paraId="59D9CA80" w14:textId="4D2A8D97" w:rsidR="006B45FA" w:rsidRPr="005833B6" w:rsidRDefault="006B45FA">
      <w:pPr>
        <w:pStyle w:val="FootnoteText"/>
        <w:rPr>
          <w:sz w:val="18"/>
          <w:szCs w:val="18"/>
        </w:rPr>
      </w:pPr>
      <w:r w:rsidRPr="005833B6">
        <w:rPr>
          <w:rStyle w:val="FootnoteReference"/>
          <w:sz w:val="18"/>
          <w:szCs w:val="18"/>
        </w:rPr>
        <w:footnoteRef/>
      </w:r>
      <w:r w:rsidRPr="005833B6">
        <w:rPr>
          <w:sz w:val="18"/>
          <w:szCs w:val="18"/>
        </w:rPr>
        <w:t xml:space="preserve"> </w:t>
      </w:r>
      <w:r w:rsidR="00DB2795" w:rsidRPr="005833B6">
        <w:rPr>
          <w:sz w:val="18"/>
          <w:szCs w:val="18"/>
        </w:rPr>
        <w:t>D Hetherington and W Smith, ‘</w:t>
      </w:r>
      <w:hyperlink r:id="rId45" w:history="1">
        <w:r w:rsidR="00DB2795" w:rsidRPr="005833B6">
          <w:rPr>
            <w:rStyle w:val="Hyperlink"/>
            <w:sz w:val="18"/>
            <w:szCs w:val="18"/>
          </w:rPr>
          <w:t xml:space="preserve">Not So Super, For Women: </w:t>
        </w:r>
        <w:r w:rsidR="009E15F8" w:rsidRPr="005833B6">
          <w:rPr>
            <w:rStyle w:val="Hyperlink"/>
            <w:sz w:val="18"/>
            <w:szCs w:val="18"/>
          </w:rPr>
          <w:t>Super</w:t>
        </w:r>
        <w:r w:rsidR="00115227" w:rsidRPr="005833B6">
          <w:rPr>
            <w:rStyle w:val="Hyperlink"/>
            <w:sz w:val="18"/>
            <w:szCs w:val="18"/>
          </w:rPr>
          <w:t>annuation and Women’s Retirement</w:t>
        </w:r>
        <w:r w:rsidR="00026CEF" w:rsidRPr="005833B6">
          <w:rPr>
            <w:rStyle w:val="Hyperlink"/>
            <w:sz w:val="18"/>
            <w:szCs w:val="18"/>
          </w:rPr>
          <w:t xml:space="preserve"> Outcomes</w:t>
        </w:r>
      </w:hyperlink>
      <w:r w:rsidR="00026CEF" w:rsidRPr="005833B6">
        <w:rPr>
          <w:sz w:val="18"/>
          <w:szCs w:val="18"/>
        </w:rPr>
        <w:t xml:space="preserve">’, </w:t>
      </w:r>
      <w:r w:rsidR="00026CEF" w:rsidRPr="005833B6">
        <w:rPr>
          <w:sz w:val="18"/>
          <w:szCs w:val="18"/>
        </w:rPr>
        <w:t xml:space="preserve">PerCapita and Australian Services Union, </w:t>
      </w:r>
      <w:r w:rsidR="00BC0AA6" w:rsidRPr="005833B6">
        <w:rPr>
          <w:sz w:val="18"/>
          <w:szCs w:val="18"/>
        </w:rPr>
        <w:t>July 2017</w:t>
      </w:r>
      <w:r w:rsidR="00374739" w:rsidRPr="005833B6">
        <w:rPr>
          <w:sz w:val="18"/>
          <w:szCs w:val="18"/>
        </w:rPr>
        <w:t>, accessed 19 April 2023</w:t>
      </w:r>
    </w:p>
  </w:footnote>
  <w:footnote w:id="62">
    <w:p w14:paraId="3CB022D4" w14:textId="77ADCF74" w:rsidR="004011E9" w:rsidRPr="00541E27" w:rsidRDefault="004011E9" w:rsidP="004011E9">
      <w:pPr>
        <w:pStyle w:val="FootnoteText"/>
        <w:rPr>
          <w:sz w:val="18"/>
          <w:szCs w:val="18"/>
        </w:rPr>
      </w:pPr>
      <w:r w:rsidRPr="00541E27">
        <w:rPr>
          <w:rStyle w:val="FootnoteReference"/>
          <w:sz w:val="18"/>
          <w:szCs w:val="18"/>
        </w:rPr>
        <w:footnoteRef/>
      </w:r>
      <w:r w:rsidRPr="00541E27">
        <w:rPr>
          <w:sz w:val="18"/>
          <w:szCs w:val="18"/>
        </w:rPr>
        <w:t xml:space="preserve"> P V </w:t>
      </w:r>
      <w:r w:rsidRPr="00541E27">
        <w:rPr>
          <w:sz w:val="18"/>
          <w:szCs w:val="18"/>
        </w:rPr>
        <w:t>Ovseiko,</w:t>
      </w:r>
      <w:r w:rsidR="004D1E1B" w:rsidRPr="00541E27">
        <w:rPr>
          <w:sz w:val="18"/>
          <w:szCs w:val="18"/>
        </w:rPr>
        <w:t xml:space="preserve"> </w:t>
      </w:r>
      <w:r w:rsidRPr="00541E27">
        <w:rPr>
          <w:sz w:val="18"/>
          <w:szCs w:val="18"/>
        </w:rPr>
        <w:t xml:space="preserve">T Greenhalgh, P Adam et al, </w:t>
      </w:r>
      <w:r w:rsidRPr="00541E27">
        <w:rPr>
          <w:rFonts w:cs="Cambria"/>
          <w:sz w:val="18"/>
          <w:szCs w:val="18"/>
        </w:rPr>
        <w:t>‘</w:t>
      </w:r>
      <w:hyperlink r:id="rId46" w:anchor="citeas" w:history="1">
        <w:r w:rsidRPr="00541E27">
          <w:rPr>
            <w:rStyle w:val="Hyperlink"/>
            <w:sz w:val="18"/>
            <w:szCs w:val="18"/>
          </w:rPr>
          <w:t>A global call for action to include gender in research impact assessment</w:t>
        </w:r>
      </w:hyperlink>
      <w:r w:rsidRPr="00541E27">
        <w:rPr>
          <w:sz w:val="18"/>
          <w:szCs w:val="18"/>
        </w:rPr>
        <w:t>’</w:t>
      </w:r>
      <w:r w:rsidR="004D1E1B" w:rsidRPr="00541E27">
        <w:rPr>
          <w:sz w:val="18"/>
          <w:szCs w:val="18"/>
        </w:rPr>
        <w:t xml:space="preserve">, </w:t>
      </w:r>
      <w:r w:rsidRPr="00541E27">
        <w:rPr>
          <w:sz w:val="18"/>
          <w:szCs w:val="18"/>
        </w:rPr>
        <w:t>2016</w:t>
      </w:r>
      <w:r w:rsidR="004D1E1B" w:rsidRPr="00541E27">
        <w:rPr>
          <w:sz w:val="18"/>
          <w:szCs w:val="18"/>
        </w:rPr>
        <w:t>,</w:t>
      </w:r>
      <w:r w:rsidRPr="00541E27">
        <w:rPr>
          <w:sz w:val="18"/>
          <w:szCs w:val="18"/>
        </w:rPr>
        <w:t xml:space="preserve"> 14</w:t>
      </w:r>
      <w:r w:rsidRPr="00541E27">
        <w:rPr>
          <w:rFonts w:ascii="Cambria" w:hAnsi="Cambria" w:cs="Cambria"/>
          <w:sz w:val="18"/>
          <w:szCs w:val="18"/>
        </w:rPr>
        <w:t> </w:t>
      </w:r>
      <w:r w:rsidRPr="00541E27">
        <w:rPr>
          <w:i/>
          <w:iCs/>
          <w:sz w:val="18"/>
          <w:szCs w:val="18"/>
        </w:rPr>
        <w:t>Health Research Policy and Systems</w:t>
      </w:r>
      <w:r w:rsidRPr="00541E27">
        <w:rPr>
          <w:sz w:val="18"/>
          <w:szCs w:val="18"/>
        </w:rPr>
        <w:t xml:space="preserve"> 50, accessed 5 April 2023, https://doi.org/10.1186/s12961-016-0126-z</w:t>
      </w:r>
    </w:p>
  </w:footnote>
  <w:footnote w:id="63">
    <w:p w14:paraId="7D994EF3" w14:textId="39B24CD7" w:rsidR="00F6668F" w:rsidRPr="00541E27" w:rsidRDefault="00F6668F" w:rsidP="00F6668F">
      <w:pPr>
        <w:pStyle w:val="FootnoteText"/>
        <w:rPr>
          <w:sz w:val="18"/>
          <w:szCs w:val="18"/>
        </w:rPr>
      </w:pPr>
      <w:r w:rsidRPr="00541E27">
        <w:rPr>
          <w:rStyle w:val="FootnoteReference"/>
          <w:sz w:val="18"/>
          <w:szCs w:val="18"/>
        </w:rPr>
        <w:footnoteRef/>
      </w:r>
      <w:r w:rsidRPr="00541E27">
        <w:rPr>
          <w:sz w:val="18"/>
          <w:szCs w:val="18"/>
        </w:rPr>
        <w:t xml:space="preserve"> Diversity Council Australia, ‘</w:t>
      </w:r>
      <w:hyperlink r:id="rId47" w:history="1">
        <w:r w:rsidRPr="00541E27">
          <w:rPr>
            <w:rStyle w:val="Hyperlink"/>
            <w:sz w:val="18"/>
            <w:szCs w:val="18"/>
          </w:rPr>
          <w:t>The motherhood penalty: Why mothers face the widest gender pay gap</w:t>
        </w:r>
      </w:hyperlink>
      <w:r w:rsidRPr="00541E27">
        <w:rPr>
          <w:sz w:val="18"/>
          <w:szCs w:val="18"/>
        </w:rPr>
        <w:t>’, Media release</w:t>
      </w:r>
      <w:r w:rsidR="004D1E1B" w:rsidRPr="00541E27">
        <w:rPr>
          <w:sz w:val="18"/>
          <w:szCs w:val="18"/>
        </w:rPr>
        <w:t xml:space="preserve">, </w:t>
      </w:r>
      <w:r w:rsidRPr="00541E27">
        <w:rPr>
          <w:sz w:val="18"/>
          <w:szCs w:val="18"/>
        </w:rPr>
        <w:t>1 September 2014</w:t>
      </w:r>
      <w:r w:rsidR="004D1E1B" w:rsidRPr="00541E27">
        <w:rPr>
          <w:sz w:val="18"/>
          <w:szCs w:val="18"/>
        </w:rPr>
        <w:t>,</w:t>
      </w:r>
      <w:r w:rsidRPr="00541E27">
        <w:rPr>
          <w:sz w:val="18"/>
          <w:szCs w:val="18"/>
        </w:rPr>
        <w:t xml:space="preserve"> accessed 14 April 2023</w:t>
      </w:r>
    </w:p>
  </w:footnote>
  <w:footnote w:id="64">
    <w:p w14:paraId="717DCAFB" w14:textId="18E2ADBB" w:rsidR="009D2536" w:rsidRPr="00541E27" w:rsidRDefault="009D2536">
      <w:pPr>
        <w:pStyle w:val="FootnoteText"/>
        <w:rPr>
          <w:sz w:val="18"/>
          <w:szCs w:val="18"/>
        </w:rPr>
      </w:pPr>
      <w:r w:rsidRPr="00541E27">
        <w:rPr>
          <w:rStyle w:val="FootnoteReference"/>
          <w:sz w:val="18"/>
          <w:szCs w:val="18"/>
        </w:rPr>
        <w:footnoteRef/>
      </w:r>
      <w:r w:rsidRPr="00541E27">
        <w:rPr>
          <w:sz w:val="18"/>
          <w:szCs w:val="18"/>
        </w:rPr>
        <w:t xml:space="preserve"> A</w:t>
      </w:r>
      <w:r w:rsidR="004D1E1B" w:rsidRPr="00541E27">
        <w:rPr>
          <w:sz w:val="18"/>
          <w:szCs w:val="18"/>
        </w:rPr>
        <w:t>BS</w:t>
      </w:r>
      <w:r w:rsidRPr="00541E27">
        <w:rPr>
          <w:sz w:val="18"/>
          <w:szCs w:val="18"/>
        </w:rPr>
        <w:t xml:space="preserve">, Barriers and Incentives to Labour Force Participation, </w:t>
      </w:r>
      <w:r w:rsidR="00F07B9A" w:rsidRPr="00541E27">
        <w:rPr>
          <w:sz w:val="18"/>
          <w:szCs w:val="18"/>
        </w:rPr>
        <w:t xml:space="preserve">2018-19, </w:t>
      </w:r>
      <w:r w:rsidRPr="00541E27">
        <w:rPr>
          <w:sz w:val="18"/>
          <w:szCs w:val="18"/>
        </w:rPr>
        <w:t>accessed 14 April 2023</w:t>
      </w:r>
    </w:p>
  </w:footnote>
  <w:footnote w:id="65">
    <w:p w14:paraId="08F8EEC3" w14:textId="288B2039" w:rsidR="00565423" w:rsidRPr="00541E27" w:rsidRDefault="00565423">
      <w:pPr>
        <w:pStyle w:val="FootnoteText"/>
        <w:rPr>
          <w:sz w:val="18"/>
          <w:szCs w:val="18"/>
        </w:rPr>
      </w:pPr>
      <w:r w:rsidRPr="00541E27">
        <w:rPr>
          <w:rStyle w:val="FootnoteReference"/>
          <w:sz w:val="18"/>
          <w:szCs w:val="18"/>
        </w:rPr>
        <w:footnoteRef/>
      </w:r>
      <w:r w:rsidR="009D2536" w:rsidRPr="00541E27">
        <w:rPr>
          <w:sz w:val="18"/>
          <w:szCs w:val="18"/>
        </w:rPr>
        <w:t xml:space="preserve"> OECD, </w:t>
      </w:r>
      <w:hyperlink r:id="rId48" w:history="1">
        <w:r w:rsidR="009D2536" w:rsidRPr="00541E27">
          <w:rPr>
            <w:rStyle w:val="Hyperlink"/>
            <w:sz w:val="18"/>
            <w:szCs w:val="18"/>
          </w:rPr>
          <w:t>OECD Data – Net childcare costs (indicator)</w:t>
        </w:r>
      </w:hyperlink>
      <w:r w:rsidR="00F07B9A" w:rsidRPr="00541E27">
        <w:rPr>
          <w:sz w:val="18"/>
          <w:szCs w:val="18"/>
        </w:rPr>
        <w:t xml:space="preserve">, </w:t>
      </w:r>
      <w:r w:rsidR="009D2536" w:rsidRPr="00541E27">
        <w:rPr>
          <w:sz w:val="18"/>
          <w:szCs w:val="18"/>
        </w:rPr>
        <w:t xml:space="preserve">2023, accessed 5 April 2023 </w:t>
      </w:r>
    </w:p>
  </w:footnote>
  <w:footnote w:id="66">
    <w:p w14:paraId="50EC64F0" w14:textId="06B55588" w:rsidR="008F7561" w:rsidRPr="00541E27" w:rsidRDefault="008F7561" w:rsidP="00146853">
      <w:pPr>
        <w:pStyle w:val="FootnoteText"/>
        <w:rPr>
          <w:sz w:val="18"/>
          <w:szCs w:val="18"/>
        </w:rPr>
      </w:pPr>
      <w:r w:rsidRPr="00541E27">
        <w:rPr>
          <w:rStyle w:val="FootnoteReference"/>
          <w:sz w:val="18"/>
          <w:szCs w:val="18"/>
        </w:rPr>
        <w:footnoteRef/>
      </w:r>
      <w:r w:rsidR="009D2536" w:rsidRPr="00541E27">
        <w:rPr>
          <w:sz w:val="18"/>
          <w:szCs w:val="18"/>
        </w:rPr>
        <w:t xml:space="preserve"> </w:t>
      </w:r>
      <w:r w:rsidR="00B4289B" w:rsidRPr="00541E27">
        <w:rPr>
          <w:sz w:val="18"/>
          <w:szCs w:val="18"/>
        </w:rPr>
        <w:t xml:space="preserve">E Dawson, T Kovac, T, &amp; A Lewis, </w:t>
      </w:r>
      <w:hyperlink r:id="rId49" w:history="1">
        <w:r w:rsidR="00B4289B" w:rsidRPr="00541E27">
          <w:rPr>
            <w:rStyle w:val="Hyperlink"/>
            <w:sz w:val="18"/>
            <w:szCs w:val="18"/>
          </w:rPr>
          <w:t>Measure for Measure: Gender Equality in Australia, Per Capita</w:t>
        </w:r>
      </w:hyperlink>
      <w:r w:rsidR="00B4289B" w:rsidRPr="00541E27">
        <w:rPr>
          <w:rStyle w:val="Hyperlink"/>
          <w:sz w:val="18"/>
          <w:szCs w:val="18"/>
        </w:rPr>
        <w:t>,</w:t>
      </w:r>
      <w:r w:rsidR="00B4289B" w:rsidRPr="00541E27">
        <w:rPr>
          <w:sz w:val="18"/>
          <w:szCs w:val="18"/>
        </w:rPr>
        <w:t xml:space="preserve"> 2020, accessed 5 April 2023; K Jenkins, ‘</w:t>
      </w:r>
      <w:hyperlink r:id="rId50" w:history="1">
        <w:r w:rsidR="00B4289B" w:rsidRPr="00541E27">
          <w:rPr>
            <w:rStyle w:val="Hyperlink"/>
            <w:sz w:val="18"/>
            <w:szCs w:val="18"/>
          </w:rPr>
          <w:t>The Gendered Costs of Childcare: A feminist analysis of the effects of Australia’s early childhood education and care system on women’s inequality in the workforce and beyond</w:t>
        </w:r>
      </w:hyperlink>
      <w:r w:rsidR="00B4289B" w:rsidRPr="00541E27">
        <w:rPr>
          <w:sz w:val="18"/>
          <w:szCs w:val="18"/>
        </w:rPr>
        <w:t>’ Melbourne University, The Future of Work Lab, August 2021, accessed 5 April 2023</w:t>
      </w:r>
    </w:p>
  </w:footnote>
  <w:footnote w:id="67">
    <w:p w14:paraId="4C3CB7CC" w14:textId="6312DE71" w:rsidR="00182C13" w:rsidRPr="00541E27" w:rsidRDefault="00182C13" w:rsidP="00146853">
      <w:pPr>
        <w:pStyle w:val="FootnoteText"/>
        <w:rPr>
          <w:sz w:val="18"/>
          <w:szCs w:val="18"/>
        </w:rPr>
      </w:pPr>
      <w:r w:rsidRPr="00541E27">
        <w:rPr>
          <w:rStyle w:val="FootnoteReference"/>
          <w:sz w:val="18"/>
          <w:szCs w:val="18"/>
        </w:rPr>
        <w:footnoteRef/>
      </w:r>
      <w:r w:rsidRPr="00541E27">
        <w:rPr>
          <w:sz w:val="18"/>
          <w:szCs w:val="18"/>
        </w:rPr>
        <w:t xml:space="preserve"> </w:t>
      </w:r>
      <w:r w:rsidR="00F435A0" w:rsidRPr="00541E27">
        <w:rPr>
          <w:sz w:val="18"/>
          <w:szCs w:val="18"/>
        </w:rPr>
        <w:t xml:space="preserve">Commonwealth of Australia, </w:t>
      </w:r>
      <w:hyperlink r:id="rId51" w:history="1">
        <w:r w:rsidR="00663534" w:rsidRPr="00541E27">
          <w:rPr>
            <w:rStyle w:val="Hyperlink"/>
            <w:sz w:val="18"/>
            <w:szCs w:val="18"/>
          </w:rPr>
          <w:t>Women’s Budget Statement October 2022-23</w:t>
        </w:r>
      </w:hyperlink>
      <w:r w:rsidR="00B4289B" w:rsidRPr="00541E27">
        <w:rPr>
          <w:sz w:val="18"/>
          <w:szCs w:val="18"/>
        </w:rPr>
        <w:t xml:space="preserve">, </w:t>
      </w:r>
      <w:r w:rsidR="0040173D" w:rsidRPr="00541E27">
        <w:rPr>
          <w:sz w:val="18"/>
          <w:szCs w:val="18"/>
        </w:rPr>
        <w:t>25 October 2022, accessed 5 April 2023</w:t>
      </w:r>
    </w:p>
  </w:footnote>
  <w:footnote w:id="68">
    <w:p w14:paraId="5E94E87F" w14:textId="08D99EBA" w:rsidR="00173B67" w:rsidRPr="00541E27" w:rsidRDefault="00173B67" w:rsidP="00173B67">
      <w:pPr>
        <w:pStyle w:val="FootnoteText"/>
        <w:rPr>
          <w:sz w:val="18"/>
          <w:szCs w:val="18"/>
        </w:rPr>
      </w:pPr>
      <w:r w:rsidRPr="00541E27">
        <w:rPr>
          <w:rStyle w:val="FootnoteReference"/>
          <w:sz w:val="18"/>
          <w:szCs w:val="18"/>
        </w:rPr>
        <w:footnoteRef/>
      </w:r>
      <w:r w:rsidRPr="00541E27">
        <w:rPr>
          <w:sz w:val="18"/>
          <w:szCs w:val="18"/>
        </w:rPr>
        <w:t xml:space="preserve"> Art</w:t>
      </w:r>
      <w:r w:rsidR="00B4289B" w:rsidRPr="00541E27">
        <w:rPr>
          <w:sz w:val="18"/>
          <w:szCs w:val="18"/>
        </w:rPr>
        <w:t>.</w:t>
      </w:r>
      <w:r w:rsidRPr="00541E27">
        <w:rPr>
          <w:sz w:val="18"/>
          <w:szCs w:val="18"/>
        </w:rPr>
        <w:t xml:space="preserve"> 158, Saudi Labour Law. For further information, see: </w:t>
      </w:r>
      <w:r w:rsidR="008A5DDC" w:rsidRPr="00541E27">
        <w:rPr>
          <w:sz w:val="18"/>
          <w:szCs w:val="18"/>
        </w:rPr>
        <w:t xml:space="preserve">United Nations Economic and Social Commission for Western Asia, </w:t>
      </w:r>
      <w:r w:rsidR="007F642B" w:rsidRPr="00541E27">
        <w:rPr>
          <w:sz w:val="18"/>
          <w:szCs w:val="18"/>
        </w:rPr>
        <w:t>Empowering women in the Arab region: Advancing the car</w:t>
      </w:r>
      <w:r w:rsidR="00FA518A" w:rsidRPr="00541E27">
        <w:rPr>
          <w:sz w:val="18"/>
          <w:szCs w:val="18"/>
        </w:rPr>
        <w:t>e</w:t>
      </w:r>
      <w:r w:rsidR="007F642B" w:rsidRPr="00541E27">
        <w:rPr>
          <w:sz w:val="18"/>
          <w:szCs w:val="18"/>
        </w:rPr>
        <w:t xml:space="preserve"> economy, </w:t>
      </w:r>
      <w:r w:rsidR="007C58F8" w:rsidRPr="00541E27">
        <w:rPr>
          <w:sz w:val="18"/>
          <w:szCs w:val="18"/>
        </w:rPr>
        <w:t>‘</w:t>
      </w:r>
      <w:hyperlink r:id="rId52" w:history="1">
        <w:r w:rsidR="007F642B" w:rsidRPr="00541E27">
          <w:rPr>
            <w:rStyle w:val="Hyperlink"/>
            <w:sz w:val="18"/>
            <w:szCs w:val="18"/>
          </w:rPr>
          <w:t>Case study: Childcare in the Kingdom of Saudi Arabia</w:t>
        </w:r>
      </w:hyperlink>
      <w:r w:rsidR="007C58F8" w:rsidRPr="00541E27">
        <w:rPr>
          <w:sz w:val="18"/>
          <w:szCs w:val="18"/>
        </w:rPr>
        <w:t>’</w:t>
      </w:r>
      <w:r w:rsidR="00B4289B" w:rsidRPr="00541E27">
        <w:rPr>
          <w:sz w:val="18"/>
          <w:szCs w:val="18"/>
        </w:rPr>
        <w:t xml:space="preserve">, </w:t>
      </w:r>
      <w:r w:rsidR="00C77146" w:rsidRPr="00541E27">
        <w:rPr>
          <w:sz w:val="18"/>
          <w:szCs w:val="18"/>
        </w:rPr>
        <w:t>August 2022, accessed 5 April 2023</w:t>
      </w:r>
    </w:p>
  </w:footnote>
  <w:footnote w:id="69">
    <w:p w14:paraId="68E9B906" w14:textId="77777777" w:rsidR="00034A99" w:rsidRPr="00541E27" w:rsidRDefault="00034A99" w:rsidP="00034A99">
      <w:pPr>
        <w:pStyle w:val="FootnoteText"/>
        <w:rPr>
          <w:sz w:val="18"/>
          <w:szCs w:val="18"/>
        </w:rPr>
      </w:pPr>
      <w:r w:rsidRPr="00541E27">
        <w:rPr>
          <w:rStyle w:val="FootnoteReference"/>
          <w:sz w:val="18"/>
          <w:szCs w:val="18"/>
        </w:rPr>
        <w:footnoteRef/>
      </w:r>
      <w:r w:rsidRPr="00541E27">
        <w:rPr>
          <w:sz w:val="18"/>
          <w:szCs w:val="18"/>
        </w:rPr>
        <w:t xml:space="preserve"> R Wilkins et al., </w:t>
      </w:r>
      <w:hyperlink r:id="rId53" w:history="1">
        <w:r w:rsidRPr="00541E27">
          <w:rPr>
            <w:rStyle w:val="Hyperlink"/>
            <w:sz w:val="18"/>
            <w:szCs w:val="18"/>
          </w:rPr>
          <w:t>The Household, Income and Labour Dynamics in Australia Survey: Selected Findings from Waves 1 to 19</w:t>
        </w:r>
      </w:hyperlink>
      <w:r w:rsidRPr="00541E27">
        <w:rPr>
          <w:sz w:val="18"/>
          <w:szCs w:val="18"/>
        </w:rPr>
        <w:t>, Melbourne Institute: Applied Economic &amp; Social Research, the University of Melbourne, accessed 5 April 2023</w:t>
      </w:r>
    </w:p>
  </w:footnote>
  <w:footnote w:id="70">
    <w:p w14:paraId="696C17C9" w14:textId="06385115" w:rsidR="00034A99" w:rsidRPr="00541E27" w:rsidRDefault="00034A99" w:rsidP="00034A99">
      <w:pPr>
        <w:spacing w:after="0"/>
        <w:rPr>
          <w:sz w:val="18"/>
          <w:szCs w:val="18"/>
        </w:rPr>
      </w:pPr>
      <w:r w:rsidRPr="00541E27">
        <w:rPr>
          <w:rStyle w:val="FootnoteReference"/>
          <w:sz w:val="18"/>
          <w:szCs w:val="18"/>
        </w:rPr>
        <w:footnoteRef/>
      </w:r>
      <w:r w:rsidRPr="00541E27">
        <w:rPr>
          <w:sz w:val="18"/>
          <w:szCs w:val="18"/>
        </w:rPr>
        <w:t xml:space="preserve"> ABS, </w:t>
      </w:r>
      <w:hyperlink r:id="rId54" w:history="1">
        <w:r w:rsidRPr="00541E27">
          <w:rPr>
            <w:rStyle w:val="Hyperlink"/>
            <w:sz w:val="18"/>
            <w:szCs w:val="18"/>
          </w:rPr>
          <w:t>Unpaid work and care: Census</w:t>
        </w:r>
      </w:hyperlink>
      <w:r w:rsidRPr="00541E27">
        <w:rPr>
          <w:sz w:val="18"/>
          <w:szCs w:val="18"/>
        </w:rPr>
        <w:t xml:space="preserve">, 2021, accessed </w:t>
      </w:r>
      <w:r w:rsidR="008B6F6E" w:rsidRPr="00541E27">
        <w:rPr>
          <w:sz w:val="18"/>
          <w:szCs w:val="18"/>
        </w:rPr>
        <w:t>5 April</w:t>
      </w:r>
      <w:r w:rsidRPr="00541E27">
        <w:rPr>
          <w:sz w:val="18"/>
          <w:szCs w:val="18"/>
        </w:rPr>
        <w:t xml:space="preserve"> 202</w:t>
      </w:r>
      <w:r w:rsidR="008B6F6E" w:rsidRPr="00541E27">
        <w:rPr>
          <w:sz w:val="18"/>
          <w:szCs w:val="18"/>
        </w:rPr>
        <w:t>3</w:t>
      </w:r>
      <w:r w:rsidRPr="00541E27">
        <w:rPr>
          <w:sz w:val="18"/>
          <w:szCs w:val="18"/>
        </w:rPr>
        <w:t xml:space="preserve">. The latest ABS data also shows that </w:t>
      </w:r>
      <w:r w:rsidRPr="00541E27">
        <w:rPr>
          <w:rStyle w:val="normaltextrun"/>
          <w:sz w:val="18"/>
          <w:szCs w:val="18"/>
        </w:rPr>
        <w:t>85% of women (compared to 15% of men) reported that ‘caring for children’ was the main reason for not looking for a job with more hours.</w:t>
      </w:r>
    </w:p>
  </w:footnote>
  <w:footnote w:id="71">
    <w:p w14:paraId="32D9898B" w14:textId="5705C257" w:rsidR="00FE2F91" w:rsidRPr="008B6F6E" w:rsidRDefault="00FE2F91" w:rsidP="00281CEE">
      <w:pPr>
        <w:pStyle w:val="FootnoteText"/>
        <w:rPr>
          <w:color w:val="287E84"/>
          <w:sz w:val="18"/>
          <w:szCs w:val="18"/>
          <w:u w:val="dotted"/>
        </w:rPr>
      </w:pPr>
      <w:r w:rsidRPr="00541E27">
        <w:rPr>
          <w:rStyle w:val="FootnoteReference"/>
          <w:sz w:val="18"/>
          <w:szCs w:val="18"/>
        </w:rPr>
        <w:footnoteRef/>
      </w:r>
      <w:r w:rsidRPr="00541E27">
        <w:rPr>
          <w:sz w:val="18"/>
          <w:szCs w:val="18"/>
        </w:rPr>
        <w:t xml:space="preserve"> For further detail, see: </w:t>
      </w:r>
      <w:r w:rsidR="00822328" w:rsidRPr="00541E27">
        <w:rPr>
          <w:sz w:val="18"/>
          <w:szCs w:val="18"/>
        </w:rPr>
        <w:t xml:space="preserve">OECD, </w:t>
      </w:r>
      <w:r w:rsidR="00281CEE" w:rsidRPr="00541E27">
        <w:rPr>
          <w:sz w:val="18"/>
          <w:szCs w:val="18"/>
        </w:rPr>
        <w:t>‘</w:t>
      </w:r>
      <w:hyperlink r:id="rId55" w:history="1">
        <w:r w:rsidR="00281CEE" w:rsidRPr="00541E27">
          <w:rPr>
            <w:rStyle w:val="Hyperlink"/>
            <w:sz w:val="18"/>
            <w:szCs w:val="18"/>
          </w:rPr>
          <w:t>Bringing Household Services Out of the Shadows</w:t>
        </w:r>
        <w:r w:rsidR="00217435" w:rsidRPr="00541E27">
          <w:rPr>
            <w:rStyle w:val="Hyperlink"/>
            <w:sz w:val="18"/>
            <w:szCs w:val="18"/>
          </w:rPr>
          <w:t>:</w:t>
        </w:r>
        <w:r w:rsidR="008B6F6E" w:rsidRPr="00541E27">
          <w:rPr>
            <w:rStyle w:val="Hyperlink"/>
            <w:sz w:val="18"/>
            <w:szCs w:val="18"/>
          </w:rPr>
          <w:t xml:space="preserve"> </w:t>
        </w:r>
        <w:r w:rsidR="00281CEE" w:rsidRPr="00541E27">
          <w:rPr>
            <w:rStyle w:val="Hyperlink"/>
            <w:sz w:val="18"/>
            <w:szCs w:val="18"/>
          </w:rPr>
          <w:t>Formalising Non-Care Work in and Around the House</w:t>
        </w:r>
      </w:hyperlink>
      <w:r w:rsidR="00281CEE" w:rsidRPr="00541E27">
        <w:rPr>
          <w:sz w:val="18"/>
          <w:szCs w:val="18"/>
        </w:rPr>
        <w:t>’</w:t>
      </w:r>
      <w:r w:rsidR="008B6F6E" w:rsidRPr="00541E27">
        <w:rPr>
          <w:sz w:val="18"/>
          <w:szCs w:val="18"/>
        </w:rPr>
        <w:t xml:space="preserve">, </w:t>
      </w:r>
      <w:r w:rsidR="00281CEE" w:rsidRPr="00541E27">
        <w:rPr>
          <w:sz w:val="18"/>
          <w:szCs w:val="18"/>
        </w:rPr>
        <w:t>7 July 2021, accessed 5 April 2023</w:t>
      </w:r>
    </w:p>
  </w:footnote>
  <w:footnote w:id="72">
    <w:p w14:paraId="7485C848" w14:textId="73472426" w:rsidR="00741CB4" w:rsidRPr="00541E27" w:rsidRDefault="00741CB4">
      <w:pPr>
        <w:pStyle w:val="FootnoteText"/>
        <w:rPr>
          <w:sz w:val="18"/>
          <w:szCs w:val="18"/>
        </w:rPr>
      </w:pPr>
      <w:r w:rsidRPr="00541E27">
        <w:rPr>
          <w:rStyle w:val="FootnoteReference"/>
          <w:sz w:val="18"/>
          <w:szCs w:val="18"/>
        </w:rPr>
        <w:footnoteRef/>
      </w:r>
      <w:r w:rsidRPr="00541E27">
        <w:rPr>
          <w:sz w:val="18"/>
          <w:szCs w:val="18"/>
        </w:rPr>
        <w:t xml:space="preserve"> For example, </w:t>
      </w:r>
      <w:r w:rsidR="002B04FC" w:rsidRPr="00541E27">
        <w:rPr>
          <w:sz w:val="18"/>
          <w:szCs w:val="18"/>
        </w:rPr>
        <w:t>Sweden and France provide a deduction of 50% on the labour costs for household service work, up to a deduction ceiling of SEK</w:t>
      </w:r>
      <w:r w:rsidR="002B04FC" w:rsidRPr="00541E27">
        <w:rPr>
          <w:rFonts w:ascii="Cambria" w:hAnsi="Cambria" w:cs="Cambria"/>
          <w:sz w:val="18"/>
          <w:szCs w:val="18"/>
        </w:rPr>
        <w:t> </w:t>
      </w:r>
      <w:r w:rsidR="002B04FC" w:rsidRPr="00541E27">
        <w:rPr>
          <w:sz w:val="18"/>
          <w:szCs w:val="18"/>
        </w:rPr>
        <w:t>75</w:t>
      </w:r>
      <w:r w:rsidR="002B04FC" w:rsidRPr="00541E27">
        <w:rPr>
          <w:rFonts w:ascii="Cambria" w:hAnsi="Cambria" w:cs="Cambria"/>
          <w:sz w:val="18"/>
          <w:szCs w:val="18"/>
        </w:rPr>
        <w:t> </w:t>
      </w:r>
      <w:r w:rsidR="002B04FC" w:rsidRPr="00541E27">
        <w:rPr>
          <w:sz w:val="18"/>
          <w:szCs w:val="18"/>
        </w:rPr>
        <w:t>000 (</w:t>
      </w:r>
      <w:r w:rsidR="00FD49CC" w:rsidRPr="00541E27">
        <w:rPr>
          <w:sz w:val="18"/>
          <w:szCs w:val="18"/>
        </w:rPr>
        <w:t xml:space="preserve">AUD </w:t>
      </w:r>
      <w:r w:rsidR="00680065" w:rsidRPr="00541E27">
        <w:rPr>
          <w:sz w:val="18"/>
          <w:szCs w:val="18"/>
        </w:rPr>
        <w:t>10,800</w:t>
      </w:r>
      <w:r w:rsidR="002B04FC" w:rsidRPr="00541E27">
        <w:rPr>
          <w:sz w:val="18"/>
          <w:szCs w:val="18"/>
        </w:rPr>
        <w:t>) and EUR</w:t>
      </w:r>
      <w:r w:rsidR="002B04FC" w:rsidRPr="00541E27">
        <w:rPr>
          <w:rFonts w:ascii="Cambria" w:hAnsi="Cambria" w:cs="Cambria"/>
          <w:sz w:val="18"/>
          <w:szCs w:val="18"/>
        </w:rPr>
        <w:t> </w:t>
      </w:r>
      <w:r w:rsidR="002B04FC" w:rsidRPr="00541E27">
        <w:rPr>
          <w:sz w:val="18"/>
          <w:szCs w:val="18"/>
        </w:rPr>
        <w:t>7500 (</w:t>
      </w:r>
      <w:r w:rsidR="00112228" w:rsidRPr="00541E27">
        <w:rPr>
          <w:sz w:val="18"/>
          <w:szCs w:val="18"/>
        </w:rPr>
        <w:t xml:space="preserve">AUD </w:t>
      </w:r>
      <w:r w:rsidR="0066737C" w:rsidRPr="00541E27">
        <w:rPr>
          <w:sz w:val="18"/>
          <w:szCs w:val="18"/>
        </w:rPr>
        <w:t>12</w:t>
      </w:r>
      <w:r w:rsidR="00A36260" w:rsidRPr="00541E27">
        <w:rPr>
          <w:sz w:val="18"/>
          <w:szCs w:val="18"/>
        </w:rPr>
        <w:t>,200</w:t>
      </w:r>
      <w:r w:rsidR="002B04FC" w:rsidRPr="00541E27">
        <w:rPr>
          <w:sz w:val="18"/>
          <w:szCs w:val="18"/>
        </w:rPr>
        <w:t>) per household, respectively</w:t>
      </w:r>
      <w:r w:rsidR="00217435" w:rsidRPr="00541E27">
        <w:rPr>
          <w:sz w:val="18"/>
          <w:szCs w:val="18"/>
        </w:rPr>
        <w:t>: OECD, ‘</w:t>
      </w:r>
      <w:hyperlink r:id="rId56" w:history="1">
        <w:r w:rsidR="00217435" w:rsidRPr="00541E27">
          <w:rPr>
            <w:rStyle w:val="Hyperlink"/>
            <w:sz w:val="18"/>
            <w:szCs w:val="18"/>
          </w:rPr>
          <w:t>Bringing Household Services Out of the Shadows: Formalising Non-Care Work in and Around the House</w:t>
        </w:r>
      </w:hyperlink>
      <w:r w:rsidR="00217435" w:rsidRPr="00541E27">
        <w:rPr>
          <w:sz w:val="18"/>
          <w:szCs w:val="18"/>
        </w:rPr>
        <w:t>’, 7 July 2021, accessed 5 April 2023</w:t>
      </w:r>
    </w:p>
  </w:footnote>
  <w:footnote w:id="73">
    <w:p w14:paraId="0F1D1645" w14:textId="76CF7FBC" w:rsidR="00802729" w:rsidRPr="00541E27" w:rsidRDefault="00802729">
      <w:pPr>
        <w:pStyle w:val="FootnoteText"/>
        <w:rPr>
          <w:sz w:val="18"/>
          <w:szCs w:val="18"/>
        </w:rPr>
      </w:pPr>
      <w:r w:rsidRPr="00541E27">
        <w:rPr>
          <w:rStyle w:val="FootnoteReference"/>
          <w:sz w:val="18"/>
          <w:szCs w:val="18"/>
        </w:rPr>
        <w:footnoteRef/>
      </w:r>
      <w:r w:rsidRPr="00541E27">
        <w:rPr>
          <w:sz w:val="18"/>
          <w:szCs w:val="18"/>
        </w:rPr>
        <w:t xml:space="preserve"> For example, Belgium </w:t>
      </w:r>
      <w:r w:rsidR="000604B8" w:rsidRPr="00541E27">
        <w:rPr>
          <w:sz w:val="18"/>
          <w:szCs w:val="18"/>
        </w:rPr>
        <w:t xml:space="preserve">has implemented a Service Voucher Scheme </w:t>
      </w:r>
      <w:r w:rsidR="004C2599" w:rsidRPr="00541E27">
        <w:rPr>
          <w:sz w:val="18"/>
          <w:szCs w:val="18"/>
        </w:rPr>
        <w:t xml:space="preserve">that provides each resident </w:t>
      </w:r>
      <w:r w:rsidR="001F3308" w:rsidRPr="00541E27">
        <w:rPr>
          <w:sz w:val="18"/>
          <w:szCs w:val="18"/>
        </w:rPr>
        <w:t xml:space="preserve">with an ability to purchase up to 500 service </w:t>
      </w:r>
      <w:r w:rsidR="00C211FF" w:rsidRPr="00541E27">
        <w:rPr>
          <w:sz w:val="18"/>
          <w:szCs w:val="18"/>
        </w:rPr>
        <w:t>vouchers</w:t>
      </w:r>
      <w:r w:rsidR="002B6716" w:rsidRPr="00541E27">
        <w:rPr>
          <w:sz w:val="18"/>
          <w:szCs w:val="18"/>
        </w:rPr>
        <w:t xml:space="preserve"> (costing</w:t>
      </w:r>
      <w:r w:rsidR="00D05D22" w:rsidRPr="00541E27">
        <w:rPr>
          <w:sz w:val="18"/>
          <w:szCs w:val="18"/>
        </w:rPr>
        <w:t xml:space="preserve"> AUD 15-</w:t>
      </w:r>
      <w:r w:rsidR="003909A9" w:rsidRPr="00541E27">
        <w:rPr>
          <w:sz w:val="18"/>
          <w:szCs w:val="18"/>
        </w:rPr>
        <w:t>16</w:t>
      </w:r>
      <w:r w:rsidR="002B6716" w:rsidRPr="00541E27">
        <w:rPr>
          <w:sz w:val="18"/>
          <w:szCs w:val="18"/>
        </w:rPr>
        <w:t>)</w:t>
      </w:r>
      <w:r w:rsidR="00C211FF" w:rsidRPr="00541E27">
        <w:rPr>
          <w:sz w:val="18"/>
          <w:szCs w:val="18"/>
        </w:rPr>
        <w:t xml:space="preserve"> </w:t>
      </w:r>
      <w:r w:rsidR="000F3468" w:rsidRPr="00541E27">
        <w:rPr>
          <w:sz w:val="18"/>
          <w:szCs w:val="18"/>
        </w:rPr>
        <w:t xml:space="preserve">that can be exchanged for </w:t>
      </w:r>
      <w:r w:rsidR="00E9485B" w:rsidRPr="00541E27">
        <w:rPr>
          <w:sz w:val="18"/>
          <w:szCs w:val="18"/>
        </w:rPr>
        <w:t>non-care household services</w:t>
      </w:r>
      <w:r w:rsidR="00EB2665" w:rsidRPr="00541E27">
        <w:rPr>
          <w:sz w:val="18"/>
          <w:szCs w:val="18"/>
        </w:rPr>
        <w:t>. The costs of part of the vouchers can be claimed against a variable tax deduction</w:t>
      </w:r>
      <w:r w:rsidR="008936C4" w:rsidRPr="00541E27">
        <w:rPr>
          <w:sz w:val="18"/>
          <w:szCs w:val="18"/>
        </w:rPr>
        <w:t xml:space="preserve">. Service providers are then paid a </w:t>
      </w:r>
      <w:r w:rsidR="00004684" w:rsidRPr="00541E27">
        <w:rPr>
          <w:sz w:val="18"/>
          <w:szCs w:val="18"/>
        </w:rPr>
        <w:t xml:space="preserve">fixed rate </w:t>
      </w:r>
      <w:r w:rsidR="00941418" w:rsidRPr="00541E27">
        <w:rPr>
          <w:sz w:val="18"/>
          <w:szCs w:val="18"/>
        </w:rPr>
        <w:t>for their services</w:t>
      </w:r>
      <w:r w:rsidR="00217435" w:rsidRPr="00541E27">
        <w:rPr>
          <w:sz w:val="18"/>
          <w:szCs w:val="18"/>
        </w:rPr>
        <w:t>: Ibid</w:t>
      </w:r>
    </w:p>
  </w:footnote>
  <w:footnote w:id="74">
    <w:p w14:paraId="11ED838C" w14:textId="6C928973" w:rsidR="00FE2F91" w:rsidRPr="00541E27" w:rsidRDefault="00FE2F91">
      <w:pPr>
        <w:pStyle w:val="FootnoteText"/>
        <w:rPr>
          <w:sz w:val="18"/>
          <w:szCs w:val="18"/>
        </w:rPr>
      </w:pPr>
      <w:r w:rsidRPr="00541E27">
        <w:rPr>
          <w:rStyle w:val="FootnoteReference"/>
          <w:sz w:val="18"/>
          <w:szCs w:val="18"/>
        </w:rPr>
        <w:footnoteRef/>
      </w:r>
      <w:r w:rsidRPr="00541E27">
        <w:rPr>
          <w:sz w:val="18"/>
          <w:szCs w:val="18"/>
        </w:rPr>
        <w:t xml:space="preserve"> </w:t>
      </w:r>
      <w:r w:rsidR="002546B4" w:rsidRPr="00541E27">
        <w:rPr>
          <w:sz w:val="18"/>
          <w:szCs w:val="18"/>
        </w:rPr>
        <w:t>For example, in France</w:t>
      </w:r>
      <w:r w:rsidR="00BF0505" w:rsidRPr="00541E27">
        <w:rPr>
          <w:sz w:val="18"/>
          <w:szCs w:val="18"/>
        </w:rPr>
        <w:t xml:space="preserve"> a private contractor handles all administration regarding direct domestic employment after households fill out a</w:t>
      </w:r>
      <w:r w:rsidR="00BF0505" w:rsidRPr="00541E27">
        <w:rPr>
          <w:rFonts w:ascii="Cambria" w:hAnsi="Cambria" w:cs="Cambria"/>
          <w:sz w:val="18"/>
          <w:szCs w:val="18"/>
        </w:rPr>
        <w:t> </w:t>
      </w:r>
      <w:r w:rsidR="00BF0505" w:rsidRPr="00541E27">
        <w:rPr>
          <w:sz w:val="18"/>
          <w:szCs w:val="18"/>
        </w:rPr>
        <w:t>declarative form</w:t>
      </w:r>
      <w:r w:rsidR="00217435" w:rsidRPr="00541E27">
        <w:rPr>
          <w:sz w:val="18"/>
          <w:szCs w:val="18"/>
        </w:rPr>
        <w:t>: Ibid</w:t>
      </w:r>
    </w:p>
  </w:footnote>
  <w:footnote w:id="75">
    <w:p w14:paraId="71C9B6B7" w14:textId="4145AC97" w:rsidR="00FE2F91" w:rsidRPr="00541E27" w:rsidRDefault="00FE2F91">
      <w:pPr>
        <w:pStyle w:val="FootnoteText"/>
        <w:rPr>
          <w:sz w:val="18"/>
          <w:szCs w:val="18"/>
        </w:rPr>
      </w:pPr>
      <w:r w:rsidRPr="00541E27">
        <w:rPr>
          <w:rStyle w:val="FootnoteReference"/>
          <w:sz w:val="18"/>
          <w:szCs w:val="18"/>
        </w:rPr>
        <w:footnoteRef/>
      </w:r>
      <w:r w:rsidRPr="00541E27">
        <w:rPr>
          <w:sz w:val="18"/>
          <w:szCs w:val="18"/>
        </w:rPr>
        <w:t xml:space="preserve"> </w:t>
      </w:r>
      <w:r w:rsidR="000A2ACB" w:rsidRPr="00541E27">
        <w:rPr>
          <w:sz w:val="18"/>
          <w:szCs w:val="18"/>
        </w:rPr>
        <w:t xml:space="preserve">For example, </w:t>
      </w:r>
      <w:r w:rsidR="00441207" w:rsidRPr="00541E27">
        <w:rPr>
          <w:sz w:val="18"/>
          <w:szCs w:val="18"/>
        </w:rPr>
        <w:t>in the Netherlands all hous</w:t>
      </w:r>
      <w:r w:rsidR="000E1149" w:rsidRPr="00541E27">
        <w:rPr>
          <w:sz w:val="18"/>
          <w:szCs w:val="18"/>
        </w:rPr>
        <w:t>eholds</w:t>
      </w:r>
      <w:r w:rsidR="00441207" w:rsidRPr="00541E27">
        <w:rPr>
          <w:sz w:val="18"/>
          <w:szCs w:val="18"/>
        </w:rPr>
        <w:t xml:space="preserve"> are </w:t>
      </w:r>
      <w:r w:rsidR="001A27C9" w:rsidRPr="00541E27">
        <w:rPr>
          <w:sz w:val="18"/>
          <w:szCs w:val="18"/>
        </w:rPr>
        <w:t>exempt from all taxes and employer contributions for directly employed care and (non-care) household service workers who work for 4 days or less per week</w:t>
      </w:r>
      <w:r w:rsidR="00217435" w:rsidRPr="00541E27">
        <w:rPr>
          <w:sz w:val="18"/>
          <w:szCs w:val="18"/>
        </w:rPr>
        <w:t>: Ibid</w:t>
      </w:r>
    </w:p>
  </w:footnote>
  <w:footnote w:id="76">
    <w:p w14:paraId="46A49161" w14:textId="3E102A50" w:rsidR="00112CD3" w:rsidRPr="00541E27" w:rsidRDefault="00112CD3">
      <w:pPr>
        <w:pStyle w:val="FootnoteText"/>
        <w:rPr>
          <w:sz w:val="18"/>
          <w:szCs w:val="18"/>
        </w:rPr>
      </w:pPr>
      <w:r w:rsidRPr="00541E27">
        <w:rPr>
          <w:rStyle w:val="FootnoteReference"/>
          <w:sz w:val="18"/>
          <w:szCs w:val="18"/>
        </w:rPr>
        <w:footnoteRef/>
      </w:r>
      <w:r w:rsidRPr="00541E27">
        <w:rPr>
          <w:sz w:val="18"/>
          <w:szCs w:val="18"/>
        </w:rPr>
        <w:t xml:space="preserve"> </w:t>
      </w:r>
      <w:r w:rsidR="00475023" w:rsidRPr="00541E27">
        <w:rPr>
          <w:sz w:val="18"/>
          <w:szCs w:val="18"/>
        </w:rPr>
        <w:t>Anti</w:t>
      </w:r>
      <w:r w:rsidR="00C3130D" w:rsidRPr="00541E27">
        <w:rPr>
          <w:sz w:val="18"/>
          <w:szCs w:val="18"/>
        </w:rPr>
        <w:t>-Poverty Week, ‘</w:t>
      </w:r>
      <w:hyperlink r:id="rId57" w:history="1">
        <w:r w:rsidR="00FC3E2F" w:rsidRPr="00541E27">
          <w:rPr>
            <w:rStyle w:val="Hyperlink"/>
            <w:sz w:val="18"/>
            <w:szCs w:val="18"/>
          </w:rPr>
          <w:t>All parliamentarians urged to commit to halve child poverty by 2030</w:t>
        </w:r>
      </w:hyperlink>
      <w:r w:rsidR="00C3130D" w:rsidRPr="00541E27">
        <w:rPr>
          <w:sz w:val="18"/>
          <w:szCs w:val="18"/>
        </w:rPr>
        <w:t>’</w:t>
      </w:r>
      <w:r w:rsidR="00217435" w:rsidRPr="00541E27">
        <w:rPr>
          <w:sz w:val="18"/>
          <w:szCs w:val="18"/>
        </w:rPr>
        <w:t>, 1</w:t>
      </w:r>
      <w:r w:rsidR="00FC3E2F" w:rsidRPr="00541E27">
        <w:rPr>
          <w:sz w:val="18"/>
          <w:szCs w:val="18"/>
        </w:rPr>
        <w:t>8 October 2022, accessed 14 April 2023</w:t>
      </w:r>
    </w:p>
  </w:footnote>
  <w:footnote w:id="77">
    <w:p w14:paraId="707CA687" w14:textId="55708E48" w:rsidR="00194C83" w:rsidRPr="00541E27" w:rsidRDefault="00194C83">
      <w:pPr>
        <w:pStyle w:val="FootnoteText"/>
        <w:rPr>
          <w:sz w:val="18"/>
          <w:szCs w:val="18"/>
        </w:rPr>
      </w:pPr>
      <w:r w:rsidRPr="00541E27">
        <w:rPr>
          <w:rStyle w:val="FootnoteReference"/>
          <w:sz w:val="18"/>
          <w:szCs w:val="18"/>
        </w:rPr>
        <w:footnoteRef/>
      </w:r>
      <w:r w:rsidRPr="00541E27">
        <w:rPr>
          <w:sz w:val="18"/>
          <w:szCs w:val="18"/>
        </w:rPr>
        <w:t xml:space="preserve"> </w:t>
      </w:r>
      <w:r w:rsidR="00217435" w:rsidRPr="00541E27">
        <w:rPr>
          <w:sz w:val="18"/>
          <w:szCs w:val="18"/>
        </w:rPr>
        <w:t>ABS,</w:t>
      </w:r>
      <w:r w:rsidR="00DD1BE0" w:rsidRPr="00541E27">
        <w:rPr>
          <w:sz w:val="18"/>
          <w:szCs w:val="18"/>
        </w:rPr>
        <w:t xml:space="preserve"> </w:t>
      </w:r>
      <w:hyperlink r:id="rId58" w:history="1">
        <w:r w:rsidR="00DD1BE0" w:rsidRPr="00541E27">
          <w:rPr>
            <w:rStyle w:val="Hyperlink"/>
            <w:sz w:val="18"/>
            <w:szCs w:val="18"/>
          </w:rPr>
          <w:t>Labour Force Status of Families</w:t>
        </w:r>
      </w:hyperlink>
      <w:r w:rsidR="00217435" w:rsidRPr="00541E27">
        <w:rPr>
          <w:sz w:val="18"/>
          <w:szCs w:val="18"/>
        </w:rPr>
        <w:t xml:space="preserve">, </w:t>
      </w:r>
      <w:r w:rsidR="00DD1BE0" w:rsidRPr="00541E27">
        <w:rPr>
          <w:sz w:val="18"/>
          <w:szCs w:val="18"/>
        </w:rPr>
        <w:t>June 2022, accessed 14 April 2023</w:t>
      </w:r>
    </w:p>
  </w:footnote>
  <w:footnote w:id="78">
    <w:p w14:paraId="12D7B250" w14:textId="61C5D8D4" w:rsidR="002D5DC0" w:rsidRDefault="002D5DC0">
      <w:pPr>
        <w:pStyle w:val="FootnoteText"/>
      </w:pPr>
      <w:r w:rsidRPr="00541E27">
        <w:rPr>
          <w:rStyle w:val="FootnoteReference"/>
          <w:sz w:val="18"/>
          <w:szCs w:val="18"/>
        </w:rPr>
        <w:footnoteRef/>
      </w:r>
      <w:r w:rsidRPr="00541E27">
        <w:rPr>
          <w:sz w:val="18"/>
          <w:szCs w:val="18"/>
        </w:rPr>
        <w:t xml:space="preserve"> </w:t>
      </w:r>
      <w:r w:rsidR="00234987" w:rsidRPr="00541E27">
        <w:rPr>
          <w:sz w:val="18"/>
          <w:szCs w:val="18"/>
        </w:rPr>
        <w:t xml:space="preserve">Research shows that 60% of single mothers have experienced domestic violence compared to 17% of women more broadly: </w:t>
      </w:r>
      <w:r w:rsidR="004E3725" w:rsidRPr="00541E27">
        <w:rPr>
          <w:sz w:val="18"/>
          <w:szCs w:val="18"/>
        </w:rPr>
        <w:t>A Summers, ‘</w:t>
      </w:r>
      <w:hyperlink r:id="rId59" w:history="1">
        <w:r w:rsidR="004E3725" w:rsidRPr="00541E27">
          <w:rPr>
            <w:rStyle w:val="Hyperlink"/>
            <w:sz w:val="18"/>
            <w:szCs w:val="18"/>
          </w:rPr>
          <w:t>The Choice: Violence or Poverty: Domestic Violence and its consequences in Australia today</w:t>
        </w:r>
      </w:hyperlink>
      <w:r w:rsidR="004E3725" w:rsidRPr="00541E27">
        <w:rPr>
          <w:sz w:val="18"/>
          <w:szCs w:val="18"/>
        </w:rPr>
        <w:t>’, Paul Ramsay Foundation, July 2022, accessed 14 April 2023</w:t>
      </w:r>
    </w:p>
  </w:footnote>
  <w:footnote w:id="79">
    <w:p w14:paraId="77610E8D" w14:textId="7E1C34AC" w:rsidR="00DC492D" w:rsidRPr="00541E27" w:rsidRDefault="00DC492D">
      <w:pPr>
        <w:pStyle w:val="FootnoteText"/>
        <w:rPr>
          <w:sz w:val="18"/>
          <w:szCs w:val="18"/>
        </w:rPr>
      </w:pPr>
      <w:r w:rsidRPr="00541E27">
        <w:rPr>
          <w:rStyle w:val="FootnoteReference"/>
          <w:sz w:val="18"/>
          <w:szCs w:val="18"/>
        </w:rPr>
        <w:footnoteRef/>
      </w:r>
      <w:r w:rsidRPr="00541E27">
        <w:rPr>
          <w:sz w:val="18"/>
          <w:szCs w:val="18"/>
        </w:rPr>
        <w:t xml:space="preserve"> </w:t>
      </w:r>
      <w:r w:rsidR="003A519A" w:rsidRPr="00541E27">
        <w:rPr>
          <w:sz w:val="18"/>
          <w:szCs w:val="18"/>
        </w:rPr>
        <w:t xml:space="preserve">World Economic Forum (WE Forum), </w:t>
      </w:r>
      <w:hyperlink r:id="rId60" w:history="1">
        <w:r w:rsidR="003A519A" w:rsidRPr="00541E27">
          <w:rPr>
            <w:rStyle w:val="Hyperlink"/>
            <w:sz w:val="18"/>
            <w:szCs w:val="18"/>
          </w:rPr>
          <w:t>Global Gender Gap Report 2021</w:t>
        </w:r>
      </w:hyperlink>
      <w:r w:rsidR="003A519A" w:rsidRPr="00541E27">
        <w:rPr>
          <w:sz w:val="18"/>
          <w:szCs w:val="18"/>
        </w:rPr>
        <w:t>, WE Forum, 2021</w:t>
      </w:r>
    </w:p>
  </w:footnote>
  <w:footnote w:id="80">
    <w:p w14:paraId="5D6AC19C" w14:textId="2F42CA94" w:rsidR="00777DDE" w:rsidRPr="00541E27" w:rsidRDefault="00777DDE">
      <w:pPr>
        <w:pStyle w:val="FootnoteText"/>
        <w:rPr>
          <w:sz w:val="18"/>
          <w:szCs w:val="18"/>
        </w:rPr>
      </w:pPr>
      <w:r w:rsidRPr="00541E27">
        <w:rPr>
          <w:rStyle w:val="FootnoteReference"/>
          <w:sz w:val="18"/>
          <w:szCs w:val="18"/>
        </w:rPr>
        <w:footnoteRef/>
      </w:r>
      <w:r w:rsidRPr="00541E27">
        <w:rPr>
          <w:sz w:val="18"/>
          <w:szCs w:val="18"/>
        </w:rPr>
        <w:t xml:space="preserve"> </w:t>
      </w:r>
      <w:r w:rsidR="00011A4D" w:rsidRPr="00541E27">
        <w:rPr>
          <w:sz w:val="18"/>
          <w:szCs w:val="18"/>
        </w:rPr>
        <w:t>J Cermak et al.,</w:t>
      </w:r>
      <w:r w:rsidR="00BB4608" w:rsidRPr="00541E27">
        <w:rPr>
          <w:sz w:val="18"/>
          <w:szCs w:val="18"/>
        </w:rPr>
        <w:t>’</w:t>
      </w:r>
      <w:r w:rsidR="00011A4D" w:rsidRPr="00541E27">
        <w:rPr>
          <w:sz w:val="18"/>
          <w:szCs w:val="18"/>
        </w:rPr>
        <w:t xml:space="preserve"> </w:t>
      </w:r>
      <w:hyperlink r:id="rId61" w:history="1">
        <w:r w:rsidR="00011A4D" w:rsidRPr="00541E27">
          <w:rPr>
            <w:rStyle w:val="Hyperlink"/>
            <w:sz w:val="18"/>
            <w:szCs w:val="18"/>
          </w:rPr>
          <w:t>Women in Leadership: Lessons from Australian companies leading the way</w:t>
        </w:r>
      </w:hyperlink>
      <w:r w:rsidR="00BB4608" w:rsidRPr="00541E27">
        <w:rPr>
          <w:sz w:val="18"/>
          <w:szCs w:val="18"/>
        </w:rPr>
        <w:t>’</w:t>
      </w:r>
      <w:r w:rsidR="00011A4D" w:rsidRPr="00541E27">
        <w:rPr>
          <w:sz w:val="18"/>
          <w:szCs w:val="18"/>
        </w:rPr>
        <w:t>, McKinsey &amp; Company, 2017, accessed 5 April 2023; KPMG, She’s Price(d)less: The economics of the gender pay gap, KPMG, 2022, accessed 5 April 2023;</w:t>
      </w:r>
      <w:r w:rsidR="00FD6E28" w:rsidRPr="00541E27">
        <w:rPr>
          <w:sz w:val="18"/>
          <w:szCs w:val="18"/>
        </w:rPr>
        <w:t xml:space="preserve"> Workplace Gender Equality Agency (WGEA), </w:t>
      </w:r>
      <w:hyperlink r:id="rId62" w:history="1">
        <w:r w:rsidR="00FD6E28" w:rsidRPr="00541E27">
          <w:rPr>
            <w:rStyle w:val="Hyperlink"/>
            <w:sz w:val="18"/>
            <w:szCs w:val="18"/>
          </w:rPr>
          <w:t>Men twice as likely to be highly paid than women</w:t>
        </w:r>
      </w:hyperlink>
      <w:r w:rsidR="00FD6E28" w:rsidRPr="00541E27">
        <w:rPr>
          <w:sz w:val="18"/>
          <w:szCs w:val="18"/>
        </w:rPr>
        <w:t xml:space="preserve">, WGEA, accessed </w:t>
      </w:r>
      <w:r w:rsidR="00EB359E" w:rsidRPr="00541E27">
        <w:rPr>
          <w:sz w:val="18"/>
          <w:szCs w:val="18"/>
        </w:rPr>
        <w:t>5 April 2023;</w:t>
      </w:r>
      <w:r w:rsidR="00FD6E28" w:rsidRPr="00541E27">
        <w:rPr>
          <w:sz w:val="18"/>
          <w:szCs w:val="18"/>
        </w:rPr>
        <w:t xml:space="preserve"> WGEA, The Gender Pay Gap, accessed 5 April 2023; R Cooper and E Hill, Research-informed principles for a gender equitable recovery from the Covid-19 pandemic, University of Sydney, 2022, doi:10.25910/x3wh-pf20; N </w:t>
      </w:r>
      <w:r w:rsidR="00FD6E28" w:rsidRPr="00541E27">
        <w:rPr>
          <w:sz w:val="18"/>
          <w:szCs w:val="18"/>
        </w:rPr>
        <w:t>Cortis and G Meagher, ‘Recognition at Last: Care Work and the Equal Remuneration Case’, Journal of Industrial Relations, 2012, 54(3): 377-385, doi:10.1177/0022185612442278</w:t>
      </w:r>
    </w:p>
  </w:footnote>
  <w:footnote w:id="81">
    <w:p w14:paraId="0FAE4DF8" w14:textId="4B71E440" w:rsidR="00AC5A99" w:rsidRPr="00541E27" w:rsidRDefault="00AC5A99">
      <w:pPr>
        <w:pStyle w:val="FootnoteText"/>
        <w:rPr>
          <w:sz w:val="18"/>
          <w:szCs w:val="18"/>
        </w:rPr>
      </w:pPr>
      <w:r w:rsidRPr="00541E27">
        <w:rPr>
          <w:rStyle w:val="FootnoteReference"/>
          <w:sz w:val="18"/>
          <w:szCs w:val="18"/>
        </w:rPr>
        <w:footnoteRef/>
      </w:r>
      <w:r w:rsidRPr="00541E27">
        <w:rPr>
          <w:sz w:val="18"/>
          <w:szCs w:val="18"/>
        </w:rPr>
        <w:t xml:space="preserve"> </w:t>
      </w:r>
      <w:r w:rsidR="0050414C" w:rsidRPr="00541E27">
        <w:rPr>
          <w:sz w:val="18"/>
          <w:szCs w:val="18"/>
        </w:rPr>
        <w:t xml:space="preserve">Cermak et al., Women in Leadership; R Cassells and A Duncan, </w:t>
      </w:r>
      <w:hyperlink r:id="rId63" w:history="1">
        <w:r w:rsidR="0050414C" w:rsidRPr="00541E27">
          <w:rPr>
            <w:rStyle w:val="Hyperlink"/>
            <w:sz w:val="18"/>
            <w:szCs w:val="18"/>
          </w:rPr>
          <w:t>Gender Equity Insights 2021: Making it a priority</w:t>
        </w:r>
      </w:hyperlink>
      <w:r w:rsidR="0050414C" w:rsidRPr="00541E27">
        <w:rPr>
          <w:sz w:val="18"/>
          <w:szCs w:val="18"/>
        </w:rPr>
        <w:t>, Bankwest Curtin Economic Centre and WGEA Gender Equity Insights Issue 6 , 2021, accessed 5 April 2023; AHRC, Respect@Work: National Inquiry into Sexual Harassment in Australian Workplaces, AHRC, 2020, p 20, accessed 5 April 2023</w:t>
      </w:r>
    </w:p>
  </w:footnote>
  <w:footnote w:id="82">
    <w:p w14:paraId="6D40904C" w14:textId="1F2C4FDF" w:rsidR="00806584" w:rsidRPr="00765ACE" w:rsidRDefault="00806584">
      <w:pPr>
        <w:pStyle w:val="FootnoteText"/>
        <w:rPr>
          <w:sz w:val="18"/>
          <w:szCs w:val="18"/>
        </w:rPr>
      </w:pPr>
      <w:r w:rsidRPr="00541E27">
        <w:rPr>
          <w:rStyle w:val="FootnoteReference"/>
          <w:sz w:val="18"/>
          <w:szCs w:val="18"/>
        </w:rPr>
        <w:footnoteRef/>
      </w:r>
      <w:r w:rsidRPr="00541E27">
        <w:rPr>
          <w:sz w:val="18"/>
          <w:szCs w:val="18"/>
        </w:rPr>
        <w:t xml:space="preserve"> </w:t>
      </w:r>
      <w:r w:rsidR="008F3F09" w:rsidRPr="00541E27">
        <w:rPr>
          <w:sz w:val="18"/>
          <w:szCs w:val="18"/>
        </w:rPr>
        <w:t>For further information, see</w:t>
      </w:r>
      <w:r w:rsidR="00402679" w:rsidRPr="00541E27">
        <w:rPr>
          <w:sz w:val="18"/>
          <w:szCs w:val="18"/>
        </w:rPr>
        <w:t xml:space="preserve">: </w:t>
      </w:r>
      <w:r w:rsidR="00786FDB" w:rsidRPr="00541E27">
        <w:rPr>
          <w:sz w:val="18"/>
          <w:szCs w:val="18"/>
        </w:rPr>
        <w:t xml:space="preserve">State Government of Victoria, </w:t>
      </w:r>
      <w:hyperlink r:id="rId64" w:history="1">
        <w:r w:rsidR="00FB1FE9" w:rsidRPr="00541E27">
          <w:rPr>
            <w:rStyle w:val="Hyperlink"/>
            <w:sz w:val="18"/>
            <w:szCs w:val="18"/>
          </w:rPr>
          <w:t>Building Equality Policy</w:t>
        </w:r>
      </w:hyperlink>
      <w:r w:rsidR="00766D18" w:rsidRPr="00541E27">
        <w:rPr>
          <w:sz w:val="18"/>
          <w:szCs w:val="18"/>
        </w:rPr>
        <w:t xml:space="preserve"> (last reviewed 9 January 2023)</w:t>
      </w:r>
      <w:r w:rsidR="00FB1FE9" w:rsidRPr="00541E27">
        <w:rPr>
          <w:sz w:val="18"/>
          <w:szCs w:val="18"/>
        </w:rPr>
        <w:t>,</w:t>
      </w:r>
      <w:r w:rsidR="00766D18" w:rsidRPr="00541E27">
        <w:rPr>
          <w:sz w:val="18"/>
          <w:szCs w:val="18"/>
        </w:rPr>
        <w:t xml:space="preserve"> accessed 5 April 2023</w:t>
      </w:r>
    </w:p>
  </w:footnote>
  <w:footnote w:id="83">
    <w:p w14:paraId="456429F9" w14:textId="76EA92FC" w:rsidR="00FF7E6E" w:rsidRPr="00541E27" w:rsidRDefault="00FF7E6E">
      <w:pPr>
        <w:pStyle w:val="FootnoteText"/>
        <w:rPr>
          <w:sz w:val="18"/>
          <w:szCs w:val="18"/>
        </w:rPr>
      </w:pPr>
      <w:r w:rsidRPr="00541E27">
        <w:rPr>
          <w:rStyle w:val="FootnoteReference"/>
          <w:sz w:val="18"/>
          <w:szCs w:val="18"/>
        </w:rPr>
        <w:footnoteRef/>
      </w:r>
      <w:r w:rsidR="00275807" w:rsidRPr="00541E27">
        <w:rPr>
          <w:sz w:val="18"/>
          <w:szCs w:val="18"/>
        </w:rPr>
        <w:t>The Hon Natalie Hutchins MP (Minister for Education, Minister for Women)</w:t>
      </w:r>
      <w:r w:rsidR="00DB67B5" w:rsidRPr="00541E27">
        <w:rPr>
          <w:sz w:val="18"/>
          <w:szCs w:val="18"/>
        </w:rPr>
        <w:t xml:space="preserve">, </w:t>
      </w:r>
      <w:r w:rsidR="003E77AA" w:rsidRPr="00541E27">
        <w:rPr>
          <w:sz w:val="18"/>
          <w:szCs w:val="18"/>
        </w:rPr>
        <w:t>‘</w:t>
      </w:r>
      <w:hyperlink r:id="rId65" w:history="1">
        <w:r w:rsidR="00DB67B5" w:rsidRPr="00541E27">
          <w:rPr>
            <w:rStyle w:val="Hyperlink"/>
            <w:sz w:val="18"/>
            <w:szCs w:val="18"/>
          </w:rPr>
          <w:t>Creating More Economic Opportuni</w:t>
        </w:r>
        <w:r w:rsidR="003E77AA" w:rsidRPr="00541E27">
          <w:rPr>
            <w:rStyle w:val="Hyperlink"/>
            <w:sz w:val="18"/>
            <w:szCs w:val="18"/>
          </w:rPr>
          <w:t>t</w:t>
        </w:r>
        <w:r w:rsidR="00DB67B5" w:rsidRPr="00541E27">
          <w:rPr>
            <w:rStyle w:val="Hyperlink"/>
            <w:sz w:val="18"/>
            <w:szCs w:val="18"/>
          </w:rPr>
          <w:t>ies for Victorian Women</w:t>
        </w:r>
      </w:hyperlink>
      <w:r w:rsidR="003E77AA" w:rsidRPr="00541E27">
        <w:rPr>
          <w:sz w:val="18"/>
          <w:szCs w:val="18"/>
        </w:rPr>
        <w:t>’</w:t>
      </w:r>
      <w:r w:rsidR="005D4688" w:rsidRPr="00541E27">
        <w:rPr>
          <w:sz w:val="18"/>
          <w:szCs w:val="18"/>
        </w:rPr>
        <w:t xml:space="preserve">, </w:t>
      </w:r>
      <w:r w:rsidR="00275807" w:rsidRPr="00541E27">
        <w:rPr>
          <w:sz w:val="18"/>
          <w:szCs w:val="18"/>
        </w:rPr>
        <w:t>Victoria State Government, Media Release</w:t>
      </w:r>
      <w:r w:rsidR="008F6882" w:rsidRPr="00541E27">
        <w:rPr>
          <w:sz w:val="18"/>
          <w:szCs w:val="18"/>
        </w:rPr>
        <w:t xml:space="preserve">, </w:t>
      </w:r>
      <w:r w:rsidR="00275807" w:rsidRPr="00541E27">
        <w:rPr>
          <w:sz w:val="18"/>
          <w:szCs w:val="18"/>
        </w:rPr>
        <w:t xml:space="preserve">5 September 2022, accessed 14 April 2023 </w:t>
      </w:r>
    </w:p>
  </w:footnote>
  <w:footnote w:id="84">
    <w:p w14:paraId="65952521" w14:textId="06B6E0B7" w:rsidR="006D07A5" w:rsidRPr="00541E27" w:rsidRDefault="006D07A5">
      <w:pPr>
        <w:pStyle w:val="FootnoteText"/>
        <w:rPr>
          <w:sz w:val="18"/>
          <w:szCs w:val="18"/>
        </w:rPr>
      </w:pPr>
      <w:r w:rsidRPr="00541E27">
        <w:rPr>
          <w:rStyle w:val="FootnoteReference"/>
          <w:sz w:val="18"/>
          <w:szCs w:val="18"/>
        </w:rPr>
        <w:footnoteRef/>
      </w:r>
      <w:r w:rsidRPr="00541E27">
        <w:rPr>
          <w:sz w:val="18"/>
          <w:szCs w:val="18"/>
        </w:rPr>
        <w:t xml:space="preserve">For examples of policies in the UK university sector implemented to recruit men into nursing degrees, see: A Clifton, S Crooks and J </w:t>
      </w:r>
      <w:r w:rsidRPr="00541E27">
        <w:rPr>
          <w:sz w:val="18"/>
          <w:szCs w:val="18"/>
        </w:rPr>
        <w:t>Higman, ‘</w:t>
      </w:r>
      <w:hyperlink r:id="rId66" w:history="1">
        <w:r w:rsidRPr="00541E27">
          <w:rPr>
            <w:rStyle w:val="Hyperlink"/>
            <w:sz w:val="18"/>
            <w:szCs w:val="18"/>
          </w:rPr>
          <w:t>Exploring the recruitment of men into the nursing profession in the United Kingdom</w:t>
        </w:r>
      </w:hyperlink>
      <w:r w:rsidRPr="00541E27">
        <w:rPr>
          <w:sz w:val="18"/>
          <w:szCs w:val="18"/>
        </w:rPr>
        <w:t>’</w:t>
      </w:r>
      <w:r w:rsidR="008F6882" w:rsidRPr="00541E27">
        <w:rPr>
          <w:sz w:val="18"/>
          <w:szCs w:val="18"/>
        </w:rPr>
        <w:t xml:space="preserve">, </w:t>
      </w:r>
      <w:r w:rsidRPr="00541E27">
        <w:rPr>
          <w:sz w:val="18"/>
          <w:szCs w:val="18"/>
        </w:rPr>
        <w:t>August 2020</w:t>
      </w:r>
      <w:r w:rsidR="008F6882" w:rsidRPr="00541E27">
        <w:rPr>
          <w:sz w:val="18"/>
          <w:szCs w:val="18"/>
        </w:rPr>
        <w:t>,</w:t>
      </w:r>
      <w:r w:rsidRPr="00541E27">
        <w:rPr>
          <w:sz w:val="18"/>
          <w:szCs w:val="18"/>
        </w:rPr>
        <w:t xml:space="preserve"> 76 </w:t>
      </w:r>
      <w:r w:rsidRPr="00541E27">
        <w:rPr>
          <w:i/>
          <w:iCs/>
          <w:sz w:val="18"/>
          <w:szCs w:val="18"/>
        </w:rPr>
        <w:t>Journal of Advanced Nursing</w:t>
      </w:r>
      <w:r w:rsidRPr="00541E27">
        <w:rPr>
          <w:sz w:val="18"/>
          <w:szCs w:val="18"/>
        </w:rPr>
        <w:t xml:space="preserve"> 8, accessed 5 April 2023 </w:t>
      </w:r>
    </w:p>
  </w:footnote>
  <w:footnote w:id="85">
    <w:p w14:paraId="3675A378" w14:textId="4B9F5454" w:rsidR="00B17B0B" w:rsidRPr="00BA2F95" w:rsidRDefault="00B17B0B" w:rsidP="00B17B0B">
      <w:pPr>
        <w:pStyle w:val="FootnoteText"/>
        <w:rPr>
          <w:rFonts w:cs="Arial"/>
          <w:sz w:val="18"/>
          <w:szCs w:val="18"/>
        </w:rPr>
      </w:pPr>
      <w:r w:rsidRPr="00541E27">
        <w:rPr>
          <w:rStyle w:val="FootnoteReference"/>
          <w:rFonts w:cs="Arial"/>
          <w:sz w:val="18"/>
          <w:szCs w:val="18"/>
        </w:rPr>
        <w:footnoteRef/>
      </w:r>
      <w:r w:rsidRPr="00541E27">
        <w:rPr>
          <w:rFonts w:cs="Arial"/>
          <w:sz w:val="18"/>
          <w:szCs w:val="18"/>
        </w:rPr>
        <w:t xml:space="preserve"> </w:t>
      </w:r>
      <w:r w:rsidR="00BC6DBD" w:rsidRPr="00541E27">
        <w:rPr>
          <w:rFonts w:cs="Arial"/>
          <w:sz w:val="18"/>
          <w:szCs w:val="18"/>
        </w:rPr>
        <w:t xml:space="preserve">Sojo VE, Wood RE, Wood SA and Wheeler MA, ‘Reporting requirements, targets, and quotas for women in leadership’, 2016, 27 </w:t>
      </w:r>
      <w:r w:rsidR="00BC6DBD" w:rsidRPr="00541E27">
        <w:rPr>
          <w:rFonts w:cs="Arial"/>
          <w:i/>
          <w:iCs/>
          <w:sz w:val="18"/>
          <w:szCs w:val="18"/>
        </w:rPr>
        <w:t>The Leadership Quarterly</w:t>
      </w:r>
      <w:r w:rsidR="00BC6DBD" w:rsidRPr="00541E27">
        <w:rPr>
          <w:rFonts w:cs="Arial"/>
          <w:sz w:val="18"/>
          <w:szCs w:val="18"/>
        </w:rPr>
        <w:t xml:space="preserve"> 3, pp. 519-536; Government Equalities Office, ‘</w:t>
      </w:r>
      <w:hyperlink r:id="rId67" w:history="1">
        <w:r w:rsidR="00BC6DBD" w:rsidRPr="00541E27">
          <w:rPr>
            <w:rStyle w:val="Hyperlink"/>
            <w:rFonts w:cs="Arial"/>
            <w:sz w:val="18"/>
            <w:szCs w:val="18"/>
          </w:rPr>
          <w:t>Reducing the gender pay gap and improving gender equality in organisations: Evidence-based actions for employers</w:t>
        </w:r>
      </w:hyperlink>
      <w:r w:rsidR="00BC6DBD" w:rsidRPr="00541E27">
        <w:rPr>
          <w:rFonts w:cs="Arial"/>
          <w:sz w:val="18"/>
          <w:szCs w:val="18"/>
        </w:rPr>
        <w:t>’, UK Government, undated;  Employment and Social Development Canada, ‘</w:t>
      </w:r>
      <w:hyperlink r:id="rId68" w:history="1">
        <w:r w:rsidR="00BC6DBD" w:rsidRPr="00541E27">
          <w:rPr>
            <w:rStyle w:val="Hyperlink"/>
            <w:rFonts w:cs="Arial"/>
            <w:sz w:val="18"/>
            <w:szCs w:val="18"/>
          </w:rPr>
          <w:t>How to Improve Workplace Equity: Evidence-based Actions for Employers</w:t>
        </w:r>
      </w:hyperlink>
      <w:r w:rsidR="00BC6DBD" w:rsidRPr="00541E27">
        <w:rPr>
          <w:rFonts w:cs="Arial"/>
          <w:sz w:val="18"/>
          <w:szCs w:val="18"/>
        </w:rPr>
        <w:t>’, Workplace Equity Division – Labour Program, 2023, accessed 29 March 2023</w:t>
      </w:r>
    </w:p>
  </w:footnote>
  <w:footnote w:id="86">
    <w:p w14:paraId="79C1E5F6" w14:textId="276DE364" w:rsidR="00C14B9C" w:rsidRPr="00541E27" w:rsidRDefault="00C14B9C" w:rsidP="00C14B9C">
      <w:pPr>
        <w:pStyle w:val="FootnoteText"/>
        <w:rPr>
          <w:rFonts w:cs="Arial"/>
          <w:sz w:val="18"/>
          <w:szCs w:val="18"/>
        </w:rPr>
      </w:pPr>
      <w:r w:rsidRPr="00541E27">
        <w:rPr>
          <w:rStyle w:val="FootnoteReference"/>
          <w:rFonts w:cs="Arial"/>
          <w:sz w:val="18"/>
          <w:szCs w:val="18"/>
        </w:rPr>
        <w:footnoteRef/>
      </w:r>
      <w:r w:rsidRPr="00541E27">
        <w:rPr>
          <w:rFonts w:cs="Arial"/>
          <w:sz w:val="18"/>
          <w:szCs w:val="18"/>
        </w:rPr>
        <w:t xml:space="preserve"> </w:t>
      </w:r>
      <w:r w:rsidR="009F583C" w:rsidRPr="00541E27">
        <w:rPr>
          <w:rFonts w:cs="Arial"/>
          <w:sz w:val="18"/>
          <w:szCs w:val="18"/>
        </w:rPr>
        <w:t xml:space="preserve">Victorian Public Sector Commission, </w:t>
      </w:r>
      <w:hyperlink r:id="rId69" w:history="1">
        <w:r w:rsidR="009F583C" w:rsidRPr="00541E27">
          <w:rPr>
            <w:rStyle w:val="Hyperlink"/>
            <w:rFonts w:cs="Arial"/>
            <w:sz w:val="18"/>
            <w:szCs w:val="18"/>
          </w:rPr>
          <w:t>Board numbers and demographics</w:t>
        </w:r>
      </w:hyperlink>
      <w:r w:rsidR="009F583C" w:rsidRPr="00541E27">
        <w:rPr>
          <w:rFonts w:cs="Arial"/>
          <w:sz w:val="18"/>
          <w:szCs w:val="18"/>
        </w:rPr>
        <w:t>, 2021, accessed 5 April 2023; The Hon Natalie Hutchins MP (Minister for Education, Minister for Women), ‘</w:t>
      </w:r>
      <w:hyperlink r:id="rId70" w:history="1">
        <w:r w:rsidR="009F583C" w:rsidRPr="00541E27">
          <w:rPr>
            <w:rStyle w:val="Hyperlink"/>
            <w:rFonts w:cs="Arial"/>
            <w:sz w:val="18"/>
            <w:szCs w:val="18"/>
          </w:rPr>
          <w:t>Celebrating Women Now and Always’</w:t>
        </w:r>
      </w:hyperlink>
      <w:r w:rsidR="009F583C" w:rsidRPr="00541E27">
        <w:rPr>
          <w:rFonts w:cs="Arial"/>
          <w:sz w:val="18"/>
          <w:szCs w:val="18"/>
        </w:rPr>
        <w:t>, Victoria State Government, Media Release, 8 March 2023, accessed 14 April 2023</w:t>
      </w:r>
    </w:p>
  </w:footnote>
  <w:footnote w:id="87">
    <w:p w14:paraId="1E836DF1" w14:textId="221A36F1" w:rsidR="003B7B2A" w:rsidRPr="00541E27" w:rsidRDefault="003B7B2A">
      <w:pPr>
        <w:pStyle w:val="FootnoteText"/>
        <w:rPr>
          <w:sz w:val="18"/>
          <w:szCs w:val="18"/>
        </w:rPr>
      </w:pPr>
      <w:r w:rsidRPr="00541E27">
        <w:rPr>
          <w:rStyle w:val="FootnoteReference"/>
          <w:sz w:val="18"/>
          <w:szCs w:val="18"/>
        </w:rPr>
        <w:footnoteRef/>
      </w:r>
      <w:r w:rsidRPr="00541E27">
        <w:rPr>
          <w:sz w:val="18"/>
          <w:szCs w:val="18"/>
        </w:rPr>
        <w:t xml:space="preserve"> S. </w:t>
      </w:r>
      <w:r w:rsidR="0026253C" w:rsidRPr="00541E27">
        <w:rPr>
          <w:sz w:val="18"/>
          <w:szCs w:val="18"/>
        </w:rPr>
        <w:t>17, GE Act</w:t>
      </w:r>
    </w:p>
  </w:footnote>
  <w:footnote w:id="88">
    <w:p w14:paraId="46EDB69E" w14:textId="20A5FAE6" w:rsidR="00110BB9" w:rsidRPr="00541E27" w:rsidRDefault="00110BB9">
      <w:pPr>
        <w:pStyle w:val="FootnoteText"/>
        <w:rPr>
          <w:sz w:val="18"/>
          <w:szCs w:val="18"/>
        </w:rPr>
      </w:pPr>
      <w:r w:rsidRPr="00541E27">
        <w:rPr>
          <w:rStyle w:val="FootnoteReference"/>
          <w:sz w:val="18"/>
          <w:szCs w:val="18"/>
        </w:rPr>
        <w:footnoteRef/>
      </w:r>
      <w:r w:rsidRPr="00541E27">
        <w:rPr>
          <w:sz w:val="18"/>
          <w:szCs w:val="18"/>
        </w:rPr>
        <w:t xml:space="preserve"> </w:t>
      </w:r>
      <w:r w:rsidR="00960FA9" w:rsidRPr="00541E27">
        <w:rPr>
          <w:sz w:val="18"/>
          <w:szCs w:val="18"/>
        </w:rPr>
        <w:t xml:space="preserve">WGEA, Business Council of Australia, McKinsey &amp; Company, </w:t>
      </w:r>
      <w:hyperlink r:id="rId71" w:history="1">
        <w:r w:rsidR="00960FA9" w:rsidRPr="00541E27">
          <w:rPr>
            <w:rStyle w:val="Hyperlink"/>
            <w:sz w:val="18"/>
            <w:szCs w:val="18"/>
          </w:rPr>
          <w:t>Women in leadership: Lessons from Australian companies leading the way</w:t>
        </w:r>
      </w:hyperlink>
      <w:r w:rsidR="009F583C" w:rsidRPr="00541E27">
        <w:rPr>
          <w:sz w:val="18"/>
          <w:szCs w:val="18"/>
        </w:rPr>
        <w:t xml:space="preserve">, </w:t>
      </w:r>
      <w:r w:rsidR="00960FA9" w:rsidRPr="00541E27">
        <w:rPr>
          <w:sz w:val="18"/>
          <w:szCs w:val="18"/>
        </w:rPr>
        <w:t xml:space="preserve">1 November 2018, accessed </w:t>
      </w:r>
      <w:r w:rsidR="00D70AB9" w:rsidRPr="00541E27">
        <w:rPr>
          <w:sz w:val="18"/>
          <w:szCs w:val="18"/>
        </w:rPr>
        <w:t>5</w:t>
      </w:r>
      <w:r w:rsidR="00960FA9" w:rsidRPr="00541E27">
        <w:rPr>
          <w:sz w:val="18"/>
          <w:szCs w:val="18"/>
        </w:rPr>
        <w:t xml:space="preserve"> April 2023  </w:t>
      </w:r>
    </w:p>
  </w:footnote>
  <w:footnote w:id="89">
    <w:p w14:paraId="036FFD44" w14:textId="6A2A5DAF" w:rsidR="002520FC" w:rsidRPr="00541E27" w:rsidRDefault="002520FC">
      <w:pPr>
        <w:pStyle w:val="FootnoteText"/>
        <w:rPr>
          <w:sz w:val="18"/>
          <w:szCs w:val="18"/>
        </w:rPr>
      </w:pPr>
      <w:r w:rsidRPr="00541E27">
        <w:rPr>
          <w:rStyle w:val="FootnoteReference"/>
          <w:sz w:val="18"/>
          <w:szCs w:val="18"/>
        </w:rPr>
        <w:footnoteRef/>
      </w:r>
      <w:r w:rsidRPr="00541E27">
        <w:rPr>
          <w:sz w:val="18"/>
          <w:szCs w:val="18"/>
        </w:rPr>
        <w:t xml:space="preserve"> </w:t>
      </w:r>
      <w:r w:rsidR="004E653C" w:rsidRPr="00541E27">
        <w:rPr>
          <w:sz w:val="18"/>
          <w:szCs w:val="18"/>
        </w:rPr>
        <w:t xml:space="preserve">State of Victoria, Commission for Gender Equality in the Public Sector, </w:t>
      </w:r>
      <w:hyperlink r:id="rId72" w:history="1">
        <w:r w:rsidR="004E653C" w:rsidRPr="00541E27">
          <w:rPr>
            <w:rStyle w:val="Hyperlink"/>
            <w:sz w:val="18"/>
            <w:szCs w:val="18"/>
          </w:rPr>
          <w:t>Baseline Report – 2021 workplace gender audit data analysis</w:t>
        </w:r>
      </w:hyperlink>
      <w:r w:rsidR="004E653C" w:rsidRPr="00541E27">
        <w:rPr>
          <w:sz w:val="18"/>
          <w:szCs w:val="18"/>
        </w:rPr>
        <w:t>, September 2022, p.88, accessed 5 April 2023</w:t>
      </w:r>
    </w:p>
  </w:footnote>
  <w:footnote w:id="90">
    <w:p w14:paraId="4638194E" w14:textId="6C6BC231" w:rsidR="004E44A9" w:rsidRPr="00541E27" w:rsidRDefault="004E44A9" w:rsidP="004E44A9">
      <w:pPr>
        <w:pStyle w:val="FootnoteText"/>
        <w:rPr>
          <w:sz w:val="18"/>
          <w:szCs w:val="18"/>
        </w:rPr>
      </w:pPr>
      <w:r w:rsidRPr="00541E27">
        <w:rPr>
          <w:rStyle w:val="FootnoteReference"/>
          <w:sz w:val="18"/>
          <w:szCs w:val="18"/>
        </w:rPr>
        <w:footnoteRef/>
      </w:r>
      <w:r w:rsidRPr="00541E27">
        <w:rPr>
          <w:sz w:val="18"/>
          <w:szCs w:val="18"/>
        </w:rPr>
        <w:t xml:space="preserve"> </w:t>
      </w:r>
      <w:r w:rsidR="004E653C" w:rsidRPr="00541E27">
        <w:rPr>
          <w:sz w:val="18"/>
          <w:szCs w:val="18"/>
        </w:rPr>
        <w:t xml:space="preserve">WGEA, Business Council of Australia, McKinsey &amp; Company, </w:t>
      </w:r>
      <w:hyperlink r:id="rId73" w:history="1">
        <w:r w:rsidR="004E653C" w:rsidRPr="00541E27">
          <w:rPr>
            <w:rStyle w:val="Hyperlink"/>
            <w:sz w:val="18"/>
            <w:szCs w:val="18"/>
          </w:rPr>
          <w:t>Women in leadership: Lessons from Australian companies leading the way</w:t>
        </w:r>
      </w:hyperlink>
      <w:r w:rsidR="004E653C" w:rsidRPr="00541E27">
        <w:rPr>
          <w:sz w:val="18"/>
          <w:szCs w:val="18"/>
        </w:rPr>
        <w:t xml:space="preserve">, 1 November 2018, accessed 5 April 2023. For more information, see: Cultivate, </w:t>
      </w:r>
      <w:hyperlink r:id="rId74" w:history="1">
        <w:r w:rsidR="004E653C" w:rsidRPr="00541E27">
          <w:rPr>
            <w:rStyle w:val="Hyperlink"/>
            <w:sz w:val="18"/>
            <w:szCs w:val="18"/>
          </w:rPr>
          <w:t>The Cultivate Sponsorship Story</w:t>
        </w:r>
      </w:hyperlink>
      <w:r w:rsidR="004E653C" w:rsidRPr="00541E27">
        <w:rPr>
          <w:sz w:val="18"/>
          <w:szCs w:val="18"/>
        </w:rPr>
        <w:t>, 2020, accessed 5 April 2023</w:t>
      </w:r>
    </w:p>
  </w:footnote>
  <w:footnote w:id="91">
    <w:p w14:paraId="57DBBE7A" w14:textId="46A4802C" w:rsidR="008B476D" w:rsidRPr="00541E27" w:rsidRDefault="008B476D">
      <w:pPr>
        <w:pStyle w:val="FootnoteText"/>
        <w:rPr>
          <w:sz w:val="18"/>
          <w:szCs w:val="18"/>
        </w:rPr>
      </w:pPr>
      <w:r w:rsidRPr="00541E27">
        <w:rPr>
          <w:rStyle w:val="FootnoteReference"/>
          <w:sz w:val="18"/>
          <w:szCs w:val="18"/>
        </w:rPr>
        <w:footnoteRef/>
      </w:r>
      <w:r w:rsidRPr="00541E27">
        <w:rPr>
          <w:sz w:val="18"/>
          <w:szCs w:val="18"/>
        </w:rPr>
        <w:t xml:space="preserve"> </w:t>
      </w:r>
      <w:r w:rsidR="00CA7DED" w:rsidRPr="00541E27">
        <w:rPr>
          <w:sz w:val="18"/>
          <w:szCs w:val="18"/>
        </w:rPr>
        <w:t xml:space="preserve">V </w:t>
      </w:r>
      <w:r w:rsidR="00CA7DED" w:rsidRPr="00541E27">
        <w:rPr>
          <w:sz w:val="18"/>
          <w:szCs w:val="18"/>
        </w:rPr>
        <w:t>Mapedzahama, F Laffernis, A Barhoum, and J O’Leary, Culturally and Racially Marginalised Women in Leadership: A framework for (intersectional) organisational action, Diversity Council Australia</w:t>
      </w:r>
      <w:r w:rsidR="00DC2908" w:rsidRPr="00541E27">
        <w:rPr>
          <w:sz w:val="18"/>
          <w:szCs w:val="18"/>
        </w:rPr>
        <w:t xml:space="preserve">, </w:t>
      </w:r>
      <w:r w:rsidR="00CA7DED" w:rsidRPr="00541E27">
        <w:rPr>
          <w:sz w:val="18"/>
          <w:szCs w:val="18"/>
        </w:rPr>
        <w:t>2023, accessed 14 April 2023</w:t>
      </w:r>
    </w:p>
  </w:footnote>
  <w:footnote w:id="92">
    <w:p w14:paraId="4889944B" w14:textId="559A3482" w:rsidR="00701A75" w:rsidRPr="005833B6" w:rsidRDefault="00701A75">
      <w:pPr>
        <w:pStyle w:val="FootnoteText"/>
        <w:rPr>
          <w:sz w:val="18"/>
          <w:szCs w:val="18"/>
        </w:rPr>
      </w:pPr>
      <w:r w:rsidRPr="00541E27">
        <w:rPr>
          <w:rStyle w:val="FootnoteReference"/>
          <w:sz w:val="18"/>
          <w:szCs w:val="18"/>
        </w:rPr>
        <w:footnoteRef/>
      </w:r>
      <w:r w:rsidRPr="00541E27">
        <w:rPr>
          <w:sz w:val="18"/>
          <w:szCs w:val="18"/>
        </w:rPr>
        <w:t xml:space="preserve"> </w:t>
      </w:r>
      <w:r w:rsidR="0068558C" w:rsidRPr="00541E27">
        <w:rPr>
          <w:sz w:val="18"/>
          <w:szCs w:val="18"/>
        </w:rPr>
        <w:t xml:space="preserve">I </w:t>
      </w:r>
      <w:r w:rsidR="0068558C" w:rsidRPr="00541E27">
        <w:rPr>
          <w:sz w:val="18"/>
          <w:szCs w:val="18"/>
        </w:rPr>
        <w:t>Bohnet, What Works: Gender Equality By Design, Harvard University Press, 2016; WGEA, Gender equitable recruitment and promotion,</w:t>
      </w:r>
      <w:r w:rsidR="0031544C" w:rsidRPr="00541E27">
        <w:rPr>
          <w:sz w:val="18"/>
          <w:szCs w:val="18"/>
        </w:rPr>
        <w:t xml:space="preserve"> WGEA (website)</w:t>
      </w:r>
      <w:r w:rsidR="0068558C" w:rsidRPr="00541E27">
        <w:rPr>
          <w:sz w:val="18"/>
          <w:szCs w:val="18"/>
        </w:rPr>
        <w:t xml:space="preserve"> 2019, accessed </w:t>
      </w:r>
      <w:r w:rsidR="0031544C" w:rsidRPr="00541E27">
        <w:rPr>
          <w:sz w:val="18"/>
          <w:szCs w:val="18"/>
        </w:rPr>
        <w:t>14 April 2023</w:t>
      </w:r>
    </w:p>
  </w:footnote>
  <w:footnote w:id="93">
    <w:p w14:paraId="3D14E432" w14:textId="5CD7E782" w:rsidR="00091931" w:rsidRDefault="00091931">
      <w:pPr>
        <w:pStyle w:val="FootnoteText"/>
      </w:pPr>
      <w:r w:rsidRPr="000D1666">
        <w:rPr>
          <w:rStyle w:val="FootnoteReference"/>
          <w:sz w:val="18"/>
          <w:szCs w:val="18"/>
        </w:rPr>
        <w:footnoteRef/>
      </w:r>
      <w:r w:rsidRPr="000D1666">
        <w:rPr>
          <w:sz w:val="18"/>
          <w:szCs w:val="18"/>
        </w:rPr>
        <w:t xml:space="preserve"> </w:t>
      </w:r>
      <w:r w:rsidR="00E75F28" w:rsidRPr="000D1666">
        <w:rPr>
          <w:sz w:val="18"/>
          <w:szCs w:val="18"/>
        </w:rPr>
        <w:t xml:space="preserve">State of Victoria, </w:t>
      </w:r>
      <w:hyperlink r:id="rId75" w:history="1">
        <w:r w:rsidR="00E75F28" w:rsidRPr="000D1666">
          <w:rPr>
            <w:rStyle w:val="Hyperlink"/>
            <w:sz w:val="18"/>
            <w:szCs w:val="18"/>
          </w:rPr>
          <w:t>Women of Colour Executive Leadership Program</w:t>
        </w:r>
      </w:hyperlink>
      <w:r w:rsidR="0031544C">
        <w:rPr>
          <w:sz w:val="18"/>
          <w:szCs w:val="18"/>
        </w:rPr>
        <w:t xml:space="preserve">, </w:t>
      </w:r>
      <w:r w:rsidR="00E75F28" w:rsidRPr="000D1666">
        <w:rPr>
          <w:sz w:val="18"/>
          <w:szCs w:val="18"/>
        </w:rPr>
        <w:t>1 February 2023</w:t>
      </w:r>
      <w:r w:rsidR="003B31C9" w:rsidRPr="000D1666">
        <w:rPr>
          <w:sz w:val="18"/>
          <w:szCs w:val="18"/>
        </w:rPr>
        <w:t>, accessed 14 April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F13" w14:textId="291B1757" w:rsidR="00A964EC" w:rsidRDefault="00191440" w:rsidP="00191440">
    <w:pPr>
      <w:pStyle w:val="Header"/>
      <w:tabs>
        <w:tab w:val="clear" w:pos="4513"/>
        <w:tab w:val="clear" w:pos="9026"/>
        <w:tab w:val="left" w:pos="8324"/>
      </w:tabs>
    </w:pPr>
    <w:r>
      <w:rPr>
        <w:noProof/>
      </w:rPr>
      <mc:AlternateContent>
        <mc:Choice Requires="wpg">
          <w:drawing>
            <wp:anchor distT="0" distB="0" distL="114300" distR="114300" simplePos="0" relativeHeight="251658242" behindDoc="1" locked="0" layoutInCell="1" allowOverlap="1" wp14:anchorId="0F5B3096" wp14:editId="228296DB">
              <wp:simplePos x="0" y="0"/>
              <wp:positionH relativeFrom="page">
                <wp:align>right</wp:align>
              </wp:positionH>
              <wp:positionV relativeFrom="paragraph">
                <wp:posOffset>-450215</wp:posOffset>
              </wp:positionV>
              <wp:extent cx="7922917" cy="904240"/>
              <wp:effectExtent l="0" t="0" r="1905" b="0"/>
              <wp:wrapNone/>
              <wp:docPr id="5" name="Group 5"/>
              <wp:cNvGraphicFramePr/>
              <a:graphic xmlns:a="http://schemas.openxmlformats.org/drawingml/2006/main">
                <a:graphicData uri="http://schemas.microsoft.com/office/word/2010/wordprocessingGroup">
                  <wpg:wgp>
                    <wpg:cNvGrpSpPr/>
                    <wpg:grpSpPr>
                      <a:xfrm>
                        <a:off x="0" y="0"/>
                        <a:ext cx="7922917" cy="904240"/>
                        <a:chOff x="0" y="0"/>
                        <a:chExt cx="7801610" cy="904240"/>
                      </a:xfrm>
                    </wpg:grpSpPr>
                    <pic:pic xmlns:pic="http://schemas.openxmlformats.org/drawingml/2006/picture">
                      <pic:nvPicPr>
                        <pic:cNvPr id="15" name="Picture 15"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0" y="0"/>
                          <a:ext cx="6038850" cy="904240"/>
                        </a:xfrm>
                        <a:prstGeom prst="rect">
                          <a:avLst/>
                        </a:prstGeom>
                      </pic:spPr>
                    </pic:pic>
                    <pic:pic xmlns:pic="http://schemas.openxmlformats.org/drawingml/2006/picture">
                      <pic:nvPicPr>
                        <pic:cNvPr id="14" name="Picture 14" descr="Shape&#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6013450" y="0"/>
                          <a:ext cx="1788160" cy="904240"/>
                        </a:xfrm>
                        <a:prstGeom prst="rect">
                          <a:avLst/>
                        </a:prstGeom>
                      </pic:spPr>
                    </pic:pic>
                  </wpg:wgp>
                </a:graphicData>
              </a:graphic>
              <wp14:sizeRelH relativeFrom="margin">
                <wp14:pctWidth>0</wp14:pctWidth>
              </wp14:sizeRelH>
            </wp:anchor>
          </w:drawing>
        </mc:Choice>
        <mc:Fallback>
          <w:pict>
            <v:group w14:anchorId="60F8F978" id="Group 5" o:spid="_x0000_s1026" style="position:absolute;margin-left:572.65pt;margin-top:-35.45pt;width:623.85pt;height:71.2pt;z-index:-251658238;mso-position-horizontal:right;mso-position-horizontal-relative:page;mso-width-relative:margin" coordsize="78016,90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Shape&#10;&#10;Description automatically generated" style="position:absolute;width:60388;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">
                <v:imagedata r:id="rId2" o:title="Shape&#10;&#10;Description automatically generated" cropright="21709f"/>
              </v:shape>
              <v:shape id="Picture 14" o:spid="_x0000_s1028" type="#_x0000_t75" alt="Shape&#10;&#10;Description automatically generated" style="position:absolute;left:60134;width:17882;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">
                <v:imagedata r:id="rId2" o:title="Shape&#10;&#10;Description automatically generated" cropleft="43982f"/>
              </v:shape>
              <w10:wrap anchorx="page"/>
            </v:group>
          </w:pict>
        </mc:Fallback>
      </mc:AlternateContent>
    </w:r>
    <w:r w:rsidR="00A964EC" w:rsidRPr="004316A9">
      <w:rPr>
        <w:noProof/>
      </w:rPr>
      <mc:AlternateContent>
        <mc:Choice Requires="wpg">
          <w:drawing>
            <wp:anchor distT="0" distB="0" distL="114300" distR="114300" simplePos="0" relativeHeight="251658240" behindDoc="1" locked="0" layoutInCell="1" allowOverlap="1" wp14:anchorId="7762273C" wp14:editId="0649B817">
              <wp:simplePos x="0" y="0"/>
              <wp:positionH relativeFrom="page">
                <wp:posOffset>7761767</wp:posOffset>
              </wp:positionH>
              <wp:positionV relativeFrom="paragraph">
                <wp:posOffset>-460213</wp:posOffset>
              </wp:positionV>
              <wp:extent cx="7790323" cy="905347"/>
              <wp:effectExtent l="0" t="0" r="1270" b="9525"/>
              <wp:wrapNone/>
              <wp:docPr id="7" name="Group 7">
                <a:extLst xmlns:a="http://schemas.openxmlformats.org/drawingml/2006/main">
                  <a:ext uri="{FF2B5EF4-FFF2-40B4-BE49-F238E27FC236}">
                    <a16:creationId xmlns:a16="http://schemas.microsoft.com/office/drawing/2014/main" id="{AB19025B-53CA-4CBB-9DBB-C5C04A076BBC}"/>
                  </a:ext>
                </a:extLst>
              </wp:docPr>
              <wp:cNvGraphicFramePr/>
              <a:graphic xmlns:a="http://schemas.openxmlformats.org/drawingml/2006/main">
                <a:graphicData uri="http://schemas.microsoft.com/office/word/2010/wordprocessingGroup">
                  <wpg:wgp>
                    <wpg:cNvGrpSpPr/>
                    <wpg:grpSpPr>
                      <a:xfrm>
                        <a:off x="0" y="0"/>
                        <a:ext cx="7790323" cy="905347"/>
                        <a:chOff x="33139" y="-25008"/>
                        <a:chExt cx="9138998" cy="1064684"/>
                      </a:xfrm>
                    </wpg:grpSpPr>
                    <pic:pic xmlns:pic="http://schemas.openxmlformats.org/drawingml/2006/picture">
                      <pic:nvPicPr>
                        <pic:cNvPr id="2" name="Picture 2" descr="Shape&#10;&#10;Description automatically generated">
                          <a:extLst>
                            <a:ext uri="{FF2B5EF4-FFF2-40B4-BE49-F238E27FC236}">
                              <a16:creationId xmlns:a16="http://schemas.microsoft.com/office/drawing/2014/main" id="{937F5801-006D-41FE-BF41-DCFEA04B586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7111"/>
                        <a:stretch/>
                      </pic:blipFill>
                      <pic:spPr>
                        <a:xfrm>
                          <a:off x="7078661" y="-25008"/>
                          <a:ext cx="2093476" cy="1063413"/>
                        </a:xfrm>
                        <a:prstGeom prst="rect">
                          <a:avLst/>
                        </a:prstGeom>
                      </pic:spPr>
                    </pic:pic>
                    <pic:pic xmlns:pic="http://schemas.openxmlformats.org/drawingml/2006/picture">
                      <pic:nvPicPr>
                        <pic:cNvPr id="3" name="Picture 3" descr="Shape&#10;&#10;Description automatically generated">
                          <a:extLst>
                            <a:ext uri="{FF2B5EF4-FFF2-40B4-BE49-F238E27FC236}">
                              <a16:creationId xmlns:a16="http://schemas.microsoft.com/office/drawing/2014/main" id="{33BB0BA2-735A-416A-9668-7CD0665E6546}"/>
                            </a:ext>
                          </a:extLst>
                        </pic:cNvPr>
                        <pic:cNvPicPr>
                          <a:picLocks noChangeAspect="1"/>
                        </pic:cNvPicPr>
                      </pic:nvPicPr>
                      <pic:blipFill rotWithShape="1">
                        <a:blip r:embed="rId1">
                          <a:extLst>
                            <a:ext uri="{28A0092B-C50C-407E-A947-70E740481C1C}">
                              <a14:useLocalDpi xmlns:a14="http://schemas.microsoft.com/office/drawing/2010/main" val="0"/>
                            </a:ext>
                          </a:extLst>
                        </a:blip>
                        <a:srcRect r="33125"/>
                        <a:stretch/>
                      </pic:blipFill>
                      <pic:spPr>
                        <a:xfrm>
                          <a:off x="33139" y="-23736"/>
                          <a:ext cx="7050870" cy="106341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9DBE4A" id="Group 7" o:spid="_x0000_s1026" style="position:absolute;margin-left:611.15pt;margin-top:-36.25pt;width:613.4pt;height:71.3pt;z-index:-251658240;mso-position-horizontal-relative:page;mso-width-relative:margin;mso-height-relative:margin" coordorigin="331,-250" coordsize="91389,10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">
              <v:shape id="Picture 2" o:spid="_x0000_s1027" type="#_x0000_t75" alt="Shape&#10;&#10;Description automatically generated" style="position:absolute;left:70786;top:-250;width:20935;height:10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">
                <v:imagedata r:id="rId2" o:title="Shape&#10;&#10;Description automatically generated" cropleft="43982f"/>
              </v:shape>
              <v:shape id="Picture 3" o:spid="_x0000_s1028" type="#_x0000_t75" alt="Shape&#10;&#10;Description automatically generated" style="position:absolute;left:331;top:-237;width:70509;height:10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">
                <v:imagedata r:id="rId2" o:title="Shape&#10;&#10;Description automatically generated" cropright="21709f"/>
              </v:shape>
              <w10:wrap anchorx="page"/>
            </v:group>
          </w:pict>
        </mc:Fallback>
      </mc:AlternateContent>
    </w:r>
    <w:r>
      <w:tab/>
    </w:r>
  </w:p>
</w:hdr>
</file>

<file path=word/intelligence2.xml><?xml version="1.0" encoding="utf-8"?>
<int2:intelligence xmlns:int2="http://schemas.microsoft.com/office/intelligence/2020/intelligence" xmlns:oel="http://schemas.microsoft.com/office/2019/extlst">
  <int2:observations>
    <int2:textHash int2:hashCode="K5k3SIcfUZsfuT" int2:id="XVGRbBjQ">
      <int2:state int2:value="Rejected" int2:type="AugLoop_Text_Critique"/>
    </int2:textHash>
    <int2:textHash int2:hashCode="HWYQMAgMwZpmF5" int2:id="qPPb5a8J">
      <int2:state int2:value="Rejected" int2:type="AugLoop_Text_Critique"/>
    </int2:textHash>
    <int2:bookmark int2:bookmarkName="_Int_tU3VOjSF" int2:invalidationBookmarkName="" int2:hashCode="sMd7IrSuX2hoey" int2:id="37MSYOtB">
      <int2:state int2:value="Rejected" int2:type="AugLoop_Text_Critique"/>
    </int2:bookmark>
    <int2:bookmark int2:bookmarkName="_Int_sWB2wpyN" int2:invalidationBookmarkName="" int2:hashCode="6bVNq+N7VCJ8bt" int2:id="fVzWhDtI">
      <int2:state int2:value="Rejected" int2:type="AugLoop_Text_Critique"/>
    </int2:bookmark>
    <int2:bookmark int2:bookmarkName="_Int_pG5gbNyN" int2:invalidationBookmarkName="" int2:hashCode="DCEfPUSrjauyOB" int2:id="pwSKDJsj">
      <int2:state int2:value="Rejected" int2:type="AugLoop_Text_Critique"/>
    </int2:bookmark>
    <int2:bookmark int2:bookmarkName="_Int_X4KTZybj" int2:invalidationBookmarkName="" int2:hashCode="waH4Rjwlr2owYL" int2:id="sLLa96G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EA9"/>
    <w:multiLevelType w:val="hybridMultilevel"/>
    <w:tmpl w:val="B3B832D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91E0D"/>
    <w:multiLevelType w:val="hybridMultilevel"/>
    <w:tmpl w:val="25464608"/>
    <w:lvl w:ilvl="0" w:tplc="FFFFFFFF">
      <w:start w:val="1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90030E"/>
    <w:multiLevelType w:val="multilevel"/>
    <w:tmpl w:val="C792A76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F8A5B87"/>
    <w:multiLevelType w:val="hybridMultilevel"/>
    <w:tmpl w:val="B3B832D6"/>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62B3D"/>
    <w:multiLevelType w:val="hybridMultilevel"/>
    <w:tmpl w:val="F19EC51C"/>
    <w:lvl w:ilvl="0" w:tplc="29BEDB78">
      <w:start w:val="13"/>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F94FBC"/>
    <w:multiLevelType w:val="multilevel"/>
    <w:tmpl w:val="6950BE9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2880" w:hanging="2880"/>
      </w:pPr>
      <w:rPr>
        <w:rFonts w:hint="default"/>
      </w:rPr>
    </w:lvl>
  </w:abstractNum>
  <w:abstractNum w:abstractNumId="6" w15:restartNumberingAfterBreak="0">
    <w:nsid w:val="267514D6"/>
    <w:multiLevelType w:val="hybridMultilevel"/>
    <w:tmpl w:val="7CD8C7AC"/>
    <w:lvl w:ilvl="0" w:tplc="A6E66678">
      <w:start w:val="1"/>
      <w:numFmt w:val="decimal"/>
      <w:lvlText w:val="(%1)"/>
      <w:lvlJc w:val="left"/>
      <w:pPr>
        <w:ind w:left="780" w:hanging="360"/>
      </w:pPr>
      <w:rPr>
        <w:rFonts w:hint="default"/>
      </w:r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28F621DF"/>
    <w:multiLevelType w:val="hybridMultilevel"/>
    <w:tmpl w:val="B3B832D6"/>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DB139D"/>
    <w:multiLevelType w:val="hybridMultilevel"/>
    <w:tmpl w:val="E744D976"/>
    <w:lvl w:ilvl="0" w:tplc="523A0782">
      <w:start w:val="7"/>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8E4D04"/>
    <w:multiLevelType w:val="hybridMultilevel"/>
    <w:tmpl w:val="B3B832D6"/>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CD3D1A"/>
    <w:multiLevelType w:val="hybridMultilevel"/>
    <w:tmpl w:val="E52A15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8B2B81A">
      <w:start w:val="14"/>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3B14A7"/>
    <w:multiLevelType w:val="hybridMultilevel"/>
    <w:tmpl w:val="B3B832D6"/>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44662A"/>
    <w:multiLevelType w:val="hybridMultilevel"/>
    <w:tmpl w:val="AA864D34"/>
    <w:lvl w:ilvl="0" w:tplc="36B4F9AA">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AD20B8"/>
    <w:multiLevelType w:val="hybridMultilevel"/>
    <w:tmpl w:val="25464608"/>
    <w:lvl w:ilvl="0" w:tplc="FFFFFFFF">
      <w:start w:val="1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F6A42"/>
    <w:multiLevelType w:val="hybridMultilevel"/>
    <w:tmpl w:val="2EDE8AC8"/>
    <w:lvl w:ilvl="0" w:tplc="7A2682A0">
      <w:start w:val="5"/>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EA4E38"/>
    <w:multiLevelType w:val="multilevel"/>
    <w:tmpl w:val="8A4E7D86"/>
    <w:lvl w:ilvl="0">
      <w:start w:val="1"/>
      <w:numFmt w:val="decimal"/>
      <w:lvlText w:val="%1."/>
      <w:lvlJc w:val="left"/>
      <w:pPr>
        <w:ind w:left="643" w:hanging="360"/>
      </w:pPr>
      <w:rPr>
        <w:rFonts w:hint="default"/>
      </w:rPr>
    </w:lvl>
    <w:lvl w:ilvl="1">
      <w:start w:val="1"/>
      <w:numFmt w:val="decimal"/>
      <w:lvlText w:val="%1.%2."/>
      <w:lvlJc w:val="left"/>
      <w:pPr>
        <w:ind w:left="792" w:hanging="432"/>
      </w:pPr>
      <w:rPr>
        <w:rFonts w:hint="default"/>
      </w:rPr>
    </w:lvl>
    <w:lvl w:ilvl="2">
      <w:start w:val="1"/>
      <w:numFmt w:val="decimal"/>
      <w:pStyle w:val="Style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F4191A"/>
    <w:multiLevelType w:val="hybridMultilevel"/>
    <w:tmpl w:val="05A2874C"/>
    <w:lvl w:ilvl="0" w:tplc="3B9EADCC">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7" w15:restartNumberingAfterBreak="0">
    <w:nsid w:val="40967707"/>
    <w:multiLevelType w:val="hybridMultilevel"/>
    <w:tmpl w:val="47AAD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645A14"/>
    <w:multiLevelType w:val="hybridMultilevel"/>
    <w:tmpl w:val="B3B832D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F3925"/>
    <w:multiLevelType w:val="hybridMultilevel"/>
    <w:tmpl w:val="1722D1A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0" w15:restartNumberingAfterBreak="0">
    <w:nsid w:val="42464ACB"/>
    <w:multiLevelType w:val="hybridMultilevel"/>
    <w:tmpl w:val="B3B832D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75426D"/>
    <w:multiLevelType w:val="hybridMultilevel"/>
    <w:tmpl w:val="79BECD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EA0269"/>
    <w:multiLevelType w:val="hybridMultilevel"/>
    <w:tmpl w:val="B3B832D6"/>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6C3C51"/>
    <w:multiLevelType w:val="hybridMultilevel"/>
    <w:tmpl w:val="2DD23F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BC5179"/>
    <w:multiLevelType w:val="hybridMultilevel"/>
    <w:tmpl w:val="8C5C4AB4"/>
    <w:lvl w:ilvl="0" w:tplc="186409D8">
      <w:start w:val="14"/>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7076937"/>
    <w:multiLevelType w:val="hybridMultilevel"/>
    <w:tmpl w:val="E7844008"/>
    <w:lvl w:ilvl="0" w:tplc="8F32F8F2">
      <w:start w:val="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AF6FF5"/>
    <w:multiLevelType w:val="hybridMultilevel"/>
    <w:tmpl w:val="25464608"/>
    <w:lvl w:ilvl="0" w:tplc="85FA27AC">
      <w:start w:val="1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BE5209"/>
    <w:multiLevelType w:val="hybridMultilevel"/>
    <w:tmpl w:val="B3B832D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ED4E14"/>
    <w:multiLevelType w:val="hybridMultilevel"/>
    <w:tmpl w:val="49F48B0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0" w15:restartNumberingAfterBreak="0">
    <w:nsid w:val="616066E1"/>
    <w:multiLevelType w:val="hybridMultilevel"/>
    <w:tmpl w:val="9FB45D0C"/>
    <w:lvl w:ilvl="0" w:tplc="0C090001">
      <w:start w:val="1"/>
      <w:numFmt w:val="bullet"/>
      <w:lvlText w:val=""/>
      <w:lvlJc w:val="left"/>
      <w:pPr>
        <w:ind w:left="720" w:hanging="360"/>
      </w:pPr>
      <w:rPr>
        <w:rFonts w:ascii="Symbol" w:hAnsi="Symbol" w:hint="default"/>
      </w:rPr>
    </w:lvl>
    <w:lvl w:ilvl="1" w:tplc="EA904DE8">
      <w:start w:val="8"/>
      <w:numFmt w:val="bullet"/>
      <w:lvlText w:val="•"/>
      <w:lvlJc w:val="left"/>
      <w:pPr>
        <w:ind w:left="1800" w:hanging="720"/>
      </w:pPr>
      <w:rPr>
        <w:rFonts w:ascii="VIC" w:eastAsiaTheme="minorHAnsi" w:hAnsi="VIC"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312759"/>
    <w:multiLevelType w:val="hybridMultilevel"/>
    <w:tmpl w:val="B3B832D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F08630C"/>
    <w:multiLevelType w:val="hybridMultilevel"/>
    <w:tmpl w:val="B3B832D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AE36B9"/>
    <w:multiLevelType w:val="hybridMultilevel"/>
    <w:tmpl w:val="B3B832D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E449D4"/>
    <w:multiLevelType w:val="hybridMultilevel"/>
    <w:tmpl w:val="B4E8CD3E"/>
    <w:lvl w:ilvl="0" w:tplc="2D14D400">
      <w:start w:val="10"/>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FB4519"/>
    <w:multiLevelType w:val="hybridMultilevel"/>
    <w:tmpl w:val="D6EE1F84"/>
    <w:lvl w:ilvl="0" w:tplc="81F05BAE">
      <w:start w:val="9"/>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3986AE0"/>
    <w:multiLevelType w:val="hybridMultilevel"/>
    <w:tmpl w:val="5516839E"/>
    <w:lvl w:ilvl="0" w:tplc="82DE063E">
      <w:start w:val="1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997465"/>
    <w:multiLevelType w:val="hybridMultilevel"/>
    <w:tmpl w:val="E7844008"/>
    <w:lvl w:ilvl="0" w:tplc="FFFFFFFF">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BD56FB"/>
    <w:multiLevelType w:val="hybridMultilevel"/>
    <w:tmpl w:val="3ED87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8840884">
    <w:abstractNumId w:val="25"/>
  </w:num>
  <w:num w:numId="2" w16cid:durableId="1141925492">
    <w:abstractNumId w:val="5"/>
  </w:num>
  <w:num w:numId="3" w16cid:durableId="1680540385">
    <w:abstractNumId w:val="15"/>
  </w:num>
  <w:num w:numId="4" w16cid:durableId="1173690857">
    <w:abstractNumId w:val="2"/>
  </w:num>
  <w:num w:numId="5" w16cid:durableId="1269385418">
    <w:abstractNumId w:val="23"/>
  </w:num>
  <w:num w:numId="6" w16cid:durableId="674503179">
    <w:abstractNumId w:val="26"/>
  </w:num>
  <w:num w:numId="7" w16cid:durableId="2047218858">
    <w:abstractNumId w:val="29"/>
  </w:num>
  <w:num w:numId="8" w16cid:durableId="611015865">
    <w:abstractNumId w:val="30"/>
  </w:num>
  <w:num w:numId="9" w16cid:durableId="2134247231">
    <w:abstractNumId w:val="12"/>
  </w:num>
  <w:num w:numId="10" w16cid:durableId="528379675">
    <w:abstractNumId w:val="8"/>
  </w:num>
  <w:num w:numId="11" w16cid:durableId="832334813">
    <w:abstractNumId w:val="17"/>
  </w:num>
  <w:num w:numId="12" w16cid:durableId="1574699864">
    <w:abstractNumId w:val="19"/>
  </w:num>
  <w:num w:numId="13" w16cid:durableId="1266957357">
    <w:abstractNumId w:val="35"/>
  </w:num>
  <w:num w:numId="14" w16cid:durableId="646055878">
    <w:abstractNumId w:val="34"/>
  </w:num>
  <w:num w:numId="15" w16cid:durableId="1773894003">
    <w:abstractNumId w:val="36"/>
  </w:num>
  <w:num w:numId="16" w16cid:durableId="1818376171">
    <w:abstractNumId w:val="38"/>
  </w:num>
  <w:num w:numId="17" w16cid:durableId="1719429846">
    <w:abstractNumId w:val="27"/>
  </w:num>
  <w:num w:numId="18" w16cid:durableId="1361777499">
    <w:abstractNumId w:val="6"/>
  </w:num>
  <w:num w:numId="19" w16cid:durableId="802188118">
    <w:abstractNumId w:val="16"/>
  </w:num>
  <w:num w:numId="20" w16cid:durableId="241335194">
    <w:abstractNumId w:val="21"/>
  </w:num>
  <w:num w:numId="21" w16cid:durableId="259218343">
    <w:abstractNumId w:val="37"/>
  </w:num>
  <w:num w:numId="22" w16cid:durableId="355083915">
    <w:abstractNumId w:val="1"/>
  </w:num>
  <w:num w:numId="23" w16cid:durableId="1615869981">
    <w:abstractNumId w:val="13"/>
  </w:num>
  <w:num w:numId="24" w16cid:durableId="1368026023">
    <w:abstractNumId w:val="10"/>
  </w:num>
  <w:num w:numId="25" w16cid:durableId="1966812991">
    <w:abstractNumId w:val="9"/>
  </w:num>
  <w:num w:numId="26" w16cid:durableId="1823545150">
    <w:abstractNumId w:val="11"/>
  </w:num>
  <w:num w:numId="27" w16cid:durableId="2093503372">
    <w:abstractNumId w:val="18"/>
  </w:num>
  <w:num w:numId="28" w16cid:durableId="1547184343">
    <w:abstractNumId w:val="28"/>
  </w:num>
  <w:num w:numId="29" w16cid:durableId="352997483">
    <w:abstractNumId w:val="32"/>
  </w:num>
  <w:num w:numId="30" w16cid:durableId="1151826737">
    <w:abstractNumId w:val="31"/>
  </w:num>
  <w:num w:numId="31" w16cid:durableId="295070911">
    <w:abstractNumId w:val="0"/>
  </w:num>
  <w:num w:numId="32" w16cid:durableId="647126640">
    <w:abstractNumId w:val="3"/>
  </w:num>
  <w:num w:numId="33" w16cid:durableId="268048229">
    <w:abstractNumId w:val="7"/>
  </w:num>
  <w:num w:numId="34" w16cid:durableId="231622154">
    <w:abstractNumId w:val="20"/>
  </w:num>
  <w:num w:numId="35" w16cid:durableId="304891113">
    <w:abstractNumId w:val="33"/>
  </w:num>
  <w:num w:numId="36" w16cid:durableId="889148846">
    <w:abstractNumId w:val="22"/>
  </w:num>
  <w:num w:numId="37" w16cid:durableId="154148695">
    <w:abstractNumId w:val="4"/>
  </w:num>
  <w:num w:numId="38" w16cid:durableId="1976252157">
    <w:abstractNumId w:val="24"/>
  </w:num>
  <w:num w:numId="39" w16cid:durableId="176541800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1C"/>
    <w:rsid w:val="00000DE0"/>
    <w:rsid w:val="00000F13"/>
    <w:rsid w:val="0000106D"/>
    <w:rsid w:val="000011F2"/>
    <w:rsid w:val="0000156E"/>
    <w:rsid w:val="00001AD9"/>
    <w:rsid w:val="0000261B"/>
    <w:rsid w:val="000027FB"/>
    <w:rsid w:val="00002828"/>
    <w:rsid w:val="00002EB1"/>
    <w:rsid w:val="000032E9"/>
    <w:rsid w:val="0000399F"/>
    <w:rsid w:val="00004684"/>
    <w:rsid w:val="000050A2"/>
    <w:rsid w:val="00005216"/>
    <w:rsid w:val="000055B9"/>
    <w:rsid w:val="00005728"/>
    <w:rsid w:val="00005C20"/>
    <w:rsid w:val="00005CC6"/>
    <w:rsid w:val="00006160"/>
    <w:rsid w:val="00006403"/>
    <w:rsid w:val="00006B49"/>
    <w:rsid w:val="00006DB0"/>
    <w:rsid w:val="00006F4C"/>
    <w:rsid w:val="00007DBD"/>
    <w:rsid w:val="00007EDF"/>
    <w:rsid w:val="0001009F"/>
    <w:rsid w:val="0001051F"/>
    <w:rsid w:val="00011A4D"/>
    <w:rsid w:val="00011DBA"/>
    <w:rsid w:val="00012813"/>
    <w:rsid w:val="00012E21"/>
    <w:rsid w:val="000133D5"/>
    <w:rsid w:val="00013F24"/>
    <w:rsid w:val="000142C2"/>
    <w:rsid w:val="00014779"/>
    <w:rsid w:val="00014C88"/>
    <w:rsid w:val="00015062"/>
    <w:rsid w:val="00015332"/>
    <w:rsid w:val="00015C36"/>
    <w:rsid w:val="00016164"/>
    <w:rsid w:val="000167BA"/>
    <w:rsid w:val="00017E79"/>
    <w:rsid w:val="0002004C"/>
    <w:rsid w:val="00021E90"/>
    <w:rsid w:val="000222F9"/>
    <w:rsid w:val="00022B3F"/>
    <w:rsid w:val="00022DCA"/>
    <w:rsid w:val="00023593"/>
    <w:rsid w:val="00023625"/>
    <w:rsid w:val="000238AE"/>
    <w:rsid w:val="00025BF9"/>
    <w:rsid w:val="00026287"/>
    <w:rsid w:val="00026776"/>
    <w:rsid w:val="0002688E"/>
    <w:rsid w:val="00026CEF"/>
    <w:rsid w:val="00027EF7"/>
    <w:rsid w:val="00030151"/>
    <w:rsid w:val="000305D5"/>
    <w:rsid w:val="00030944"/>
    <w:rsid w:val="00030ED7"/>
    <w:rsid w:val="000326F3"/>
    <w:rsid w:val="000329EC"/>
    <w:rsid w:val="00032FA9"/>
    <w:rsid w:val="00032FF6"/>
    <w:rsid w:val="000335BF"/>
    <w:rsid w:val="00033683"/>
    <w:rsid w:val="000340F8"/>
    <w:rsid w:val="00034435"/>
    <w:rsid w:val="00034A99"/>
    <w:rsid w:val="00034B46"/>
    <w:rsid w:val="00034B47"/>
    <w:rsid w:val="00034CB9"/>
    <w:rsid w:val="00034D48"/>
    <w:rsid w:val="00035027"/>
    <w:rsid w:val="000351EE"/>
    <w:rsid w:val="00035740"/>
    <w:rsid w:val="00037FE1"/>
    <w:rsid w:val="0004035F"/>
    <w:rsid w:val="000406A2"/>
    <w:rsid w:val="0004159F"/>
    <w:rsid w:val="00041D39"/>
    <w:rsid w:val="0004240E"/>
    <w:rsid w:val="000436EB"/>
    <w:rsid w:val="00043967"/>
    <w:rsid w:val="000439FA"/>
    <w:rsid w:val="0004482C"/>
    <w:rsid w:val="0004482D"/>
    <w:rsid w:val="000448E1"/>
    <w:rsid w:val="000454EF"/>
    <w:rsid w:val="00046092"/>
    <w:rsid w:val="000462EE"/>
    <w:rsid w:val="00046E6B"/>
    <w:rsid w:val="00050281"/>
    <w:rsid w:val="00050506"/>
    <w:rsid w:val="0005074B"/>
    <w:rsid w:val="000507B8"/>
    <w:rsid w:val="00051D25"/>
    <w:rsid w:val="00051FC8"/>
    <w:rsid w:val="00052063"/>
    <w:rsid w:val="000530DA"/>
    <w:rsid w:val="000532FE"/>
    <w:rsid w:val="0005379C"/>
    <w:rsid w:val="00053BE2"/>
    <w:rsid w:val="00054C20"/>
    <w:rsid w:val="00055406"/>
    <w:rsid w:val="000576E4"/>
    <w:rsid w:val="00057E03"/>
    <w:rsid w:val="000604B8"/>
    <w:rsid w:val="000606AD"/>
    <w:rsid w:val="00060AF8"/>
    <w:rsid w:val="00060BC7"/>
    <w:rsid w:val="0006208F"/>
    <w:rsid w:val="00062A18"/>
    <w:rsid w:val="00062BE5"/>
    <w:rsid w:val="00062CD3"/>
    <w:rsid w:val="000653BB"/>
    <w:rsid w:val="00066F8A"/>
    <w:rsid w:val="000674EB"/>
    <w:rsid w:val="000702F6"/>
    <w:rsid w:val="00070AE5"/>
    <w:rsid w:val="00071493"/>
    <w:rsid w:val="000717BD"/>
    <w:rsid w:val="00071C64"/>
    <w:rsid w:val="00072383"/>
    <w:rsid w:val="00072784"/>
    <w:rsid w:val="0007303F"/>
    <w:rsid w:val="00073ED6"/>
    <w:rsid w:val="0007407B"/>
    <w:rsid w:val="000759C1"/>
    <w:rsid w:val="00076008"/>
    <w:rsid w:val="0007635B"/>
    <w:rsid w:val="00077069"/>
    <w:rsid w:val="0007744C"/>
    <w:rsid w:val="00077DEF"/>
    <w:rsid w:val="0008030F"/>
    <w:rsid w:val="00080BB0"/>
    <w:rsid w:val="00081CC8"/>
    <w:rsid w:val="00081DB8"/>
    <w:rsid w:val="000830CA"/>
    <w:rsid w:val="00083814"/>
    <w:rsid w:val="000839C8"/>
    <w:rsid w:val="00083DD9"/>
    <w:rsid w:val="00084419"/>
    <w:rsid w:val="00084563"/>
    <w:rsid w:val="00084973"/>
    <w:rsid w:val="00084B76"/>
    <w:rsid w:val="00085512"/>
    <w:rsid w:val="0008644A"/>
    <w:rsid w:val="00086AE3"/>
    <w:rsid w:val="00086CB2"/>
    <w:rsid w:val="00087204"/>
    <w:rsid w:val="00090DEE"/>
    <w:rsid w:val="00091186"/>
    <w:rsid w:val="00091931"/>
    <w:rsid w:val="000925C2"/>
    <w:rsid w:val="00092745"/>
    <w:rsid w:val="000929C5"/>
    <w:rsid w:val="00093603"/>
    <w:rsid w:val="00093781"/>
    <w:rsid w:val="00095510"/>
    <w:rsid w:val="0009565E"/>
    <w:rsid w:val="000960E7"/>
    <w:rsid w:val="00097419"/>
    <w:rsid w:val="00097A42"/>
    <w:rsid w:val="00097C28"/>
    <w:rsid w:val="000A00AF"/>
    <w:rsid w:val="000A15F9"/>
    <w:rsid w:val="000A1AE6"/>
    <w:rsid w:val="000A1CF2"/>
    <w:rsid w:val="000A25FD"/>
    <w:rsid w:val="000A296C"/>
    <w:rsid w:val="000A2ACB"/>
    <w:rsid w:val="000A4C80"/>
    <w:rsid w:val="000A52FC"/>
    <w:rsid w:val="000A5B3B"/>
    <w:rsid w:val="000A5F71"/>
    <w:rsid w:val="000A602F"/>
    <w:rsid w:val="000A619E"/>
    <w:rsid w:val="000A648B"/>
    <w:rsid w:val="000A6A62"/>
    <w:rsid w:val="000A74DD"/>
    <w:rsid w:val="000A78A5"/>
    <w:rsid w:val="000A7CF4"/>
    <w:rsid w:val="000A7DD5"/>
    <w:rsid w:val="000A7FBF"/>
    <w:rsid w:val="000B0AB8"/>
    <w:rsid w:val="000B0CC7"/>
    <w:rsid w:val="000B1345"/>
    <w:rsid w:val="000B1ADD"/>
    <w:rsid w:val="000B2717"/>
    <w:rsid w:val="000B2DBD"/>
    <w:rsid w:val="000B3C97"/>
    <w:rsid w:val="000B42E5"/>
    <w:rsid w:val="000B56AF"/>
    <w:rsid w:val="000B5A59"/>
    <w:rsid w:val="000B5A64"/>
    <w:rsid w:val="000B5DBE"/>
    <w:rsid w:val="000B5E93"/>
    <w:rsid w:val="000B68BF"/>
    <w:rsid w:val="000B7289"/>
    <w:rsid w:val="000B76DB"/>
    <w:rsid w:val="000B7B97"/>
    <w:rsid w:val="000B7F05"/>
    <w:rsid w:val="000C1A41"/>
    <w:rsid w:val="000C1DD9"/>
    <w:rsid w:val="000C241F"/>
    <w:rsid w:val="000C4470"/>
    <w:rsid w:val="000C556F"/>
    <w:rsid w:val="000C5675"/>
    <w:rsid w:val="000C6143"/>
    <w:rsid w:val="000C655B"/>
    <w:rsid w:val="000C7216"/>
    <w:rsid w:val="000C7A82"/>
    <w:rsid w:val="000C7C4E"/>
    <w:rsid w:val="000C7E44"/>
    <w:rsid w:val="000C7FD8"/>
    <w:rsid w:val="000D1666"/>
    <w:rsid w:val="000D1818"/>
    <w:rsid w:val="000D1FAA"/>
    <w:rsid w:val="000D271C"/>
    <w:rsid w:val="000D39B1"/>
    <w:rsid w:val="000D3B75"/>
    <w:rsid w:val="000D43F4"/>
    <w:rsid w:val="000D4441"/>
    <w:rsid w:val="000D4CCB"/>
    <w:rsid w:val="000D5397"/>
    <w:rsid w:val="000D67FC"/>
    <w:rsid w:val="000D7328"/>
    <w:rsid w:val="000D7A6D"/>
    <w:rsid w:val="000D7BDF"/>
    <w:rsid w:val="000E08F4"/>
    <w:rsid w:val="000E0924"/>
    <w:rsid w:val="000E1149"/>
    <w:rsid w:val="000E1359"/>
    <w:rsid w:val="000E2509"/>
    <w:rsid w:val="000E33BD"/>
    <w:rsid w:val="000E3D31"/>
    <w:rsid w:val="000E43C9"/>
    <w:rsid w:val="000E512C"/>
    <w:rsid w:val="000E517A"/>
    <w:rsid w:val="000E55D5"/>
    <w:rsid w:val="000E59AE"/>
    <w:rsid w:val="000E5C63"/>
    <w:rsid w:val="000E5F5B"/>
    <w:rsid w:val="000E75CA"/>
    <w:rsid w:val="000E7E13"/>
    <w:rsid w:val="000F1116"/>
    <w:rsid w:val="000F1302"/>
    <w:rsid w:val="000F1625"/>
    <w:rsid w:val="000F1AAD"/>
    <w:rsid w:val="000F1FDF"/>
    <w:rsid w:val="000F2A18"/>
    <w:rsid w:val="000F2D2B"/>
    <w:rsid w:val="000F3468"/>
    <w:rsid w:val="000F5F94"/>
    <w:rsid w:val="000F7770"/>
    <w:rsid w:val="000F7B4B"/>
    <w:rsid w:val="00100201"/>
    <w:rsid w:val="001005A0"/>
    <w:rsid w:val="001007BA"/>
    <w:rsid w:val="00100C78"/>
    <w:rsid w:val="00101B7F"/>
    <w:rsid w:val="00101CA3"/>
    <w:rsid w:val="001023B4"/>
    <w:rsid w:val="00106761"/>
    <w:rsid w:val="001068A8"/>
    <w:rsid w:val="00106E84"/>
    <w:rsid w:val="001072DA"/>
    <w:rsid w:val="00110181"/>
    <w:rsid w:val="001101F7"/>
    <w:rsid w:val="00110BB9"/>
    <w:rsid w:val="00111288"/>
    <w:rsid w:val="0011128D"/>
    <w:rsid w:val="00111572"/>
    <w:rsid w:val="00111B21"/>
    <w:rsid w:val="00111C14"/>
    <w:rsid w:val="00112228"/>
    <w:rsid w:val="00112CD3"/>
    <w:rsid w:val="00112D47"/>
    <w:rsid w:val="00113069"/>
    <w:rsid w:val="00113849"/>
    <w:rsid w:val="00114081"/>
    <w:rsid w:val="001142CB"/>
    <w:rsid w:val="0011466F"/>
    <w:rsid w:val="00114777"/>
    <w:rsid w:val="00115227"/>
    <w:rsid w:val="0011551B"/>
    <w:rsid w:val="00115696"/>
    <w:rsid w:val="001163C1"/>
    <w:rsid w:val="001168DF"/>
    <w:rsid w:val="001213A3"/>
    <w:rsid w:val="00121978"/>
    <w:rsid w:val="00121F2E"/>
    <w:rsid w:val="00121F50"/>
    <w:rsid w:val="00122FBA"/>
    <w:rsid w:val="0012324C"/>
    <w:rsid w:val="0012461F"/>
    <w:rsid w:val="0012468F"/>
    <w:rsid w:val="00124AC4"/>
    <w:rsid w:val="0012539D"/>
    <w:rsid w:val="001254DD"/>
    <w:rsid w:val="00125A99"/>
    <w:rsid w:val="001307F9"/>
    <w:rsid w:val="00130AFB"/>
    <w:rsid w:val="00131B83"/>
    <w:rsid w:val="00131C97"/>
    <w:rsid w:val="001331FC"/>
    <w:rsid w:val="001338B0"/>
    <w:rsid w:val="00133A18"/>
    <w:rsid w:val="00133C1F"/>
    <w:rsid w:val="00134178"/>
    <w:rsid w:val="0013421B"/>
    <w:rsid w:val="00134975"/>
    <w:rsid w:val="00134A54"/>
    <w:rsid w:val="0013561D"/>
    <w:rsid w:val="0013584B"/>
    <w:rsid w:val="001374EE"/>
    <w:rsid w:val="00137749"/>
    <w:rsid w:val="001379C4"/>
    <w:rsid w:val="00137A24"/>
    <w:rsid w:val="00137A98"/>
    <w:rsid w:val="001410C6"/>
    <w:rsid w:val="00141485"/>
    <w:rsid w:val="001416D5"/>
    <w:rsid w:val="0014195C"/>
    <w:rsid w:val="00141A4A"/>
    <w:rsid w:val="0014259B"/>
    <w:rsid w:val="00142A35"/>
    <w:rsid w:val="00144473"/>
    <w:rsid w:val="0014554B"/>
    <w:rsid w:val="0014601B"/>
    <w:rsid w:val="00146853"/>
    <w:rsid w:val="00146932"/>
    <w:rsid w:val="0014746D"/>
    <w:rsid w:val="0014797D"/>
    <w:rsid w:val="00147CEE"/>
    <w:rsid w:val="00150579"/>
    <w:rsid w:val="001511CF"/>
    <w:rsid w:val="00152FF3"/>
    <w:rsid w:val="00154459"/>
    <w:rsid w:val="00154502"/>
    <w:rsid w:val="001552CD"/>
    <w:rsid w:val="001552D0"/>
    <w:rsid w:val="001562CB"/>
    <w:rsid w:val="001562FF"/>
    <w:rsid w:val="00156A29"/>
    <w:rsid w:val="0015753B"/>
    <w:rsid w:val="001577E6"/>
    <w:rsid w:val="00157984"/>
    <w:rsid w:val="00161E3C"/>
    <w:rsid w:val="00161E55"/>
    <w:rsid w:val="00161E97"/>
    <w:rsid w:val="00162E67"/>
    <w:rsid w:val="00163458"/>
    <w:rsid w:val="00163F79"/>
    <w:rsid w:val="0016464E"/>
    <w:rsid w:val="00164923"/>
    <w:rsid w:val="0016568D"/>
    <w:rsid w:val="001656D8"/>
    <w:rsid w:val="00165E60"/>
    <w:rsid w:val="0016627D"/>
    <w:rsid w:val="001664AD"/>
    <w:rsid w:val="001666BF"/>
    <w:rsid w:val="00166AF9"/>
    <w:rsid w:val="00166C3B"/>
    <w:rsid w:val="00166E8F"/>
    <w:rsid w:val="001673E1"/>
    <w:rsid w:val="00167893"/>
    <w:rsid w:val="001703E2"/>
    <w:rsid w:val="001719CC"/>
    <w:rsid w:val="00171A80"/>
    <w:rsid w:val="0017221D"/>
    <w:rsid w:val="00172DCB"/>
    <w:rsid w:val="00172F0F"/>
    <w:rsid w:val="00173B67"/>
    <w:rsid w:val="00174E70"/>
    <w:rsid w:val="00175366"/>
    <w:rsid w:val="001753D5"/>
    <w:rsid w:val="0017540D"/>
    <w:rsid w:val="00175BDA"/>
    <w:rsid w:val="00176B29"/>
    <w:rsid w:val="001778B1"/>
    <w:rsid w:val="0018058D"/>
    <w:rsid w:val="001811A6"/>
    <w:rsid w:val="00181ECF"/>
    <w:rsid w:val="0018203B"/>
    <w:rsid w:val="0018236D"/>
    <w:rsid w:val="001827FD"/>
    <w:rsid w:val="001828D4"/>
    <w:rsid w:val="00182C13"/>
    <w:rsid w:val="001838D2"/>
    <w:rsid w:val="00185079"/>
    <w:rsid w:val="001850F1"/>
    <w:rsid w:val="001856D4"/>
    <w:rsid w:val="00186880"/>
    <w:rsid w:val="0018727A"/>
    <w:rsid w:val="001872DB"/>
    <w:rsid w:val="00187950"/>
    <w:rsid w:val="00187F6A"/>
    <w:rsid w:val="00190630"/>
    <w:rsid w:val="00190BEB"/>
    <w:rsid w:val="001911CD"/>
    <w:rsid w:val="00191440"/>
    <w:rsid w:val="00193470"/>
    <w:rsid w:val="0019389B"/>
    <w:rsid w:val="00193A65"/>
    <w:rsid w:val="001949B7"/>
    <w:rsid w:val="00194C83"/>
    <w:rsid w:val="0019581C"/>
    <w:rsid w:val="001959FA"/>
    <w:rsid w:val="00196FC7"/>
    <w:rsid w:val="00197276"/>
    <w:rsid w:val="00197A51"/>
    <w:rsid w:val="00197B12"/>
    <w:rsid w:val="00197BA1"/>
    <w:rsid w:val="001A1206"/>
    <w:rsid w:val="001A15A6"/>
    <w:rsid w:val="001A2116"/>
    <w:rsid w:val="001A27C9"/>
    <w:rsid w:val="001A2A5F"/>
    <w:rsid w:val="001A2C0A"/>
    <w:rsid w:val="001A2FCC"/>
    <w:rsid w:val="001A30C9"/>
    <w:rsid w:val="001A3BB7"/>
    <w:rsid w:val="001A418B"/>
    <w:rsid w:val="001A43E3"/>
    <w:rsid w:val="001A4853"/>
    <w:rsid w:val="001A4FF3"/>
    <w:rsid w:val="001A5361"/>
    <w:rsid w:val="001A559C"/>
    <w:rsid w:val="001A55CB"/>
    <w:rsid w:val="001A55F1"/>
    <w:rsid w:val="001A5DCE"/>
    <w:rsid w:val="001A68AA"/>
    <w:rsid w:val="001A6AE0"/>
    <w:rsid w:val="001A6C8C"/>
    <w:rsid w:val="001A71A4"/>
    <w:rsid w:val="001B0222"/>
    <w:rsid w:val="001B03DA"/>
    <w:rsid w:val="001B24C3"/>
    <w:rsid w:val="001B2745"/>
    <w:rsid w:val="001B48A9"/>
    <w:rsid w:val="001B4B4A"/>
    <w:rsid w:val="001B5C2C"/>
    <w:rsid w:val="001B67FB"/>
    <w:rsid w:val="001B6814"/>
    <w:rsid w:val="001B7239"/>
    <w:rsid w:val="001B7A37"/>
    <w:rsid w:val="001C0311"/>
    <w:rsid w:val="001C03BF"/>
    <w:rsid w:val="001C0489"/>
    <w:rsid w:val="001C0DF6"/>
    <w:rsid w:val="001C11D8"/>
    <w:rsid w:val="001C1249"/>
    <w:rsid w:val="001C1583"/>
    <w:rsid w:val="001C1965"/>
    <w:rsid w:val="001C2C80"/>
    <w:rsid w:val="001C336D"/>
    <w:rsid w:val="001C3D9A"/>
    <w:rsid w:val="001C3E1A"/>
    <w:rsid w:val="001C3FDA"/>
    <w:rsid w:val="001C4781"/>
    <w:rsid w:val="001C4BD6"/>
    <w:rsid w:val="001C5C23"/>
    <w:rsid w:val="001C6E80"/>
    <w:rsid w:val="001C75E6"/>
    <w:rsid w:val="001C7A97"/>
    <w:rsid w:val="001D0451"/>
    <w:rsid w:val="001D06BE"/>
    <w:rsid w:val="001D0815"/>
    <w:rsid w:val="001D0D27"/>
    <w:rsid w:val="001D2092"/>
    <w:rsid w:val="001D2FF7"/>
    <w:rsid w:val="001D36D3"/>
    <w:rsid w:val="001D397D"/>
    <w:rsid w:val="001D450C"/>
    <w:rsid w:val="001D4DD7"/>
    <w:rsid w:val="001D52F1"/>
    <w:rsid w:val="001D6EE1"/>
    <w:rsid w:val="001D719E"/>
    <w:rsid w:val="001D7399"/>
    <w:rsid w:val="001D73A4"/>
    <w:rsid w:val="001E07B3"/>
    <w:rsid w:val="001E0A42"/>
    <w:rsid w:val="001E0CA5"/>
    <w:rsid w:val="001E0CF6"/>
    <w:rsid w:val="001E1121"/>
    <w:rsid w:val="001E1DE5"/>
    <w:rsid w:val="001E1E1E"/>
    <w:rsid w:val="001E33E3"/>
    <w:rsid w:val="001E391C"/>
    <w:rsid w:val="001E3C8E"/>
    <w:rsid w:val="001E43FC"/>
    <w:rsid w:val="001E4B05"/>
    <w:rsid w:val="001E550C"/>
    <w:rsid w:val="001E5D75"/>
    <w:rsid w:val="001E660A"/>
    <w:rsid w:val="001E7939"/>
    <w:rsid w:val="001F154F"/>
    <w:rsid w:val="001F1BCC"/>
    <w:rsid w:val="001F22D2"/>
    <w:rsid w:val="001F27D8"/>
    <w:rsid w:val="001F3308"/>
    <w:rsid w:val="001F3D43"/>
    <w:rsid w:val="001F4543"/>
    <w:rsid w:val="001F4AF3"/>
    <w:rsid w:val="001F557B"/>
    <w:rsid w:val="001F5CFF"/>
    <w:rsid w:val="001F5F43"/>
    <w:rsid w:val="001F6071"/>
    <w:rsid w:val="001F6434"/>
    <w:rsid w:val="001F6474"/>
    <w:rsid w:val="001F65B5"/>
    <w:rsid w:val="001F6831"/>
    <w:rsid w:val="001F7246"/>
    <w:rsid w:val="002002D7"/>
    <w:rsid w:val="002007D8"/>
    <w:rsid w:val="002011EF"/>
    <w:rsid w:val="002012B2"/>
    <w:rsid w:val="002026EF"/>
    <w:rsid w:val="0020281B"/>
    <w:rsid w:val="002033A5"/>
    <w:rsid w:val="002039F0"/>
    <w:rsid w:val="00203CC8"/>
    <w:rsid w:val="002040C5"/>
    <w:rsid w:val="00204128"/>
    <w:rsid w:val="0020463F"/>
    <w:rsid w:val="00204C18"/>
    <w:rsid w:val="0020548A"/>
    <w:rsid w:val="002066D9"/>
    <w:rsid w:val="00206943"/>
    <w:rsid w:val="00206C05"/>
    <w:rsid w:val="00210732"/>
    <w:rsid w:val="002108A2"/>
    <w:rsid w:val="00210AED"/>
    <w:rsid w:val="00213027"/>
    <w:rsid w:val="002149BD"/>
    <w:rsid w:val="00214BD7"/>
    <w:rsid w:val="00214DDD"/>
    <w:rsid w:val="00215923"/>
    <w:rsid w:val="00216790"/>
    <w:rsid w:val="00216A52"/>
    <w:rsid w:val="00217072"/>
    <w:rsid w:val="00217435"/>
    <w:rsid w:val="0021773F"/>
    <w:rsid w:val="00217D1C"/>
    <w:rsid w:val="002202ED"/>
    <w:rsid w:val="00220858"/>
    <w:rsid w:val="002210A7"/>
    <w:rsid w:val="00221207"/>
    <w:rsid w:val="00221B9F"/>
    <w:rsid w:val="00222976"/>
    <w:rsid w:val="00222DC1"/>
    <w:rsid w:val="00222E79"/>
    <w:rsid w:val="0022459A"/>
    <w:rsid w:val="002249FA"/>
    <w:rsid w:val="002253C2"/>
    <w:rsid w:val="00225F30"/>
    <w:rsid w:val="002271D5"/>
    <w:rsid w:val="002272F6"/>
    <w:rsid w:val="0022754E"/>
    <w:rsid w:val="00230009"/>
    <w:rsid w:val="002300D8"/>
    <w:rsid w:val="00230AE7"/>
    <w:rsid w:val="00231AE0"/>
    <w:rsid w:val="00233460"/>
    <w:rsid w:val="00233C92"/>
    <w:rsid w:val="00233F77"/>
    <w:rsid w:val="0023495C"/>
    <w:rsid w:val="00234987"/>
    <w:rsid w:val="00234AD1"/>
    <w:rsid w:val="00234DA8"/>
    <w:rsid w:val="0023502E"/>
    <w:rsid w:val="00235551"/>
    <w:rsid w:val="00235779"/>
    <w:rsid w:val="0023677B"/>
    <w:rsid w:val="00236971"/>
    <w:rsid w:val="00236CEC"/>
    <w:rsid w:val="00237185"/>
    <w:rsid w:val="002373EF"/>
    <w:rsid w:val="002407A5"/>
    <w:rsid w:val="002416E3"/>
    <w:rsid w:val="00241B6B"/>
    <w:rsid w:val="002426A6"/>
    <w:rsid w:val="00242D97"/>
    <w:rsid w:val="0024344A"/>
    <w:rsid w:val="00243805"/>
    <w:rsid w:val="0024463E"/>
    <w:rsid w:val="002448AD"/>
    <w:rsid w:val="00244E94"/>
    <w:rsid w:val="00245118"/>
    <w:rsid w:val="0024628F"/>
    <w:rsid w:val="00247710"/>
    <w:rsid w:val="00247985"/>
    <w:rsid w:val="00247AB1"/>
    <w:rsid w:val="002510EA"/>
    <w:rsid w:val="0025196E"/>
    <w:rsid w:val="00251E96"/>
    <w:rsid w:val="00251FC3"/>
    <w:rsid w:val="00251FE9"/>
    <w:rsid w:val="002520FC"/>
    <w:rsid w:val="00252553"/>
    <w:rsid w:val="00253187"/>
    <w:rsid w:val="002538B7"/>
    <w:rsid w:val="002546B4"/>
    <w:rsid w:val="00255E62"/>
    <w:rsid w:val="00255F73"/>
    <w:rsid w:val="002560C8"/>
    <w:rsid w:val="002565D5"/>
    <w:rsid w:val="002569DC"/>
    <w:rsid w:val="00256DBB"/>
    <w:rsid w:val="00257539"/>
    <w:rsid w:val="00257DF6"/>
    <w:rsid w:val="00260B2F"/>
    <w:rsid w:val="00261149"/>
    <w:rsid w:val="002612F6"/>
    <w:rsid w:val="0026253C"/>
    <w:rsid w:val="002625E5"/>
    <w:rsid w:val="00262A6B"/>
    <w:rsid w:val="00263BF4"/>
    <w:rsid w:val="002641B9"/>
    <w:rsid w:val="00264C76"/>
    <w:rsid w:val="00265FA0"/>
    <w:rsid w:val="0026607C"/>
    <w:rsid w:val="002662C9"/>
    <w:rsid w:val="002668E6"/>
    <w:rsid w:val="002673B9"/>
    <w:rsid w:val="00267997"/>
    <w:rsid w:val="00267ECE"/>
    <w:rsid w:val="002708F5"/>
    <w:rsid w:val="002714D6"/>
    <w:rsid w:val="00271E39"/>
    <w:rsid w:val="00271F61"/>
    <w:rsid w:val="00271FDA"/>
    <w:rsid w:val="0027215E"/>
    <w:rsid w:val="0027221B"/>
    <w:rsid w:val="0027297D"/>
    <w:rsid w:val="00272A55"/>
    <w:rsid w:val="0027381C"/>
    <w:rsid w:val="00274B9C"/>
    <w:rsid w:val="00275807"/>
    <w:rsid w:val="00275A67"/>
    <w:rsid w:val="00277478"/>
    <w:rsid w:val="002779D3"/>
    <w:rsid w:val="00280E52"/>
    <w:rsid w:val="002810D9"/>
    <w:rsid w:val="0028117C"/>
    <w:rsid w:val="0028195D"/>
    <w:rsid w:val="00281CEE"/>
    <w:rsid w:val="00282390"/>
    <w:rsid w:val="002824D7"/>
    <w:rsid w:val="00283667"/>
    <w:rsid w:val="00284314"/>
    <w:rsid w:val="00285B57"/>
    <w:rsid w:val="00286653"/>
    <w:rsid w:val="00286FCF"/>
    <w:rsid w:val="00287AD6"/>
    <w:rsid w:val="00287CA9"/>
    <w:rsid w:val="00290174"/>
    <w:rsid w:val="0029035F"/>
    <w:rsid w:val="00290608"/>
    <w:rsid w:val="002913DE"/>
    <w:rsid w:val="00292270"/>
    <w:rsid w:val="002924CA"/>
    <w:rsid w:val="00292B0B"/>
    <w:rsid w:val="0029350C"/>
    <w:rsid w:val="00293822"/>
    <w:rsid w:val="00293ABE"/>
    <w:rsid w:val="0029463B"/>
    <w:rsid w:val="002948E3"/>
    <w:rsid w:val="002949FD"/>
    <w:rsid w:val="0029512A"/>
    <w:rsid w:val="00295467"/>
    <w:rsid w:val="0029566C"/>
    <w:rsid w:val="002967A3"/>
    <w:rsid w:val="00296BAE"/>
    <w:rsid w:val="00296F02"/>
    <w:rsid w:val="00297DA8"/>
    <w:rsid w:val="002A0356"/>
    <w:rsid w:val="002A19BD"/>
    <w:rsid w:val="002A22CF"/>
    <w:rsid w:val="002A324C"/>
    <w:rsid w:val="002A3750"/>
    <w:rsid w:val="002A391D"/>
    <w:rsid w:val="002A3EC7"/>
    <w:rsid w:val="002A4E89"/>
    <w:rsid w:val="002A4F9F"/>
    <w:rsid w:val="002A5E81"/>
    <w:rsid w:val="002A63B6"/>
    <w:rsid w:val="002A6421"/>
    <w:rsid w:val="002A693A"/>
    <w:rsid w:val="002A7730"/>
    <w:rsid w:val="002A79F7"/>
    <w:rsid w:val="002A7D36"/>
    <w:rsid w:val="002A7E76"/>
    <w:rsid w:val="002B04FC"/>
    <w:rsid w:val="002B0659"/>
    <w:rsid w:val="002B08EA"/>
    <w:rsid w:val="002B0A2C"/>
    <w:rsid w:val="002B14E5"/>
    <w:rsid w:val="002B2670"/>
    <w:rsid w:val="002B34A6"/>
    <w:rsid w:val="002B3699"/>
    <w:rsid w:val="002B3BFF"/>
    <w:rsid w:val="002B4195"/>
    <w:rsid w:val="002B4965"/>
    <w:rsid w:val="002B4D37"/>
    <w:rsid w:val="002B4D8A"/>
    <w:rsid w:val="002B57D5"/>
    <w:rsid w:val="002B6716"/>
    <w:rsid w:val="002B69E8"/>
    <w:rsid w:val="002C03D2"/>
    <w:rsid w:val="002C08B9"/>
    <w:rsid w:val="002C09A4"/>
    <w:rsid w:val="002C179A"/>
    <w:rsid w:val="002C1FAF"/>
    <w:rsid w:val="002C2903"/>
    <w:rsid w:val="002C2D17"/>
    <w:rsid w:val="002C2E63"/>
    <w:rsid w:val="002C39E6"/>
    <w:rsid w:val="002C453A"/>
    <w:rsid w:val="002C5828"/>
    <w:rsid w:val="002C6722"/>
    <w:rsid w:val="002C7991"/>
    <w:rsid w:val="002D0898"/>
    <w:rsid w:val="002D0F73"/>
    <w:rsid w:val="002D16B4"/>
    <w:rsid w:val="002D19B6"/>
    <w:rsid w:val="002D25A1"/>
    <w:rsid w:val="002D29FF"/>
    <w:rsid w:val="002D3B82"/>
    <w:rsid w:val="002D3E51"/>
    <w:rsid w:val="002D4153"/>
    <w:rsid w:val="002D4703"/>
    <w:rsid w:val="002D4942"/>
    <w:rsid w:val="002D4BE3"/>
    <w:rsid w:val="002D500B"/>
    <w:rsid w:val="002D522F"/>
    <w:rsid w:val="002D5731"/>
    <w:rsid w:val="002D5A96"/>
    <w:rsid w:val="002D5BE1"/>
    <w:rsid w:val="002D5DC0"/>
    <w:rsid w:val="002D6124"/>
    <w:rsid w:val="002D6155"/>
    <w:rsid w:val="002D62EF"/>
    <w:rsid w:val="002D6E78"/>
    <w:rsid w:val="002D7185"/>
    <w:rsid w:val="002D7B3A"/>
    <w:rsid w:val="002E1277"/>
    <w:rsid w:val="002E2024"/>
    <w:rsid w:val="002E3046"/>
    <w:rsid w:val="002E360A"/>
    <w:rsid w:val="002E374C"/>
    <w:rsid w:val="002E58B7"/>
    <w:rsid w:val="002E67DD"/>
    <w:rsid w:val="002E7168"/>
    <w:rsid w:val="002E73EC"/>
    <w:rsid w:val="002F017F"/>
    <w:rsid w:val="002F034B"/>
    <w:rsid w:val="002F0BAD"/>
    <w:rsid w:val="002F19D4"/>
    <w:rsid w:val="002F1CE6"/>
    <w:rsid w:val="002F20BA"/>
    <w:rsid w:val="002F2981"/>
    <w:rsid w:val="002F29C6"/>
    <w:rsid w:val="002F38B1"/>
    <w:rsid w:val="002F536B"/>
    <w:rsid w:val="002F5D38"/>
    <w:rsid w:val="002F60B5"/>
    <w:rsid w:val="002F61EA"/>
    <w:rsid w:val="002F6686"/>
    <w:rsid w:val="002F726B"/>
    <w:rsid w:val="002F749B"/>
    <w:rsid w:val="002F78D9"/>
    <w:rsid w:val="00300987"/>
    <w:rsid w:val="00300ED0"/>
    <w:rsid w:val="00301F05"/>
    <w:rsid w:val="003028E2"/>
    <w:rsid w:val="0030357B"/>
    <w:rsid w:val="00303BDE"/>
    <w:rsid w:val="0030425D"/>
    <w:rsid w:val="003055B8"/>
    <w:rsid w:val="0030599B"/>
    <w:rsid w:val="00306667"/>
    <w:rsid w:val="00307170"/>
    <w:rsid w:val="0030745A"/>
    <w:rsid w:val="00307514"/>
    <w:rsid w:val="003077D1"/>
    <w:rsid w:val="00307EF8"/>
    <w:rsid w:val="00310814"/>
    <w:rsid w:val="00310931"/>
    <w:rsid w:val="00310F4B"/>
    <w:rsid w:val="00311D04"/>
    <w:rsid w:val="0031219D"/>
    <w:rsid w:val="00314377"/>
    <w:rsid w:val="003146A8"/>
    <w:rsid w:val="0031544C"/>
    <w:rsid w:val="003156E3"/>
    <w:rsid w:val="00315964"/>
    <w:rsid w:val="00317419"/>
    <w:rsid w:val="0031741C"/>
    <w:rsid w:val="003176B0"/>
    <w:rsid w:val="00317830"/>
    <w:rsid w:val="00317C47"/>
    <w:rsid w:val="00317D88"/>
    <w:rsid w:val="003214A7"/>
    <w:rsid w:val="0032155B"/>
    <w:rsid w:val="00322767"/>
    <w:rsid w:val="00322BF6"/>
    <w:rsid w:val="00324557"/>
    <w:rsid w:val="00324AC0"/>
    <w:rsid w:val="00325239"/>
    <w:rsid w:val="00325693"/>
    <w:rsid w:val="00325B6B"/>
    <w:rsid w:val="00325D4F"/>
    <w:rsid w:val="003260A0"/>
    <w:rsid w:val="003262D3"/>
    <w:rsid w:val="003267AB"/>
    <w:rsid w:val="00327394"/>
    <w:rsid w:val="00327421"/>
    <w:rsid w:val="003275BD"/>
    <w:rsid w:val="00327853"/>
    <w:rsid w:val="003312C9"/>
    <w:rsid w:val="00332452"/>
    <w:rsid w:val="00332DCB"/>
    <w:rsid w:val="0033334A"/>
    <w:rsid w:val="00333A5F"/>
    <w:rsid w:val="00333EFB"/>
    <w:rsid w:val="00334300"/>
    <w:rsid w:val="00334480"/>
    <w:rsid w:val="00334AC9"/>
    <w:rsid w:val="00334E88"/>
    <w:rsid w:val="00335A75"/>
    <w:rsid w:val="00337E1A"/>
    <w:rsid w:val="003410E5"/>
    <w:rsid w:val="00342488"/>
    <w:rsid w:val="00342863"/>
    <w:rsid w:val="00342923"/>
    <w:rsid w:val="00343EDB"/>
    <w:rsid w:val="0034467B"/>
    <w:rsid w:val="00344B00"/>
    <w:rsid w:val="003452AC"/>
    <w:rsid w:val="00345467"/>
    <w:rsid w:val="003454C4"/>
    <w:rsid w:val="0034564F"/>
    <w:rsid w:val="00345661"/>
    <w:rsid w:val="00346339"/>
    <w:rsid w:val="00350A41"/>
    <w:rsid w:val="00350FBA"/>
    <w:rsid w:val="00351FA5"/>
    <w:rsid w:val="00353162"/>
    <w:rsid w:val="00353201"/>
    <w:rsid w:val="00353D95"/>
    <w:rsid w:val="00354580"/>
    <w:rsid w:val="0035513C"/>
    <w:rsid w:val="00355C22"/>
    <w:rsid w:val="003566DB"/>
    <w:rsid w:val="00356BDD"/>
    <w:rsid w:val="00356CA4"/>
    <w:rsid w:val="00357603"/>
    <w:rsid w:val="00357626"/>
    <w:rsid w:val="003610CB"/>
    <w:rsid w:val="00361551"/>
    <w:rsid w:val="003616B1"/>
    <w:rsid w:val="00361B91"/>
    <w:rsid w:val="003622E1"/>
    <w:rsid w:val="00362778"/>
    <w:rsid w:val="003631AF"/>
    <w:rsid w:val="00363BE8"/>
    <w:rsid w:val="0036419C"/>
    <w:rsid w:val="00365162"/>
    <w:rsid w:val="0036557C"/>
    <w:rsid w:val="00365ACF"/>
    <w:rsid w:val="0037079F"/>
    <w:rsid w:val="00370B2A"/>
    <w:rsid w:val="003719E3"/>
    <w:rsid w:val="00372927"/>
    <w:rsid w:val="00372CCA"/>
    <w:rsid w:val="00374739"/>
    <w:rsid w:val="003753CB"/>
    <w:rsid w:val="00375497"/>
    <w:rsid w:val="003756FA"/>
    <w:rsid w:val="00375D13"/>
    <w:rsid w:val="003766AE"/>
    <w:rsid w:val="003768EE"/>
    <w:rsid w:val="0038007B"/>
    <w:rsid w:val="00381BF2"/>
    <w:rsid w:val="00382B42"/>
    <w:rsid w:val="003830E2"/>
    <w:rsid w:val="003831D3"/>
    <w:rsid w:val="0038395A"/>
    <w:rsid w:val="00383E1D"/>
    <w:rsid w:val="0038481B"/>
    <w:rsid w:val="00384CFC"/>
    <w:rsid w:val="00384EE9"/>
    <w:rsid w:val="00384F75"/>
    <w:rsid w:val="00386598"/>
    <w:rsid w:val="003868A5"/>
    <w:rsid w:val="00386B91"/>
    <w:rsid w:val="0038792A"/>
    <w:rsid w:val="00390491"/>
    <w:rsid w:val="003904C4"/>
    <w:rsid w:val="003905F3"/>
    <w:rsid w:val="00390642"/>
    <w:rsid w:val="00390654"/>
    <w:rsid w:val="003909A9"/>
    <w:rsid w:val="00390F96"/>
    <w:rsid w:val="003910CE"/>
    <w:rsid w:val="00391E22"/>
    <w:rsid w:val="00392557"/>
    <w:rsid w:val="00392977"/>
    <w:rsid w:val="00392B5C"/>
    <w:rsid w:val="00392CDE"/>
    <w:rsid w:val="00392EB2"/>
    <w:rsid w:val="0039333E"/>
    <w:rsid w:val="00393593"/>
    <w:rsid w:val="003947A4"/>
    <w:rsid w:val="00394E68"/>
    <w:rsid w:val="00395848"/>
    <w:rsid w:val="003959F1"/>
    <w:rsid w:val="003965EE"/>
    <w:rsid w:val="003969A1"/>
    <w:rsid w:val="00396DFF"/>
    <w:rsid w:val="003973C8"/>
    <w:rsid w:val="00397B89"/>
    <w:rsid w:val="003A0802"/>
    <w:rsid w:val="003A0D29"/>
    <w:rsid w:val="003A271C"/>
    <w:rsid w:val="003A3140"/>
    <w:rsid w:val="003A3A00"/>
    <w:rsid w:val="003A3DF1"/>
    <w:rsid w:val="003A456D"/>
    <w:rsid w:val="003A4B40"/>
    <w:rsid w:val="003A4C88"/>
    <w:rsid w:val="003A50D0"/>
    <w:rsid w:val="003A519A"/>
    <w:rsid w:val="003A5603"/>
    <w:rsid w:val="003A5CEC"/>
    <w:rsid w:val="003A60FD"/>
    <w:rsid w:val="003A6198"/>
    <w:rsid w:val="003A6835"/>
    <w:rsid w:val="003A7022"/>
    <w:rsid w:val="003A7122"/>
    <w:rsid w:val="003A73A2"/>
    <w:rsid w:val="003A7630"/>
    <w:rsid w:val="003A7B37"/>
    <w:rsid w:val="003A7CF5"/>
    <w:rsid w:val="003B026E"/>
    <w:rsid w:val="003B082E"/>
    <w:rsid w:val="003B14B2"/>
    <w:rsid w:val="003B1691"/>
    <w:rsid w:val="003B1C3F"/>
    <w:rsid w:val="003B22AF"/>
    <w:rsid w:val="003B22E7"/>
    <w:rsid w:val="003B31C9"/>
    <w:rsid w:val="003B404A"/>
    <w:rsid w:val="003B42E9"/>
    <w:rsid w:val="003B4443"/>
    <w:rsid w:val="003B4614"/>
    <w:rsid w:val="003B53D2"/>
    <w:rsid w:val="003B58CD"/>
    <w:rsid w:val="003B5E2C"/>
    <w:rsid w:val="003B68A2"/>
    <w:rsid w:val="003B693C"/>
    <w:rsid w:val="003B6D65"/>
    <w:rsid w:val="003B7908"/>
    <w:rsid w:val="003B7B2A"/>
    <w:rsid w:val="003B7BC4"/>
    <w:rsid w:val="003B7F15"/>
    <w:rsid w:val="003C1773"/>
    <w:rsid w:val="003C1E90"/>
    <w:rsid w:val="003C20CF"/>
    <w:rsid w:val="003C3DA1"/>
    <w:rsid w:val="003C3F7E"/>
    <w:rsid w:val="003C4C49"/>
    <w:rsid w:val="003C4DB1"/>
    <w:rsid w:val="003C6053"/>
    <w:rsid w:val="003C6D96"/>
    <w:rsid w:val="003C7F9A"/>
    <w:rsid w:val="003D0349"/>
    <w:rsid w:val="003D0B29"/>
    <w:rsid w:val="003D246C"/>
    <w:rsid w:val="003D2717"/>
    <w:rsid w:val="003D28F2"/>
    <w:rsid w:val="003D2F87"/>
    <w:rsid w:val="003D313F"/>
    <w:rsid w:val="003D3486"/>
    <w:rsid w:val="003D3822"/>
    <w:rsid w:val="003D3B19"/>
    <w:rsid w:val="003D412B"/>
    <w:rsid w:val="003D49C5"/>
    <w:rsid w:val="003D5CC8"/>
    <w:rsid w:val="003D5DDA"/>
    <w:rsid w:val="003D6124"/>
    <w:rsid w:val="003D62B3"/>
    <w:rsid w:val="003E0191"/>
    <w:rsid w:val="003E0269"/>
    <w:rsid w:val="003E067A"/>
    <w:rsid w:val="003E18C5"/>
    <w:rsid w:val="003E18C9"/>
    <w:rsid w:val="003E1CBF"/>
    <w:rsid w:val="003E27B8"/>
    <w:rsid w:val="003E3000"/>
    <w:rsid w:val="003E3D52"/>
    <w:rsid w:val="003E4E9D"/>
    <w:rsid w:val="003E4F6E"/>
    <w:rsid w:val="003E5302"/>
    <w:rsid w:val="003E55B5"/>
    <w:rsid w:val="003E568B"/>
    <w:rsid w:val="003E572C"/>
    <w:rsid w:val="003E58DD"/>
    <w:rsid w:val="003E6EF0"/>
    <w:rsid w:val="003E71B3"/>
    <w:rsid w:val="003E75C2"/>
    <w:rsid w:val="003E77AA"/>
    <w:rsid w:val="003E7A9F"/>
    <w:rsid w:val="003E7B38"/>
    <w:rsid w:val="003F0A49"/>
    <w:rsid w:val="003F16AB"/>
    <w:rsid w:val="003F1944"/>
    <w:rsid w:val="003F1978"/>
    <w:rsid w:val="003F1C9B"/>
    <w:rsid w:val="003F274D"/>
    <w:rsid w:val="003F2B4E"/>
    <w:rsid w:val="003F37F2"/>
    <w:rsid w:val="003F3BFA"/>
    <w:rsid w:val="003F3F6B"/>
    <w:rsid w:val="003F3FB7"/>
    <w:rsid w:val="003F42BD"/>
    <w:rsid w:val="003F44B4"/>
    <w:rsid w:val="003F4EBD"/>
    <w:rsid w:val="003F4EFC"/>
    <w:rsid w:val="003F5167"/>
    <w:rsid w:val="003F6094"/>
    <w:rsid w:val="003F6B90"/>
    <w:rsid w:val="003F6DFD"/>
    <w:rsid w:val="003F6F10"/>
    <w:rsid w:val="003F79A1"/>
    <w:rsid w:val="003F7BDC"/>
    <w:rsid w:val="003F7C5C"/>
    <w:rsid w:val="004011E9"/>
    <w:rsid w:val="004013D8"/>
    <w:rsid w:val="0040173D"/>
    <w:rsid w:val="00402679"/>
    <w:rsid w:val="00402F6B"/>
    <w:rsid w:val="00403566"/>
    <w:rsid w:val="00403F32"/>
    <w:rsid w:val="00404D00"/>
    <w:rsid w:val="00405796"/>
    <w:rsid w:val="00405944"/>
    <w:rsid w:val="00405B8C"/>
    <w:rsid w:val="00405BA3"/>
    <w:rsid w:val="004060C7"/>
    <w:rsid w:val="00407339"/>
    <w:rsid w:val="00407FA4"/>
    <w:rsid w:val="00410024"/>
    <w:rsid w:val="00410641"/>
    <w:rsid w:val="00411B8E"/>
    <w:rsid w:val="00412DD3"/>
    <w:rsid w:val="00412EC5"/>
    <w:rsid w:val="00413378"/>
    <w:rsid w:val="004133A9"/>
    <w:rsid w:val="00414727"/>
    <w:rsid w:val="004157F9"/>
    <w:rsid w:val="0041611D"/>
    <w:rsid w:val="00416596"/>
    <w:rsid w:val="00416701"/>
    <w:rsid w:val="00420CBA"/>
    <w:rsid w:val="00421373"/>
    <w:rsid w:val="004219FA"/>
    <w:rsid w:val="004226C8"/>
    <w:rsid w:val="00422880"/>
    <w:rsid w:val="00422AC2"/>
    <w:rsid w:val="004234FD"/>
    <w:rsid w:val="0042367B"/>
    <w:rsid w:val="00425A34"/>
    <w:rsid w:val="00425D70"/>
    <w:rsid w:val="004275AC"/>
    <w:rsid w:val="004278C4"/>
    <w:rsid w:val="00430CA5"/>
    <w:rsid w:val="00431096"/>
    <w:rsid w:val="0043124A"/>
    <w:rsid w:val="004316A9"/>
    <w:rsid w:val="00431855"/>
    <w:rsid w:val="00432567"/>
    <w:rsid w:val="00433825"/>
    <w:rsid w:val="00434420"/>
    <w:rsid w:val="004358CB"/>
    <w:rsid w:val="00436C31"/>
    <w:rsid w:val="00436F11"/>
    <w:rsid w:val="004377A4"/>
    <w:rsid w:val="004378DA"/>
    <w:rsid w:val="00437FAD"/>
    <w:rsid w:val="0044027D"/>
    <w:rsid w:val="00440886"/>
    <w:rsid w:val="00440C26"/>
    <w:rsid w:val="00440FED"/>
    <w:rsid w:val="00441207"/>
    <w:rsid w:val="004418CF"/>
    <w:rsid w:val="00441AEB"/>
    <w:rsid w:val="00442442"/>
    <w:rsid w:val="00443408"/>
    <w:rsid w:val="00444328"/>
    <w:rsid w:val="00444416"/>
    <w:rsid w:val="00445E20"/>
    <w:rsid w:val="00445F1E"/>
    <w:rsid w:val="00446E19"/>
    <w:rsid w:val="00447F88"/>
    <w:rsid w:val="00450C23"/>
    <w:rsid w:val="00451AF3"/>
    <w:rsid w:val="00451F0F"/>
    <w:rsid w:val="0045221F"/>
    <w:rsid w:val="00452AAE"/>
    <w:rsid w:val="00452E79"/>
    <w:rsid w:val="00453387"/>
    <w:rsid w:val="00454F33"/>
    <w:rsid w:val="004551EC"/>
    <w:rsid w:val="00455243"/>
    <w:rsid w:val="00455479"/>
    <w:rsid w:val="00455499"/>
    <w:rsid w:val="00455BDC"/>
    <w:rsid w:val="004563DD"/>
    <w:rsid w:val="0045667E"/>
    <w:rsid w:val="0045684B"/>
    <w:rsid w:val="0045715A"/>
    <w:rsid w:val="00457CF7"/>
    <w:rsid w:val="004601EC"/>
    <w:rsid w:val="00460843"/>
    <w:rsid w:val="00460A39"/>
    <w:rsid w:val="00460FD6"/>
    <w:rsid w:val="00461F03"/>
    <w:rsid w:val="00461F39"/>
    <w:rsid w:val="004625A9"/>
    <w:rsid w:val="00462662"/>
    <w:rsid w:val="00462C52"/>
    <w:rsid w:val="0046341D"/>
    <w:rsid w:val="004634A9"/>
    <w:rsid w:val="00463AA3"/>
    <w:rsid w:val="0046523A"/>
    <w:rsid w:val="00465CCD"/>
    <w:rsid w:val="00465FA6"/>
    <w:rsid w:val="00466979"/>
    <w:rsid w:val="00467B0E"/>
    <w:rsid w:val="004702E2"/>
    <w:rsid w:val="0047069D"/>
    <w:rsid w:val="0047087D"/>
    <w:rsid w:val="00472235"/>
    <w:rsid w:val="00472574"/>
    <w:rsid w:val="0047347C"/>
    <w:rsid w:val="00473649"/>
    <w:rsid w:val="00473EC0"/>
    <w:rsid w:val="0047439A"/>
    <w:rsid w:val="0047451B"/>
    <w:rsid w:val="00474917"/>
    <w:rsid w:val="00474ED0"/>
    <w:rsid w:val="00475023"/>
    <w:rsid w:val="00476318"/>
    <w:rsid w:val="0047660F"/>
    <w:rsid w:val="00476CFA"/>
    <w:rsid w:val="00477586"/>
    <w:rsid w:val="004775D7"/>
    <w:rsid w:val="004778F9"/>
    <w:rsid w:val="00477957"/>
    <w:rsid w:val="00480C78"/>
    <w:rsid w:val="00481163"/>
    <w:rsid w:val="00481E92"/>
    <w:rsid w:val="004831AB"/>
    <w:rsid w:val="0048336E"/>
    <w:rsid w:val="004833D6"/>
    <w:rsid w:val="004841BD"/>
    <w:rsid w:val="00484B14"/>
    <w:rsid w:val="00485575"/>
    <w:rsid w:val="00485887"/>
    <w:rsid w:val="00486444"/>
    <w:rsid w:val="0048661F"/>
    <w:rsid w:val="00486C63"/>
    <w:rsid w:val="00487828"/>
    <w:rsid w:val="00490876"/>
    <w:rsid w:val="0049104E"/>
    <w:rsid w:val="0049187A"/>
    <w:rsid w:val="0049204B"/>
    <w:rsid w:val="0049237B"/>
    <w:rsid w:val="004923DD"/>
    <w:rsid w:val="00493001"/>
    <w:rsid w:val="00493516"/>
    <w:rsid w:val="00494976"/>
    <w:rsid w:val="00495ED0"/>
    <w:rsid w:val="00496019"/>
    <w:rsid w:val="00496545"/>
    <w:rsid w:val="00497324"/>
    <w:rsid w:val="004A00EF"/>
    <w:rsid w:val="004A01BB"/>
    <w:rsid w:val="004A0686"/>
    <w:rsid w:val="004A0E4F"/>
    <w:rsid w:val="004A11DD"/>
    <w:rsid w:val="004A1F9D"/>
    <w:rsid w:val="004A2E6D"/>
    <w:rsid w:val="004A2F5C"/>
    <w:rsid w:val="004A382D"/>
    <w:rsid w:val="004A3881"/>
    <w:rsid w:val="004A3EE2"/>
    <w:rsid w:val="004A5951"/>
    <w:rsid w:val="004A5D3A"/>
    <w:rsid w:val="004A637C"/>
    <w:rsid w:val="004A779D"/>
    <w:rsid w:val="004A7B85"/>
    <w:rsid w:val="004B0581"/>
    <w:rsid w:val="004B0591"/>
    <w:rsid w:val="004B09CF"/>
    <w:rsid w:val="004B0CD7"/>
    <w:rsid w:val="004B15DB"/>
    <w:rsid w:val="004B193E"/>
    <w:rsid w:val="004B2359"/>
    <w:rsid w:val="004B2B5C"/>
    <w:rsid w:val="004B32AF"/>
    <w:rsid w:val="004B4125"/>
    <w:rsid w:val="004B4321"/>
    <w:rsid w:val="004B4855"/>
    <w:rsid w:val="004B4DAB"/>
    <w:rsid w:val="004B5398"/>
    <w:rsid w:val="004B5DE5"/>
    <w:rsid w:val="004B623C"/>
    <w:rsid w:val="004B7598"/>
    <w:rsid w:val="004B77DB"/>
    <w:rsid w:val="004C0111"/>
    <w:rsid w:val="004C156E"/>
    <w:rsid w:val="004C1D5D"/>
    <w:rsid w:val="004C2599"/>
    <w:rsid w:val="004C2B6E"/>
    <w:rsid w:val="004C44EA"/>
    <w:rsid w:val="004C61CD"/>
    <w:rsid w:val="004C61EC"/>
    <w:rsid w:val="004C6A1A"/>
    <w:rsid w:val="004C6AF5"/>
    <w:rsid w:val="004D0C74"/>
    <w:rsid w:val="004D0FA9"/>
    <w:rsid w:val="004D1B45"/>
    <w:rsid w:val="004D1C1B"/>
    <w:rsid w:val="004D1E1B"/>
    <w:rsid w:val="004D24A1"/>
    <w:rsid w:val="004D3151"/>
    <w:rsid w:val="004D3AF2"/>
    <w:rsid w:val="004D41A2"/>
    <w:rsid w:val="004D4799"/>
    <w:rsid w:val="004D4D5E"/>
    <w:rsid w:val="004D4EF2"/>
    <w:rsid w:val="004D563B"/>
    <w:rsid w:val="004D5EDA"/>
    <w:rsid w:val="004D6556"/>
    <w:rsid w:val="004D6F9C"/>
    <w:rsid w:val="004D6FD9"/>
    <w:rsid w:val="004E13F8"/>
    <w:rsid w:val="004E2BC3"/>
    <w:rsid w:val="004E2C10"/>
    <w:rsid w:val="004E3431"/>
    <w:rsid w:val="004E3725"/>
    <w:rsid w:val="004E41A5"/>
    <w:rsid w:val="004E44A9"/>
    <w:rsid w:val="004E4C9A"/>
    <w:rsid w:val="004E5D72"/>
    <w:rsid w:val="004E653C"/>
    <w:rsid w:val="004E6B5B"/>
    <w:rsid w:val="004E6BB3"/>
    <w:rsid w:val="004E7C1C"/>
    <w:rsid w:val="004E7F78"/>
    <w:rsid w:val="004F08BB"/>
    <w:rsid w:val="004F0CAD"/>
    <w:rsid w:val="004F0EFC"/>
    <w:rsid w:val="004F14AD"/>
    <w:rsid w:val="004F2B4F"/>
    <w:rsid w:val="004F2EC4"/>
    <w:rsid w:val="004F3051"/>
    <w:rsid w:val="004F3758"/>
    <w:rsid w:val="004F3DCE"/>
    <w:rsid w:val="004F4DA4"/>
    <w:rsid w:val="004F51E5"/>
    <w:rsid w:val="004F533D"/>
    <w:rsid w:val="004F55AD"/>
    <w:rsid w:val="004F57DF"/>
    <w:rsid w:val="004F5C04"/>
    <w:rsid w:val="004F5D5B"/>
    <w:rsid w:val="004F6053"/>
    <w:rsid w:val="004F780E"/>
    <w:rsid w:val="004F7E00"/>
    <w:rsid w:val="00500C11"/>
    <w:rsid w:val="00501039"/>
    <w:rsid w:val="00501C3B"/>
    <w:rsid w:val="00504049"/>
    <w:rsid w:val="0050414C"/>
    <w:rsid w:val="00504174"/>
    <w:rsid w:val="005045F5"/>
    <w:rsid w:val="00504F92"/>
    <w:rsid w:val="0050501E"/>
    <w:rsid w:val="005060CD"/>
    <w:rsid w:val="00510352"/>
    <w:rsid w:val="0051061B"/>
    <w:rsid w:val="0051093A"/>
    <w:rsid w:val="0051127B"/>
    <w:rsid w:val="00511D5E"/>
    <w:rsid w:val="0051270E"/>
    <w:rsid w:val="00512732"/>
    <w:rsid w:val="00512842"/>
    <w:rsid w:val="0051286C"/>
    <w:rsid w:val="00512F16"/>
    <w:rsid w:val="00514D5D"/>
    <w:rsid w:val="005154F8"/>
    <w:rsid w:val="0051553C"/>
    <w:rsid w:val="0051583E"/>
    <w:rsid w:val="00515DDD"/>
    <w:rsid w:val="0051630C"/>
    <w:rsid w:val="00516CAA"/>
    <w:rsid w:val="00516DE9"/>
    <w:rsid w:val="005170D0"/>
    <w:rsid w:val="00517380"/>
    <w:rsid w:val="00517777"/>
    <w:rsid w:val="005206C9"/>
    <w:rsid w:val="0052106F"/>
    <w:rsid w:val="00523327"/>
    <w:rsid w:val="00523BB0"/>
    <w:rsid w:val="00524545"/>
    <w:rsid w:val="005245AA"/>
    <w:rsid w:val="00524837"/>
    <w:rsid w:val="00527081"/>
    <w:rsid w:val="0052733D"/>
    <w:rsid w:val="00527473"/>
    <w:rsid w:val="005300EC"/>
    <w:rsid w:val="0053023B"/>
    <w:rsid w:val="005302CF"/>
    <w:rsid w:val="005306F5"/>
    <w:rsid w:val="005315BC"/>
    <w:rsid w:val="00533370"/>
    <w:rsid w:val="00534084"/>
    <w:rsid w:val="00534508"/>
    <w:rsid w:val="00534CB5"/>
    <w:rsid w:val="00534E75"/>
    <w:rsid w:val="0053544F"/>
    <w:rsid w:val="005354FB"/>
    <w:rsid w:val="00535595"/>
    <w:rsid w:val="00536716"/>
    <w:rsid w:val="00537352"/>
    <w:rsid w:val="005401DD"/>
    <w:rsid w:val="0054066D"/>
    <w:rsid w:val="00541E27"/>
    <w:rsid w:val="00542948"/>
    <w:rsid w:val="00542ACC"/>
    <w:rsid w:val="00543304"/>
    <w:rsid w:val="00543E6C"/>
    <w:rsid w:val="00545530"/>
    <w:rsid w:val="00545702"/>
    <w:rsid w:val="0054588A"/>
    <w:rsid w:val="00547065"/>
    <w:rsid w:val="0054718F"/>
    <w:rsid w:val="00551F02"/>
    <w:rsid w:val="0055318E"/>
    <w:rsid w:val="0055346F"/>
    <w:rsid w:val="0055400F"/>
    <w:rsid w:val="00554EE2"/>
    <w:rsid w:val="00554FD0"/>
    <w:rsid w:val="00555137"/>
    <w:rsid w:val="0055619E"/>
    <w:rsid w:val="00556BC4"/>
    <w:rsid w:val="005572D2"/>
    <w:rsid w:val="0056090C"/>
    <w:rsid w:val="005614AF"/>
    <w:rsid w:val="00561724"/>
    <w:rsid w:val="00563127"/>
    <w:rsid w:val="00564691"/>
    <w:rsid w:val="00564D91"/>
    <w:rsid w:val="00565423"/>
    <w:rsid w:val="005657BA"/>
    <w:rsid w:val="00565DCD"/>
    <w:rsid w:val="00566827"/>
    <w:rsid w:val="00566E4B"/>
    <w:rsid w:val="00567F2A"/>
    <w:rsid w:val="00567F38"/>
    <w:rsid w:val="00570363"/>
    <w:rsid w:val="0057397A"/>
    <w:rsid w:val="00573FB6"/>
    <w:rsid w:val="00574DFA"/>
    <w:rsid w:val="00575230"/>
    <w:rsid w:val="00575870"/>
    <w:rsid w:val="0057626A"/>
    <w:rsid w:val="005764FC"/>
    <w:rsid w:val="00576500"/>
    <w:rsid w:val="00577E23"/>
    <w:rsid w:val="00580746"/>
    <w:rsid w:val="005807FD"/>
    <w:rsid w:val="0058101A"/>
    <w:rsid w:val="00581357"/>
    <w:rsid w:val="0058188F"/>
    <w:rsid w:val="00582AF1"/>
    <w:rsid w:val="005831AA"/>
    <w:rsid w:val="005832DB"/>
    <w:rsid w:val="005833B6"/>
    <w:rsid w:val="005840A3"/>
    <w:rsid w:val="0058494F"/>
    <w:rsid w:val="005849EE"/>
    <w:rsid w:val="005861A7"/>
    <w:rsid w:val="005866AC"/>
    <w:rsid w:val="0058727B"/>
    <w:rsid w:val="005874F6"/>
    <w:rsid w:val="005876E0"/>
    <w:rsid w:val="0059083B"/>
    <w:rsid w:val="00591588"/>
    <w:rsid w:val="00592107"/>
    <w:rsid w:val="005926BD"/>
    <w:rsid w:val="00592AFC"/>
    <w:rsid w:val="005935B6"/>
    <w:rsid w:val="0059364F"/>
    <w:rsid w:val="00593BBF"/>
    <w:rsid w:val="005941A4"/>
    <w:rsid w:val="005947DE"/>
    <w:rsid w:val="00595AAA"/>
    <w:rsid w:val="00596659"/>
    <w:rsid w:val="005A0229"/>
    <w:rsid w:val="005A0AF7"/>
    <w:rsid w:val="005A1603"/>
    <w:rsid w:val="005A372D"/>
    <w:rsid w:val="005A3AD4"/>
    <w:rsid w:val="005A3CDE"/>
    <w:rsid w:val="005A5B3D"/>
    <w:rsid w:val="005A624B"/>
    <w:rsid w:val="005A7702"/>
    <w:rsid w:val="005B14F2"/>
    <w:rsid w:val="005B196A"/>
    <w:rsid w:val="005B1B26"/>
    <w:rsid w:val="005B1B6A"/>
    <w:rsid w:val="005B1B79"/>
    <w:rsid w:val="005B2A18"/>
    <w:rsid w:val="005B2C4B"/>
    <w:rsid w:val="005B4566"/>
    <w:rsid w:val="005B5142"/>
    <w:rsid w:val="005B51FF"/>
    <w:rsid w:val="005B676E"/>
    <w:rsid w:val="005B6CE9"/>
    <w:rsid w:val="005B7468"/>
    <w:rsid w:val="005B7656"/>
    <w:rsid w:val="005B7BCE"/>
    <w:rsid w:val="005C0C3A"/>
    <w:rsid w:val="005C1164"/>
    <w:rsid w:val="005C1A4B"/>
    <w:rsid w:val="005C1AD3"/>
    <w:rsid w:val="005C2473"/>
    <w:rsid w:val="005C25DF"/>
    <w:rsid w:val="005C2F7F"/>
    <w:rsid w:val="005C31EC"/>
    <w:rsid w:val="005C31F4"/>
    <w:rsid w:val="005C3CFC"/>
    <w:rsid w:val="005C3D6A"/>
    <w:rsid w:val="005C3FE7"/>
    <w:rsid w:val="005C40CF"/>
    <w:rsid w:val="005C45F4"/>
    <w:rsid w:val="005C4A3E"/>
    <w:rsid w:val="005C5022"/>
    <w:rsid w:val="005C5924"/>
    <w:rsid w:val="005C5FC3"/>
    <w:rsid w:val="005C713A"/>
    <w:rsid w:val="005C75B8"/>
    <w:rsid w:val="005D1AC0"/>
    <w:rsid w:val="005D27A1"/>
    <w:rsid w:val="005D2C7F"/>
    <w:rsid w:val="005D2E60"/>
    <w:rsid w:val="005D37F7"/>
    <w:rsid w:val="005D3FB8"/>
    <w:rsid w:val="005D4253"/>
    <w:rsid w:val="005D4688"/>
    <w:rsid w:val="005D4AB7"/>
    <w:rsid w:val="005D5450"/>
    <w:rsid w:val="005D56B1"/>
    <w:rsid w:val="005D60A7"/>
    <w:rsid w:val="005D6154"/>
    <w:rsid w:val="005D6D87"/>
    <w:rsid w:val="005E08DE"/>
    <w:rsid w:val="005E1027"/>
    <w:rsid w:val="005E1AFB"/>
    <w:rsid w:val="005E1C6F"/>
    <w:rsid w:val="005E1EF4"/>
    <w:rsid w:val="005E2CBD"/>
    <w:rsid w:val="005E31FF"/>
    <w:rsid w:val="005E37AA"/>
    <w:rsid w:val="005E3A1F"/>
    <w:rsid w:val="005E3CB1"/>
    <w:rsid w:val="005E5951"/>
    <w:rsid w:val="005E5ED7"/>
    <w:rsid w:val="005E6A8C"/>
    <w:rsid w:val="005E6DDC"/>
    <w:rsid w:val="005F00C0"/>
    <w:rsid w:val="005F05DD"/>
    <w:rsid w:val="005F0DEF"/>
    <w:rsid w:val="005F0EB0"/>
    <w:rsid w:val="005F142D"/>
    <w:rsid w:val="005F1A51"/>
    <w:rsid w:val="005F21C0"/>
    <w:rsid w:val="005F285C"/>
    <w:rsid w:val="005F2863"/>
    <w:rsid w:val="005F2A0D"/>
    <w:rsid w:val="005F2B3B"/>
    <w:rsid w:val="005F3AA0"/>
    <w:rsid w:val="005F4968"/>
    <w:rsid w:val="005F4B66"/>
    <w:rsid w:val="005F54DB"/>
    <w:rsid w:val="005F5FDE"/>
    <w:rsid w:val="005F5FE8"/>
    <w:rsid w:val="0060049D"/>
    <w:rsid w:val="00600EA0"/>
    <w:rsid w:val="006017C9"/>
    <w:rsid w:val="0060191B"/>
    <w:rsid w:val="006020F3"/>
    <w:rsid w:val="00602507"/>
    <w:rsid w:val="00602E63"/>
    <w:rsid w:val="00602E6F"/>
    <w:rsid w:val="006032D0"/>
    <w:rsid w:val="006035B8"/>
    <w:rsid w:val="00603752"/>
    <w:rsid w:val="006051CD"/>
    <w:rsid w:val="006051EC"/>
    <w:rsid w:val="00606075"/>
    <w:rsid w:val="0060698D"/>
    <w:rsid w:val="00606C83"/>
    <w:rsid w:val="00606D47"/>
    <w:rsid w:val="006072A6"/>
    <w:rsid w:val="00607555"/>
    <w:rsid w:val="00607789"/>
    <w:rsid w:val="00610311"/>
    <w:rsid w:val="00610599"/>
    <w:rsid w:val="00610A64"/>
    <w:rsid w:val="00611414"/>
    <w:rsid w:val="00612443"/>
    <w:rsid w:val="00612B6B"/>
    <w:rsid w:val="006131C6"/>
    <w:rsid w:val="0061378C"/>
    <w:rsid w:val="00613C24"/>
    <w:rsid w:val="0061450B"/>
    <w:rsid w:val="0061453B"/>
    <w:rsid w:val="00614D84"/>
    <w:rsid w:val="00615797"/>
    <w:rsid w:val="00615844"/>
    <w:rsid w:val="00615F17"/>
    <w:rsid w:val="0061625F"/>
    <w:rsid w:val="00617E26"/>
    <w:rsid w:val="0062040E"/>
    <w:rsid w:val="006206C9"/>
    <w:rsid w:val="00620A3F"/>
    <w:rsid w:val="0062125B"/>
    <w:rsid w:val="00622C4E"/>
    <w:rsid w:val="00623161"/>
    <w:rsid w:val="00623438"/>
    <w:rsid w:val="00623682"/>
    <w:rsid w:val="00624128"/>
    <w:rsid w:val="00624938"/>
    <w:rsid w:val="00624BD3"/>
    <w:rsid w:val="00624D3A"/>
    <w:rsid w:val="00625225"/>
    <w:rsid w:val="00626EB7"/>
    <w:rsid w:val="00627951"/>
    <w:rsid w:val="00627A90"/>
    <w:rsid w:val="006309B3"/>
    <w:rsid w:val="00631E34"/>
    <w:rsid w:val="0063291C"/>
    <w:rsid w:val="0063340E"/>
    <w:rsid w:val="0063381C"/>
    <w:rsid w:val="00633EF4"/>
    <w:rsid w:val="0063445E"/>
    <w:rsid w:val="006349AF"/>
    <w:rsid w:val="00636102"/>
    <w:rsid w:val="00636140"/>
    <w:rsid w:val="006367CA"/>
    <w:rsid w:val="00641545"/>
    <w:rsid w:val="00641608"/>
    <w:rsid w:val="00642922"/>
    <w:rsid w:val="00642D37"/>
    <w:rsid w:val="00642DDB"/>
    <w:rsid w:val="0064391C"/>
    <w:rsid w:val="0064438B"/>
    <w:rsid w:val="0064444A"/>
    <w:rsid w:val="006450D1"/>
    <w:rsid w:val="00645453"/>
    <w:rsid w:val="00646A32"/>
    <w:rsid w:val="00647392"/>
    <w:rsid w:val="00647E1E"/>
    <w:rsid w:val="006507E8"/>
    <w:rsid w:val="00650A5D"/>
    <w:rsid w:val="00650CD6"/>
    <w:rsid w:val="00652769"/>
    <w:rsid w:val="0065540B"/>
    <w:rsid w:val="006558FD"/>
    <w:rsid w:val="00655A96"/>
    <w:rsid w:val="00655D95"/>
    <w:rsid w:val="0065604F"/>
    <w:rsid w:val="00656F72"/>
    <w:rsid w:val="00657133"/>
    <w:rsid w:val="00657CD2"/>
    <w:rsid w:val="00657DE1"/>
    <w:rsid w:val="00660B5B"/>
    <w:rsid w:val="00661216"/>
    <w:rsid w:val="00661724"/>
    <w:rsid w:val="00661AAD"/>
    <w:rsid w:val="006620B4"/>
    <w:rsid w:val="006634E5"/>
    <w:rsid w:val="00663510"/>
    <w:rsid w:val="00663534"/>
    <w:rsid w:val="00663CEA"/>
    <w:rsid w:val="00664CA9"/>
    <w:rsid w:val="006650EA"/>
    <w:rsid w:val="006653C4"/>
    <w:rsid w:val="00665671"/>
    <w:rsid w:val="00666D25"/>
    <w:rsid w:val="00666F95"/>
    <w:rsid w:val="0066737C"/>
    <w:rsid w:val="006678F4"/>
    <w:rsid w:val="006702D4"/>
    <w:rsid w:val="00670315"/>
    <w:rsid w:val="00671DE2"/>
    <w:rsid w:val="00672E87"/>
    <w:rsid w:val="00673289"/>
    <w:rsid w:val="00673B59"/>
    <w:rsid w:val="00673D9D"/>
    <w:rsid w:val="00675021"/>
    <w:rsid w:val="00675220"/>
    <w:rsid w:val="00676C16"/>
    <w:rsid w:val="00677894"/>
    <w:rsid w:val="00677AB5"/>
    <w:rsid w:val="00677CEF"/>
    <w:rsid w:val="00677F19"/>
    <w:rsid w:val="00680065"/>
    <w:rsid w:val="00680188"/>
    <w:rsid w:val="00680545"/>
    <w:rsid w:val="0068099D"/>
    <w:rsid w:val="006809DF"/>
    <w:rsid w:val="00681D91"/>
    <w:rsid w:val="0068238C"/>
    <w:rsid w:val="00683063"/>
    <w:rsid w:val="006831FB"/>
    <w:rsid w:val="00683823"/>
    <w:rsid w:val="00683CCB"/>
    <w:rsid w:val="00683D49"/>
    <w:rsid w:val="006845CC"/>
    <w:rsid w:val="00684B8E"/>
    <w:rsid w:val="00684DD8"/>
    <w:rsid w:val="0068558C"/>
    <w:rsid w:val="0068560C"/>
    <w:rsid w:val="0068565A"/>
    <w:rsid w:val="006858D6"/>
    <w:rsid w:val="00685BDC"/>
    <w:rsid w:val="00685CBE"/>
    <w:rsid w:val="00685F53"/>
    <w:rsid w:val="00685FDE"/>
    <w:rsid w:val="00686897"/>
    <w:rsid w:val="00686D67"/>
    <w:rsid w:val="006877C0"/>
    <w:rsid w:val="00687B2D"/>
    <w:rsid w:val="006914A1"/>
    <w:rsid w:val="00691A54"/>
    <w:rsid w:val="00691FC8"/>
    <w:rsid w:val="006928BA"/>
    <w:rsid w:val="00692B3E"/>
    <w:rsid w:val="00693744"/>
    <w:rsid w:val="00693B71"/>
    <w:rsid w:val="00694676"/>
    <w:rsid w:val="0069473C"/>
    <w:rsid w:val="00695182"/>
    <w:rsid w:val="00696E70"/>
    <w:rsid w:val="00696F7F"/>
    <w:rsid w:val="0069768A"/>
    <w:rsid w:val="00697FA5"/>
    <w:rsid w:val="006A0848"/>
    <w:rsid w:val="006A08F0"/>
    <w:rsid w:val="006A0AE0"/>
    <w:rsid w:val="006A1226"/>
    <w:rsid w:val="006A193A"/>
    <w:rsid w:val="006A1B78"/>
    <w:rsid w:val="006A32D7"/>
    <w:rsid w:val="006A5655"/>
    <w:rsid w:val="006A571A"/>
    <w:rsid w:val="006A57C3"/>
    <w:rsid w:val="006A609D"/>
    <w:rsid w:val="006A61D6"/>
    <w:rsid w:val="006A6C91"/>
    <w:rsid w:val="006A7091"/>
    <w:rsid w:val="006A78A4"/>
    <w:rsid w:val="006A79CE"/>
    <w:rsid w:val="006B0E1A"/>
    <w:rsid w:val="006B134C"/>
    <w:rsid w:val="006B1968"/>
    <w:rsid w:val="006B2126"/>
    <w:rsid w:val="006B3169"/>
    <w:rsid w:val="006B3B81"/>
    <w:rsid w:val="006B45FA"/>
    <w:rsid w:val="006B4781"/>
    <w:rsid w:val="006B4A2E"/>
    <w:rsid w:val="006B4AF7"/>
    <w:rsid w:val="006B4B1D"/>
    <w:rsid w:val="006B4B88"/>
    <w:rsid w:val="006B4CB3"/>
    <w:rsid w:val="006B5775"/>
    <w:rsid w:val="006B5867"/>
    <w:rsid w:val="006B75A2"/>
    <w:rsid w:val="006B77C6"/>
    <w:rsid w:val="006B7DEB"/>
    <w:rsid w:val="006C05C2"/>
    <w:rsid w:val="006C0BC2"/>
    <w:rsid w:val="006C11DC"/>
    <w:rsid w:val="006C1428"/>
    <w:rsid w:val="006C1544"/>
    <w:rsid w:val="006C15A0"/>
    <w:rsid w:val="006C2B02"/>
    <w:rsid w:val="006C2E13"/>
    <w:rsid w:val="006C350F"/>
    <w:rsid w:val="006C3DD2"/>
    <w:rsid w:val="006C3DFC"/>
    <w:rsid w:val="006C42A2"/>
    <w:rsid w:val="006C481B"/>
    <w:rsid w:val="006C5B24"/>
    <w:rsid w:val="006C639C"/>
    <w:rsid w:val="006C6887"/>
    <w:rsid w:val="006C6A21"/>
    <w:rsid w:val="006C6A5F"/>
    <w:rsid w:val="006C6B1C"/>
    <w:rsid w:val="006D01AC"/>
    <w:rsid w:val="006D04BA"/>
    <w:rsid w:val="006D07A5"/>
    <w:rsid w:val="006D203A"/>
    <w:rsid w:val="006D2525"/>
    <w:rsid w:val="006D29FF"/>
    <w:rsid w:val="006D2D9F"/>
    <w:rsid w:val="006D3446"/>
    <w:rsid w:val="006D420C"/>
    <w:rsid w:val="006D42FB"/>
    <w:rsid w:val="006D440F"/>
    <w:rsid w:val="006D5323"/>
    <w:rsid w:val="006D6020"/>
    <w:rsid w:val="006D6569"/>
    <w:rsid w:val="006D66BD"/>
    <w:rsid w:val="006D69B5"/>
    <w:rsid w:val="006D6E57"/>
    <w:rsid w:val="006D6EB1"/>
    <w:rsid w:val="006D7006"/>
    <w:rsid w:val="006D7078"/>
    <w:rsid w:val="006D793E"/>
    <w:rsid w:val="006D7AD5"/>
    <w:rsid w:val="006D7D2F"/>
    <w:rsid w:val="006E005C"/>
    <w:rsid w:val="006E033E"/>
    <w:rsid w:val="006E1A62"/>
    <w:rsid w:val="006E210A"/>
    <w:rsid w:val="006E210C"/>
    <w:rsid w:val="006E39A1"/>
    <w:rsid w:val="006E455C"/>
    <w:rsid w:val="006E4BFE"/>
    <w:rsid w:val="006E5B10"/>
    <w:rsid w:val="006E5B84"/>
    <w:rsid w:val="006E6123"/>
    <w:rsid w:val="006E6271"/>
    <w:rsid w:val="006E6742"/>
    <w:rsid w:val="006E6807"/>
    <w:rsid w:val="006E73AD"/>
    <w:rsid w:val="006E73CE"/>
    <w:rsid w:val="006E775B"/>
    <w:rsid w:val="006F0754"/>
    <w:rsid w:val="006F0D99"/>
    <w:rsid w:val="006F1570"/>
    <w:rsid w:val="006F1696"/>
    <w:rsid w:val="006F2054"/>
    <w:rsid w:val="006F23FC"/>
    <w:rsid w:val="006F32EE"/>
    <w:rsid w:val="006F3381"/>
    <w:rsid w:val="006F4079"/>
    <w:rsid w:val="006F48B8"/>
    <w:rsid w:val="006F57D7"/>
    <w:rsid w:val="0070032E"/>
    <w:rsid w:val="00700AF6"/>
    <w:rsid w:val="00700FEE"/>
    <w:rsid w:val="00701151"/>
    <w:rsid w:val="007013F7"/>
    <w:rsid w:val="007017E2"/>
    <w:rsid w:val="00701A75"/>
    <w:rsid w:val="00702CB5"/>
    <w:rsid w:val="00702F37"/>
    <w:rsid w:val="00703152"/>
    <w:rsid w:val="0070335F"/>
    <w:rsid w:val="00703466"/>
    <w:rsid w:val="007048EB"/>
    <w:rsid w:val="00704A23"/>
    <w:rsid w:val="00705E50"/>
    <w:rsid w:val="007061B5"/>
    <w:rsid w:val="00707299"/>
    <w:rsid w:val="0070778B"/>
    <w:rsid w:val="00707C26"/>
    <w:rsid w:val="00710350"/>
    <w:rsid w:val="00710FE9"/>
    <w:rsid w:val="007116F3"/>
    <w:rsid w:val="00711D56"/>
    <w:rsid w:val="00711D76"/>
    <w:rsid w:val="0071207E"/>
    <w:rsid w:val="00712462"/>
    <w:rsid w:val="0071287A"/>
    <w:rsid w:val="00712B0A"/>
    <w:rsid w:val="00712C4E"/>
    <w:rsid w:val="00713442"/>
    <w:rsid w:val="00713675"/>
    <w:rsid w:val="00713FC2"/>
    <w:rsid w:val="00714225"/>
    <w:rsid w:val="0071456B"/>
    <w:rsid w:val="00714EC4"/>
    <w:rsid w:val="00714FA1"/>
    <w:rsid w:val="00715166"/>
    <w:rsid w:val="00715760"/>
    <w:rsid w:val="00716017"/>
    <w:rsid w:val="0071656A"/>
    <w:rsid w:val="0071793E"/>
    <w:rsid w:val="00717AC6"/>
    <w:rsid w:val="00717C5E"/>
    <w:rsid w:val="007200C6"/>
    <w:rsid w:val="00720A22"/>
    <w:rsid w:val="0072127F"/>
    <w:rsid w:val="0072232D"/>
    <w:rsid w:val="0072234A"/>
    <w:rsid w:val="0072245D"/>
    <w:rsid w:val="007225DD"/>
    <w:rsid w:val="00722CF6"/>
    <w:rsid w:val="007239EC"/>
    <w:rsid w:val="00723AD8"/>
    <w:rsid w:val="00725247"/>
    <w:rsid w:val="00725516"/>
    <w:rsid w:val="0072607E"/>
    <w:rsid w:val="0072726C"/>
    <w:rsid w:val="00727493"/>
    <w:rsid w:val="00727A95"/>
    <w:rsid w:val="007300A7"/>
    <w:rsid w:val="0073069B"/>
    <w:rsid w:val="007312A2"/>
    <w:rsid w:val="007318C7"/>
    <w:rsid w:val="00731CEA"/>
    <w:rsid w:val="00732309"/>
    <w:rsid w:val="007324C0"/>
    <w:rsid w:val="0073266F"/>
    <w:rsid w:val="007329E4"/>
    <w:rsid w:val="00734143"/>
    <w:rsid w:val="007347E0"/>
    <w:rsid w:val="00734A69"/>
    <w:rsid w:val="00734BBB"/>
    <w:rsid w:val="00735AA7"/>
    <w:rsid w:val="00735BFC"/>
    <w:rsid w:val="00735D2D"/>
    <w:rsid w:val="00736950"/>
    <w:rsid w:val="00736BBA"/>
    <w:rsid w:val="00740B5D"/>
    <w:rsid w:val="007414BD"/>
    <w:rsid w:val="00741582"/>
    <w:rsid w:val="007419D6"/>
    <w:rsid w:val="00741CB4"/>
    <w:rsid w:val="007425FB"/>
    <w:rsid w:val="007427F4"/>
    <w:rsid w:val="00742D26"/>
    <w:rsid w:val="00743B1A"/>
    <w:rsid w:val="00743BA9"/>
    <w:rsid w:val="00743C13"/>
    <w:rsid w:val="00743E12"/>
    <w:rsid w:val="0074413C"/>
    <w:rsid w:val="0074522F"/>
    <w:rsid w:val="0074570E"/>
    <w:rsid w:val="007458A3"/>
    <w:rsid w:val="00745B6C"/>
    <w:rsid w:val="00745C79"/>
    <w:rsid w:val="00746034"/>
    <w:rsid w:val="00746496"/>
    <w:rsid w:val="00746AEB"/>
    <w:rsid w:val="00746D3C"/>
    <w:rsid w:val="00747373"/>
    <w:rsid w:val="007474F2"/>
    <w:rsid w:val="00750113"/>
    <w:rsid w:val="0075099F"/>
    <w:rsid w:val="0075190D"/>
    <w:rsid w:val="00752385"/>
    <w:rsid w:val="007523C9"/>
    <w:rsid w:val="00752992"/>
    <w:rsid w:val="00753AE7"/>
    <w:rsid w:val="00754006"/>
    <w:rsid w:val="007541E1"/>
    <w:rsid w:val="00754BC2"/>
    <w:rsid w:val="00754E2B"/>
    <w:rsid w:val="00755631"/>
    <w:rsid w:val="00756474"/>
    <w:rsid w:val="00757F6C"/>
    <w:rsid w:val="00761EE1"/>
    <w:rsid w:val="0076247A"/>
    <w:rsid w:val="00764482"/>
    <w:rsid w:val="0076466B"/>
    <w:rsid w:val="00764FD6"/>
    <w:rsid w:val="00765ACE"/>
    <w:rsid w:val="00765DF1"/>
    <w:rsid w:val="00765F4B"/>
    <w:rsid w:val="007661EF"/>
    <w:rsid w:val="00766474"/>
    <w:rsid w:val="007666E0"/>
    <w:rsid w:val="007669EF"/>
    <w:rsid w:val="00766CB2"/>
    <w:rsid w:val="00766D18"/>
    <w:rsid w:val="007671EF"/>
    <w:rsid w:val="007672A1"/>
    <w:rsid w:val="007674D2"/>
    <w:rsid w:val="00770614"/>
    <w:rsid w:val="00771B50"/>
    <w:rsid w:val="00772654"/>
    <w:rsid w:val="0077400E"/>
    <w:rsid w:val="00774268"/>
    <w:rsid w:val="00774DF7"/>
    <w:rsid w:val="00775CBB"/>
    <w:rsid w:val="007763F5"/>
    <w:rsid w:val="00776464"/>
    <w:rsid w:val="00776751"/>
    <w:rsid w:val="007767D1"/>
    <w:rsid w:val="0077683C"/>
    <w:rsid w:val="00776A53"/>
    <w:rsid w:val="0077706F"/>
    <w:rsid w:val="00777206"/>
    <w:rsid w:val="007774C5"/>
    <w:rsid w:val="00777DDE"/>
    <w:rsid w:val="00780942"/>
    <w:rsid w:val="00781014"/>
    <w:rsid w:val="00781322"/>
    <w:rsid w:val="007816CD"/>
    <w:rsid w:val="00782048"/>
    <w:rsid w:val="00782A13"/>
    <w:rsid w:val="007837C2"/>
    <w:rsid w:val="00784188"/>
    <w:rsid w:val="00784B07"/>
    <w:rsid w:val="00786067"/>
    <w:rsid w:val="0078656D"/>
    <w:rsid w:val="007869EC"/>
    <w:rsid w:val="00786BAB"/>
    <w:rsid w:val="00786FDB"/>
    <w:rsid w:val="0079038F"/>
    <w:rsid w:val="00790DBC"/>
    <w:rsid w:val="00790F52"/>
    <w:rsid w:val="007919C9"/>
    <w:rsid w:val="00792303"/>
    <w:rsid w:val="00793662"/>
    <w:rsid w:val="00793BA8"/>
    <w:rsid w:val="0079620C"/>
    <w:rsid w:val="00796AD6"/>
    <w:rsid w:val="00796E00"/>
    <w:rsid w:val="00796E9C"/>
    <w:rsid w:val="00797425"/>
    <w:rsid w:val="00797830"/>
    <w:rsid w:val="007A1128"/>
    <w:rsid w:val="007A1C20"/>
    <w:rsid w:val="007A21AD"/>
    <w:rsid w:val="007A321D"/>
    <w:rsid w:val="007A3F72"/>
    <w:rsid w:val="007A409C"/>
    <w:rsid w:val="007A4D17"/>
    <w:rsid w:val="007A4F75"/>
    <w:rsid w:val="007A5045"/>
    <w:rsid w:val="007A78B5"/>
    <w:rsid w:val="007A7B9F"/>
    <w:rsid w:val="007B0412"/>
    <w:rsid w:val="007B0B80"/>
    <w:rsid w:val="007B2092"/>
    <w:rsid w:val="007B372D"/>
    <w:rsid w:val="007B40B4"/>
    <w:rsid w:val="007B51C2"/>
    <w:rsid w:val="007B60EC"/>
    <w:rsid w:val="007B665D"/>
    <w:rsid w:val="007B69F2"/>
    <w:rsid w:val="007B6A92"/>
    <w:rsid w:val="007B7015"/>
    <w:rsid w:val="007B7841"/>
    <w:rsid w:val="007B7A04"/>
    <w:rsid w:val="007C02E9"/>
    <w:rsid w:val="007C0505"/>
    <w:rsid w:val="007C110F"/>
    <w:rsid w:val="007C253D"/>
    <w:rsid w:val="007C2869"/>
    <w:rsid w:val="007C35D9"/>
    <w:rsid w:val="007C3633"/>
    <w:rsid w:val="007C39B4"/>
    <w:rsid w:val="007C58F8"/>
    <w:rsid w:val="007C777C"/>
    <w:rsid w:val="007C79FA"/>
    <w:rsid w:val="007C7AF7"/>
    <w:rsid w:val="007D09CE"/>
    <w:rsid w:val="007D09F9"/>
    <w:rsid w:val="007D1487"/>
    <w:rsid w:val="007D1656"/>
    <w:rsid w:val="007D2BB7"/>
    <w:rsid w:val="007D41A3"/>
    <w:rsid w:val="007D4737"/>
    <w:rsid w:val="007D5354"/>
    <w:rsid w:val="007D5506"/>
    <w:rsid w:val="007D5707"/>
    <w:rsid w:val="007D66F3"/>
    <w:rsid w:val="007D67A4"/>
    <w:rsid w:val="007D6838"/>
    <w:rsid w:val="007D6B5A"/>
    <w:rsid w:val="007E0198"/>
    <w:rsid w:val="007E1A82"/>
    <w:rsid w:val="007E2C57"/>
    <w:rsid w:val="007E3860"/>
    <w:rsid w:val="007E40B0"/>
    <w:rsid w:val="007E5D08"/>
    <w:rsid w:val="007E6F8B"/>
    <w:rsid w:val="007E7E66"/>
    <w:rsid w:val="007F059C"/>
    <w:rsid w:val="007F0766"/>
    <w:rsid w:val="007F105E"/>
    <w:rsid w:val="007F1D89"/>
    <w:rsid w:val="007F3634"/>
    <w:rsid w:val="007F3900"/>
    <w:rsid w:val="007F3A84"/>
    <w:rsid w:val="007F3B92"/>
    <w:rsid w:val="007F4605"/>
    <w:rsid w:val="007F4C3A"/>
    <w:rsid w:val="007F4EDC"/>
    <w:rsid w:val="007F5CDF"/>
    <w:rsid w:val="007F5D7F"/>
    <w:rsid w:val="007F5DC3"/>
    <w:rsid w:val="007F6000"/>
    <w:rsid w:val="007F642B"/>
    <w:rsid w:val="007F7C4B"/>
    <w:rsid w:val="00800F66"/>
    <w:rsid w:val="00801EC4"/>
    <w:rsid w:val="0080230C"/>
    <w:rsid w:val="00802729"/>
    <w:rsid w:val="0080353B"/>
    <w:rsid w:val="0080355F"/>
    <w:rsid w:val="00803FE5"/>
    <w:rsid w:val="008049E3"/>
    <w:rsid w:val="00804FCA"/>
    <w:rsid w:val="00805B26"/>
    <w:rsid w:val="00805C3C"/>
    <w:rsid w:val="00805CAD"/>
    <w:rsid w:val="0080637D"/>
    <w:rsid w:val="0080653E"/>
    <w:rsid w:val="00806584"/>
    <w:rsid w:val="008066FF"/>
    <w:rsid w:val="00806A4F"/>
    <w:rsid w:val="00806B43"/>
    <w:rsid w:val="00806C5D"/>
    <w:rsid w:val="00806CA9"/>
    <w:rsid w:val="008075ED"/>
    <w:rsid w:val="00807EB0"/>
    <w:rsid w:val="00807F17"/>
    <w:rsid w:val="008103BD"/>
    <w:rsid w:val="008103D9"/>
    <w:rsid w:val="00810DA4"/>
    <w:rsid w:val="00811B58"/>
    <w:rsid w:val="00813053"/>
    <w:rsid w:val="00813C76"/>
    <w:rsid w:val="00815466"/>
    <w:rsid w:val="008154AB"/>
    <w:rsid w:val="00815C8F"/>
    <w:rsid w:val="00815D40"/>
    <w:rsid w:val="008163FF"/>
    <w:rsid w:val="00816698"/>
    <w:rsid w:val="00816F3A"/>
    <w:rsid w:val="00817091"/>
    <w:rsid w:val="0082089C"/>
    <w:rsid w:val="00820AC6"/>
    <w:rsid w:val="00820F72"/>
    <w:rsid w:val="00822328"/>
    <w:rsid w:val="0082242B"/>
    <w:rsid w:val="00822567"/>
    <w:rsid w:val="00822980"/>
    <w:rsid w:val="0082427A"/>
    <w:rsid w:val="00825E71"/>
    <w:rsid w:val="00826A27"/>
    <w:rsid w:val="00830E00"/>
    <w:rsid w:val="008319E7"/>
    <w:rsid w:val="00832E5F"/>
    <w:rsid w:val="008338BA"/>
    <w:rsid w:val="00833DB8"/>
    <w:rsid w:val="00834289"/>
    <w:rsid w:val="00834C46"/>
    <w:rsid w:val="0083536A"/>
    <w:rsid w:val="008355AA"/>
    <w:rsid w:val="008359BA"/>
    <w:rsid w:val="008359FC"/>
    <w:rsid w:val="00835C9A"/>
    <w:rsid w:val="00835E86"/>
    <w:rsid w:val="00835EC1"/>
    <w:rsid w:val="00836075"/>
    <w:rsid w:val="008368D8"/>
    <w:rsid w:val="00837D7A"/>
    <w:rsid w:val="008401C6"/>
    <w:rsid w:val="008407B3"/>
    <w:rsid w:val="00840A39"/>
    <w:rsid w:val="00840A6D"/>
    <w:rsid w:val="008414B6"/>
    <w:rsid w:val="008416BF"/>
    <w:rsid w:val="00841742"/>
    <w:rsid w:val="008417F0"/>
    <w:rsid w:val="00842133"/>
    <w:rsid w:val="0084256A"/>
    <w:rsid w:val="00842766"/>
    <w:rsid w:val="008447D4"/>
    <w:rsid w:val="00845CEB"/>
    <w:rsid w:val="00850052"/>
    <w:rsid w:val="00850B7A"/>
    <w:rsid w:val="008518D8"/>
    <w:rsid w:val="00851A6E"/>
    <w:rsid w:val="008524C4"/>
    <w:rsid w:val="00852B08"/>
    <w:rsid w:val="00852FB9"/>
    <w:rsid w:val="00853E57"/>
    <w:rsid w:val="00854078"/>
    <w:rsid w:val="008544BE"/>
    <w:rsid w:val="0085501B"/>
    <w:rsid w:val="008551B8"/>
    <w:rsid w:val="00855463"/>
    <w:rsid w:val="0085552D"/>
    <w:rsid w:val="00855DC5"/>
    <w:rsid w:val="00856808"/>
    <w:rsid w:val="00856C9D"/>
    <w:rsid w:val="00857850"/>
    <w:rsid w:val="00860783"/>
    <w:rsid w:val="0086101B"/>
    <w:rsid w:val="0086108C"/>
    <w:rsid w:val="008614A4"/>
    <w:rsid w:val="00861927"/>
    <w:rsid w:val="00861A95"/>
    <w:rsid w:val="00862250"/>
    <w:rsid w:val="0086358D"/>
    <w:rsid w:val="0086394E"/>
    <w:rsid w:val="00864228"/>
    <w:rsid w:val="0086457B"/>
    <w:rsid w:val="0086507A"/>
    <w:rsid w:val="008651DD"/>
    <w:rsid w:val="00866746"/>
    <w:rsid w:val="008669CF"/>
    <w:rsid w:val="00866E32"/>
    <w:rsid w:val="008670B4"/>
    <w:rsid w:val="0086721C"/>
    <w:rsid w:val="0086736D"/>
    <w:rsid w:val="0087024E"/>
    <w:rsid w:val="00870A0C"/>
    <w:rsid w:val="00870C7C"/>
    <w:rsid w:val="0087118E"/>
    <w:rsid w:val="008712BA"/>
    <w:rsid w:val="0087201C"/>
    <w:rsid w:val="00872068"/>
    <w:rsid w:val="008724A7"/>
    <w:rsid w:val="00873061"/>
    <w:rsid w:val="008736AC"/>
    <w:rsid w:val="008739AF"/>
    <w:rsid w:val="00873B69"/>
    <w:rsid w:val="00873D86"/>
    <w:rsid w:val="00874663"/>
    <w:rsid w:val="00874A22"/>
    <w:rsid w:val="00875353"/>
    <w:rsid w:val="00875574"/>
    <w:rsid w:val="00875A3D"/>
    <w:rsid w:val="00875C46"/>
    <w:rsid w:val="00875C71"/>
    <w:rsid w:val="00875DEF"/>
    <w:rsid w:val="008772DE"/>
    <w:rsid w:val="00877C33"/>
    <w:rsid w:val="00877ED5"/>
    <w:rsid w:val="0088045B"/>
    <w:rsid w:val="00881D3D"/>
    <w:rsid w:val="00882F1C"/>
    <w:rsid w:val="00883FAA"/>
    <w:rsid w:val="008851AB"/>
    <w:rsid w:val="00885231"/>
    <w:rsid w:val="008853D4"/>
    <w:rsid w:val="00885BAE"/>
    <w:rsid w:val="0088616B"/>
    <w:rsid w:val="008862B5"/>
    <w:rsid w:val="0088658E"/>
    <w:rsid w:val="008866BC"/>
    <w:rsid w:val="0088757D"/>
    <w:rsid w:val="00887CEC"/>
    <w:rsid w:val="0089011A"/>
    <w:rsid w:val="008904DE"/>
    <w:rsid w:val="008905F3"/>
    <w:rsid w:val="00890941"/>
    <w:rsid w:val="008915D2"/>
    <w:rsid w:val="008916E5"/>
    <w:rsid w:val="00891E20"/>
    <w:rsid w:val="0089326A"/>
    <w:rsid w:val="008935BE"/>
    <w:rsid w:val="00893680"/>
    <w:rsid w:val="008936C4"/>
    <w:rsid w:val="00893706"/>
    <w:rsid w:val="00893735"/>
    <w:rsid w:val="00893DE0"/>
    <w:rsid w:val="00893FAE"/>
    <w:rsid w:val="008944E9"/>
    <w:rsid w:val="00894834"/>
    <w:rsid w:val="00894B70"/>
    <w:rsid w:val="00895264"/>
    <w:rsid w:val="008955A4"/>
    <w:rsid w:val="00895819"/>
    <w:rsid w:val="00895E33"/>
    <w:rsid w:val="00895EC6"/>
    <w:rsid w:val="00897C0D"/>
    <w:rsid w:val="008A092A"/>
    <w:rsid w:val="008A20E5"/>
    <w:rsid w:val="008A25FA"/>
    <w:rsid w:val="008A2849"/>
    <w:rsid w:val="008A475F"/>
    <w:rsid w:val="008A4F74"/>
    <w:rsid w:val="008A579E"/>
    <w:rsid w:val="008A5971"/>
    <w:rsid w:val="008A599A"/>
    <w:rsid w:val="008A5AC8"/>
    <w:rsid w:val="008A5DDC"/>
    <w:rsid w:val="008A6668"/>
    <w:rsid w:val="008A7325"/>
    <w:rsid w:val="008A7969"/>
    <w:rsid w:val="008AADF1"/>
    <w:rsid w:val="008B0FC8"/>
    <w:rsid w:val="008B1417"/>
    <w:rsid w:val="008B21F9"/>
    <w:rsid w:val="008B23E4"/>
    <w:rsid w:val="008B25BF"/>
    <w:rsid w:val="008B2668"/>
    <w:rsid w:val="008B32B1"/>
    <w:rsid w:val="008B3DE7"/>
    <w:rsid w:val="008B4332"/>
    <w:rsid w:val="008B476D"/>
    <w:rsid w:val="008B4E07"/>
    <w:rsid w:val="008B51AF"/>
    <w:rsid w:val="008B51CF"/>
    <w:rsid w:val="008B5A8C"/>
    <w:rsid w:val="008B6543"/>
    <w:rsid w:val="008B6F6E"/>
    <w:rsid w:val="008C0916"/>
    <w:rsid w:val="008C2F59"/>
    <w:rsid w:val="008C4C91"/>
    <w:rsid w:val="008C503C"/>
    <w:rsid w:val="008C50F6"/>
    <w:rsid w:val="008C54B0"/>
    <w:rsid w:val="008C5636"/>
    <w:rsid w:val="008C5688"/>
    <w:rsid w:val="008C5B02"/>
    <w:rsid w:val="008C5F8D"/>
    <w:rsid w:val="008C6453"/>
    <w:rsid w:val="008C698A"/>
    <w:rsid w:val="008C7251"/>
    <w:rsid w:val="008C7AB5"/>
    <w:rsid w:val="008D16A5"/>
    <w:rsid w:val="008D2D05"/>
    <w:rsid w:val="008D2E8B"/>
    <w:rsid w:val="008D315A"/>
    <w:rsid w:val="008D3776"/>
    <w:rsid w:val="008D3AFA"/>
    <w:rsid w:val="008D46C1"/>
    <w:rsid w:val="008D4962"/>
    <w:rsid w:val="008D4C56"/>
    <w:rsid w:val="008D547C"/>
    <w:rsid w:val="008D5F0A"/>
    <w:rsid w:val="008D5FBD"/>
    <w:rsid w:val="008D6C5D"/>
    <w:rsid w:val="008D78E7"/>
    <w:rsid w:val="008D7EF1"/>
    <w:rsid w:val="008E0012"/>
    <w:rsid w:val="008E0234"/>
    <w:rsid w:val="008E08A0"/>
    <w:rsid w:val="008E0A4C"/>
    <w:rsid w:val="008E0D0D"/>
    <w:rsid w:val="008E1202"/>
    <w:rsid w:val="008E12C5"/>
    <w:rsid w:val="008E1CFD"/>
    <w:rsid w:val="008E1ECE"/>
    <w:rsid w:val="008E3669"/>
    <w:rsid w:val="008E60C1"/>
    <w:rsid w:val="008E66A6"/>
    <w:rsid w:val="008E7F44"/>
    <w:rsid w:val="008F0668"/>
    <w:rsid w:val="008F086B"/>
    <w:rsid w:val="008F16D7"/>
    <w:rsid w:val="008F200A"/>
    <w:rsid w:val="008F31C7"/>
    <w:rsid w:val="008F3989"/>
    <w:rsid w:val="008F3CD4"/>
    <w:rsid w:val="008F3F09"/>
    <w:rsid w:val="008F44DC"/>
    <w:rsid w:val="008F4606"/>
    <w:rsid w:val="008F4A7B"/>
    <w:rsid w:val="008F4C19"/>
    <w:rsid w:val="008F5048"/>
    <w:rsid w:val="008F5FE1"/>
    <w:rsid w:val="008F6882"/>
    <w:rsid w:val="008F6A62"/>
    <w:rsid w:val="008F7561"/>
    <w:rsid w:val="008F7648"/>
    <w:rsid w:val="008F777A"/>
    <w:rsid w:val="008F7943"/>
    <w:rsid w:val="008F7CDC"/>
    <w:rsid w:val="00900A3D"/>
    <w:rsid w:val="0090109B"/>
    <w:rsid w:val="00901C56"/>
    <w:rsid w:val="009024D3"/>
    <w:rsid w:val="00902557"/>
    <w:rsid w:val="00902873"/>
    <w:rsid w:val="009034D3"/>
    <w:rsid w:val="009037FA"/>
    <w:rsid w:val="00904963"/>
    <w:rsid w:val="0090518C"/>
    <w:rsid w:val="009078AF"/>
    <w:rsid w:val="0091121D"/>
    <w:rsid w:val="00911304"/>
    <w:rsid w:val="0091190C"/>
    <w:rsid w:val="00912A13"/>
    <w:rsid w:val="00912D64"/>
    <w:rsid w:val="00915756"/>
    <w:rsid w:val="00916C8F"/>
    <w:rsid w:val="00917CA0"/>
    <w:rsid w:val="00917FA6"/>
    <w:rsid w:val="0092071F"/>
    <w:rsid w:val="00920EAA"/>
    <w:rsid w:val="00921042"/>
    <w:rsid w:val="00921454"/>
    <w:rsid w:val="00921B09"/>
    <w:rsid w:val="00922CEB"/>
    <w:rsid w:val="00923492"/>
    <w:rsid w:val="00923D67"/>
    <w:rsid w:val="009248AD"/>
    <w:rsid w:val="0092508B"/>
    <w:rsid w:val="009271CF"/>
    <w:rsid w:val="00932237"/>
    <w:rsid w:val="00932A7E"/>
    <w:rsid w:val="009331F0"/>
    <w:rsid w:val="00933460"/>
    <w:rsid w:val="009338E6"/>
    <w:rsid w:val="00933CBD"/>
    <w:rsid w:val="009341B3"/>
    <w:rsid w:val="00934482"/>
    <w:rsid w:val="00934F7D"/>
    <w:rsid w:val="00935C9B"/>
    <w:rsid w:val="0093638D"/>
    <w:rsid w:val="00936FEA"/>
    <w:rsid w:val="009372A1"/>
    <w:rsid w:val="0094025E"/>
    <w:rsid w:val="00940912"/>
    <w:rsid w:val="00940B3B"/>
    <w:rsid w:val="00940C61"/>
    <w:rsid w:val="00941418"/>
    <w:rsid w:val="00942103"/>
    <w:rsid w:val="00943442"/>
    <w:rsid w:val="00943C62"/>
    <w:rsid w:val="00943F83"/>
    <w:rsid w:val="009440D2"/>
    <w:rsid w:val="00944CED"/>
    <w:rsid w:val="00944ECA"/>
    <w:rsid w:val="00945FD6"/>
    <w:rsid w:val="00946752"/>
    <w:rsid w:val="00946C96"/>
    <w:rsid w:val="0094707D"/>
    <w:rsid w:val="00947A21"/>
    <w:rsid w:val="00950C45"/>
    <w:rsid w:val="0095173E"/>
    <w:rsid w:val="00951AAA"/>
    <w:rsid w:val="00951E61"/>
    <w:rsid w:val="009520BE"/>
    <w:rsid w:val="0095289D"/>
    <w:rsid w:val="0095323A"/>
    <w:rsid w:val="009539C0"/>
    <w:rsid w:val="0095415A"/>
    <w:rsid w:val="0095476F"/>
    <w:rsid w:val="009549A0"/>
    <w:rsid w:val="00954D68"/>
    <w:rsid w:val="00955A6A"/>
    <w:rsid w:val="009571C3"/>
    <w:rsid w:val="00957B33"/>
    <w:rsid w:val="00957D27"/>
    <w:rsid w:val="00957E83"/>
    <w:rsid w:val="00960337"/>
    <w:rsid w:val="009604A7"/>
    <w:rsid w:val="009609E0"/>
    <w:rsid w:val="00960E86"/>
    <w:rsid w:val="00960FA9"/>
    <w:rsid w:val="00961650"/>
    <w:rsid w:val="00961661"/>
    <w:rsid w:val="009621FC"/>
    <w:rsid w:val="009622CE"/>
    <w:rsid w:val="00962D75"/>
    <w:rsid w:val="00963099"/>
    <w:rsid w:val="009638E3"/>
    <w:rsid w:val="00963AF1"/>
    <w:rsid w:val="00963B18"/>
    <w:rsid w:val="00963CE1"/>
    <w:rsid w:val="0096425C"/>
    <w:rsid w:val="0096425D"/>
    <w:rsid w:val="009643B0"/>
    <w:rsid w:val="00966062"/>
    <w:rsid w:val="00966A82"/>
    <w:rsid w:val="0096758F"/>
    <w:rsid w:val="009675BF"/>
    <w:rsid w:val="009675D9"/>
    <w:rsid w:val="00967896"/>
    <w:rsid w:val="00967EBB"/>
    <w:rsid w:val="00970154"/>
    <w:rsid w:val="00971C76"/>
    <w:rsid w:val="00971C8A"/>
    <w:rsid w:val="00972B65"/>
    <w:rsid w:val="00972C15"/>
    <w:rsid w:val="00973728"/>
    <w:rsid w:val="009738AA"/>
    <w:rsid w:val="00974F5D"/>
    <w:rsid w:val="00975ABC"/>
    <w:rsid w:val="00976B50"/>
    <w:rsid w:val="00977544"/>
    <w:rsid w:val="00977771"/>
    <w:rsid w:val="0098012E"/>
    <w:rsid w:val="0098107C"/>
    <w:rsid w:val="00981223"/>
    <w:rsid w:val="009814F7"/>
    <w:rsid w:val="00981BCA"/>
    <w:rsid w:val="00981C49"/>
    <w:rsid w:val="00981F0A"/>
    <w:rsid w:val="009824D6"/>
    <w:rsid w:val="00982580"/>
    <w:rsid w:val="00982FD6"/>
    <w:rsid w:val="009830FB"/>
    <w:rsid w:val="00983916"/>
    <w:rsid w:val="009841BB"/>
    <w:rsid w:val="0098447E"/>
    <w:rsid w:val="00984814"/>
    <w:rsid w:val="00984A10"/>
    <w:rsid w:val="00986003"/>
    <w:rsid w:val="00986046"/>
    <w:rsid w:val="00987293"/>
    <w:rsid w:val="009901A1"/>
    <w:rsid w:val="009908B9"/>
    <w:rsid w:val="00991ACA"/>
    <w:rsid w:val="00991AF4"/>
    <w:rsid w:val="00992131"/>
    <w:rsid w:val="009921DA"/>
    <w:rsid w:val="00993035"/>
    <w:rsid w:val="00996D29"/>
    <w:rsid w:val="009971E5"/>
    <w:rsid w:val="009975C1"/>
    <w:rsid w:val="009975F7"/>
    <w:rsid w:val="009976B6"/>
    <w:rsid w:val="009A203B"/>
    <w:rsid w:val="009A2C1C"/>
    <w:rsid w:val="009A31B5"/>
    <w:rsid w:val="009A4C25"/>
    <w:rsid w:val="009A4F24"/>
    <w:rsid w:val="009A5594"/>
    <w:rsid w:val="009A5BFA"/>
    <w:rsid w:val="009A663F"/>
    <w:rsid w:val="009A6810"/>
    <w:rsid w:val="009A779F"/>
    <w:rsid w:val="009A7BDA"/>
    <w:rsid w:val="009B095D"/>
    <w:rsid w:val="009B0E33"/>
    <w:rsid w:val="009B0FFC"/>
    <w:rsid w:val="009B13C9"/>
    <w:rsid w:val="009B25A7"/>
    <w:rsid w:val="009B285F"/>
    <w:rsid w:val="009B2FCD"/>
    <w:rsid w:val="009B3294"/>
    <w:rsid w:val="009B32B8"/>
    <w:rsid w:val="009B3685"/>
    <w:rsid w:val="009B376C"/>
    <w:rsid w:val="009B3851"/>
    <w:rsid w:val="009B3984"/>
    <w:rsid w:val="009B4551"/>
    <w:rsid w:val="009B4814"/>
    <w:rsid w:val="009B4DDF"/>
    <w:rsid w:val="009B538E"/>
    <w:rsid w:val="009B585A"/>
    <w:rsid w:val="009B5969"/>
    <w:rsid w:val="009B613F"/>
    <w:rsid w:val="009B6DA8"/>
    <w:rsid w:val="009B6EB9"/>
    <w:rsid w:val="009B7113"/>
    <w:rsid w:val="009B746B"/>
    <w:rsid w:val="009B7D26"/>
    <w:rsid w:val="009C0117"/>
    <w:rsid w:val="009C0554"/>
    <w:rsid w:val="009C1192"/>
    <w:rsid w:val="009C1974"/>
    <w:rsid w:val="009C1F89"/>
    <w:rsid w:val="009C2333"/>
    <w:rsid w:val="009C2F69"/>
    <w:rsid w:val="009C3031"/>
    <w:rsid w:val="009C357E"/>
    <w:rsid w:val="009C3812"/>
    <w:rsid w:val="009C40E5"/>
    <w:rsid w:val="009C43F9"/>
    <w:rsid w:val="009C45FC"/>
    <w:rsid w:val="009C4630"/>
    <w:rsid w:val="009C4AB8"/>
    <w:rsid w:val="009C5682"/>
    <w:rsid w:val="009C5723"/>
    <w:rsid w:val="009C5C1F"/>
    <w:rsid w:val="009C5C2E"/>
    <w:rsid w:val="009C5DEF"/>
    <w:rsid w:val="009C5FA3"/>
    <w:rsid w:val="009C6C9A"/>
    <w:rsid w:val="009C6D69"/>
    <w:rsid w:val="009C7374"/>
    <w:rsid w:val="009D000C"/>
    <w:rsid w:val="009D0192"/>
    <w:rsid w:val="009D034D"/>
    <w:rsid w:val="009D1206"/>
    <w:rsid w:val="009D1507"/>
    <w:rsid w:val="009D1F4A"/>
    <w:rsid w:val="009D2181"/>
    <w:rsid w:val="009D2433"/>
    <w:rsid w:val="009D2536"/>
    <w:rsid w:val="009D35E4"/>
    <w:rsid w:val="009D417D"/>
    <w:rsid w:val="009D5883"/>
    <w:rsid w:val="009D5E5D"/>
    <w:rsid w:val="009D620C"/>
    <w:rsid w:val="009D6C27"/>
    <w:rsid w:val="009E0CD4"/>
    <w:rsid w:val="009E0E1E"/>
    <w:rsid w:val="009E1212"/>
    <w:rsid w:val="009E139B"/>
    <w:rsid w:val="009E15F8"/>
    <w:rsid w:val="009E1913"/>
    <w:rsid w:val="009E1966"/>
    <w:rsid w:val="009E1B69"/>
    <w:rsid w:val="009E27D5"/>
    <w:rsid w:val="009E2E47"/>
    <w:rsid w:val="009E3B26"/>
    <w:rsid w:val="009E4359"/>
    <w:rsid w:val="009E457C"/>
    <w:rsid w:val="009E48C6"/>
    <w:rsid w:val="009E5571"/>
    <w:rsid w:val="009E7DF8"/>
    <w:rsid w:val="009F0169"/>
    <w:rsid w:val="009F051C"/>
    <w:rsid w:val="009F0B3B"/>
    <w:rsid w:val="009F0F0D"/>
    <w:rsid w:val="009F1332"/>
    <w:rsid w:val="009F1408"/>
    <w:rsid w:val="009F2DFD"/>
    <w:rsid w:val="009F2FE8"/>
    <w:rsid w:val="009F44D1"/>
    <w:rsid w:val="009F4530"/>
    <w:rsid w:val="009F583C"/>
    <w:rsid w:val="009F6CB8"/>
    <w:rsid w:val="009F6D15"/>
    <w:rsid w:val="009F6EF0"/>
    <w:rsid w:val="009F7DAC"/>
    <w:rsid w:val="00A01883"/>
    <w:rsid w:val="00A02005"/>
    <w:rsid w:val="00A02361"/>
    <w:rsid w:val="00A02F52"/>
    <w:rsid w:val="00A02FDE"/>
    <w:rsid w:val="00A0312C"/>
    <w:rsid w:val="00A035D6"/>
    <w:rsid w:val="00A0390F"/>
    <w:rsid w:val="00A03E26"/>
    <w:rsid w:val="00A03E93"/>
    <w:rsid w:val="00A04C60"/>
    <w:rsid w:val="00A05074"/>
    <w:rsid w:val="00A052DF"/>
    <w:rsid w:val="00A05C12"/>
    <w:rsid w:val="00A060F6"/>
    <w:rsid w:val="00A06F6C"/>
    <w:rsid w:val="00A0784E"/>
    <w:rsid w:val="00A10215"/>
    <w:rsid w:val="00A10D72"/>
    <w:rsid w:val="00A11054"/>
    <w:rsid w:val="00A11918"/>
    <w:rsid w:val="00A12A83"/>
    <w:rsid w:val="00A137DA"/>
    <w:rsid w:val="00A13839"/>
    <w:rsid w:val="00A13B3E"/>
    <w:rsid w:val="00A13CE8"/>
    <w:rsid w:val="00A14726"/>
    <w:rsid w:val="00A15664"/>
    <w:rsid w:val="00A16605"/>
    <w:rsid w:val="00A1681A"/>
    <w:rsid w:val="00A1719B"/>
    <w:rsid w:val="00A20B97"/>
    <w:rsid w:val="00A20D1A"/>
    <w:rsid w:val="00A2141F"/>
    <w:rsid w:val="00A21869"/>
    <w:rsid w:val="00A21912"/>
    <w:rsid w:val="00A21AC6"/>
    <w:rsid w:val="00A21FBC"/>
    <w:rsid w:val="00A222FF"/>
    <w:rsid w:val="00A2253E"/>
    <w:rsid w:val="00A23F0B"/>
    <w:rsid w:val="00A2456A"/>
    <w:rsid w:val="00A249AC"/>
    <w:rsid w:val="00A25E9D"/>
    <w:rsid w:val="00A25F7F"/>
    <w:rsid w:val="00A26D0A"/>
    <w:rsid w:val="00A26F50"/>
    <w:rsid w:val="00A2704D"/>
    <w:rsid w:val="00A27A20"/>
    <w:rsid w:val="00A301C4"/>
    <w:rsid w:val="00A310AA"/>
    <w:rsid w:val="00A315D9"/>
    <w:rsid w:val="00A31D0B"/>
    <w:rsid w:val="00A31F18"/>
    <w:rsid w:val="00A32315"/>
    <w:rsid w:val="00A32EDA"/>
    <w:rsid w:val="00A33F72"/>
    <w:rsid w:val="00A35B7D"/>
    <w:rsid w:val="00A35D99"/>
    <w:rsid w:val="00A36260"/>
    <w:rsid w:val="00A3692B"/>
    <w:rsid w:val="00A36F3B"/>
    <w:rsid w:val="00A37C6B"/>
    <w:rsid w:val="00A403B9"/>
    <w:rsid w:val="00A409E4"/>
    <w:rsid w:val="00A40B3C"/>
    <w:rsid w:val="00A40FC9"/>
    <w:rsid w:val="00A4127F"/>
    <w:rsid w:val="00A4259A"/>
    <w:rsid w:val="00A427EA"/>
    <w:rsid w:val="00A44496"/>
    <w:rsid w:val="00A444D6"/>
    <w:rsid w:val="00A44C63"/>
    <w:rsid w:val="00A44EFC"/>
    <w:rsid w:val="00A453C5"/>
    <w:rsid w:val="00A45E45"/>
    <w:rsid w:val="00A464D3"/>
    <w:rsid w:val="00A472D7"/>
    <w:rsid w:val="00A475A0"/>
    <w:rsid w:val="00A47C87"/>
    <w:rsid w:val="00A505C7"/>
    <w:rsid w:val="00A505ED"/>
    <w:rsid w:val="00A52F1A"/>
    <w:rsid w:val="00A53336"/>
    <w:rsid w:val="00A53449"/>
    <w:rsid w:val="00A550A9"/>
    <w:rsid w:val="00A55AFD"/>
    <w:rsid w:val="00A55E51"/>
    <w:rsid w:val="00A56685"/>
    <w:rsid w:val="00A56FBE"/>
    <w:rsid w:val="00A57052"/>
    <w:rsid w:val="00A571A6"/>
    <w:rsid w:val="00A611B6"/>
    <w:rsid w:val="00A61465"/>
    <w:rsid w:val="00A621AD"/>
    <w:rsid w:val="00A62A97"/>
    <w:rsid w:val="00A641BF"/>
    <w:rsid w:val="00A64BA0"/>
    <w:rsid w:val="00A65439"/>
    <w:rsid w:val="00A654CC"/>
    <w:rsid w:val="00A655DD"/>
    <w:rsid w:val="00A65D05"/>
    <w:rsid w:val="00A6647E"/>
    <w:rsid w:val="00A66496"/>
    <w:rsid w:val="00A679F1"/>
    <w:rsid w:val="00A67D04"/>
    <w:rsid w:val="00A67FD2"/>
    <w:rsid w:val="00A700C1"/>
    <w:rsid w:val="00A70665"/>
    <w:rsid w:val="00A70983"/>
    <w:rsid w:val="00A71738"/>
    <w:rsid w:val="00A722FB"/>
    <w:rsid w:val="00A72DBE"/>
    <w:rsid w:val="00A72E43"/>
    <w:rsid w:val="00A73287"/>
    <w:rsid w:val="00A74413"/>
    <w:rsid w:val="00A74A60"/>
    <w:rsid w:val="00A74EE9"/>
    <w:rsid w:val="00A76D36"/>
    <w:rsid w:val="00A77491"/>
    <w:rsid w:val="00A77BFF"/>
    <w:rsid w:val="00A77C34"/>
    <w:rsid w:val="00A77ED4"/>
    <w:rsid w:val="00A77F2A"/>
    <w:rsid w:val="00A81C41"/>
    <w:rsid w:val="00A82136"/>
    <w:rsid w:val="00A82E2A"/>
    <w:rsid w:val="00A83A1A"/>
    <w:rsid w:val="00A84B5E"/>
    <w:rsid w:val="00A84CDA"/>
    <w:rsid w:val="00A84D94"/>
    <w:rsid w:val="00A8601E"/>
    <w:rsid w:val="00A870AA"/>
    <w:rsid w:val="00A87F78"/>
    <w:rsid w:val="00A9045A"/>
    <w:rsid w:val="00A90625"/>
    <w:rsid w:val="00A908BF"/>
    <w:rsid w:val="00A90AAE"/>
    <w:rsid w:val="00A92085"/>
    <w:rsid w:val="00A928BB"/>
    <w:rsid w:val="00A92A2A"/>
    <w:rsid w:val="00A92A88"/>
    <w:rsid w:val="00A936C4"/>
    <w:rsid w:val="00A93A88"/>
    <w:rsid w:val="00A93D71"/>
    <w:rsid w:val="00A93F3D"/>
    <w:rsid w:val="00A942DB"/>
    <w:rsid w:val="00A94B96"/>
    <w:rsid w:val="00A9511E"/>
    <w:rsid w:val="00A95223"/>
    <w:rsid w:val="00A95335"/>
    <w:rsid w:val="00A95C19"/>
    <w:rsid w:val="00A964EC"/>
    <w:rsid w:val="00A965FB"/>
    <w:rsid w:val="00A96810"/>
    <w:rsid w:val="00A97053"/>
    <w:rsid w:val="00A97F98"/>
    <w:rsid w:val="00AA00C1"/>
    <w:rsid w:val="00AA0B15"/>
    <w:rsid w:val="00AA142E"/>
    <w:rsid w:val="00AA225E"/>
    <w:rsid w:val="00AA2954"/>
    <w:rsid w:val="00AA2ED1"/>
    <w:rsid w:val="00AA4184"/>
    <w:rsid w:val="00AA4194"/>
    <w:rsid w:val="00AA4765"/>
    <w:rsid w:val="00AA563A"/>
    <w:rsid w:val="00AA5A1A"/>
    <w:rsid w:val="00AA6221"/>
    <w:rsid w:val="00AA68B2"/>
    <w:rsid w:val="00AA69F9"/>
    <w:rsid w:val="00AA6AC3"/>
    <w:rsid w:val="00AA6BF3"/>
    <w:rsid w:val="00AA78F9"/>
    <w:rsid w:val="00AA794F"/>
    <w:rsid w:val="00AA7DA0"/>
    <w:rsid w:val="00AB1B69"/>
    <w:rsid w:val="00AB1F96"/>
    <w:rsid w:val="00AB1FCA"/>
    <w:rsid w:val="00AB2269"/>
    <w:rsid w:val="00AB276F"/>
    <w:rsid w:val="00AB2EDC"/>
    <w:rsid w:val="00AB2EFF"/>
    <w:rsid w:val="00AB30BB"/>
    <w:rsid w:val="00AB317A"/>
    <w:rsid w:val="00AB32E8"/>
    <w:rsid w:val="00AB494A"/>
    <w:rsid w:val="00AB5D5A"/>
    <w:rsid w:val="00AB6609"/>
    <w:rsid w:val="00AB6BE0"/>
    <w:rsid w:val="00AB6D26"/>
    <w:rsid w:val="00AB6E46"/>
    <w:rsid w:val="00AB7312"/>
    <w:rsid w:val="00AB7318"/>
    <w:rsid w:val="00AB7669"/>
    <w:rsid w:val="00AC00F7"/>
    <w:rsid w:val="00AC0186"/>
    <w:rsid w:val="00AC057B"/>
    <w:rsid w:val="00AC0BF2"/>
    <w:rsid w:val="00AC1698"/>
    <w:rsid w:val="00AC1895"/>
    <w:rsid w:val="00AC24CB"/>
    <w:rsid w:val="00AC252E"/>
    <w:rsid w:val="00AC3207"/>
    <w:rsid w:val="00AC33F9"/>
    <w:rsid w:val="00AC46BE"/>
    <w:rsid w:val="00AC474E"/>
    <w:rsid w:val="00AC5A99"/>
    <w:rsid w:val="00AC73F1"/>
    <w:rsid w:val="00AD0125"/>
    <w:rsid w:val="00AD0FC9"/>
    <w:rsid w:val="00AD16D7"/>
    <w:rsid w:val="00AD1F2C"/>
    <w:rsid w:val="00AD2D63"/>
    <w:rsid w:val="00AD2F55"/>
    <w:rsid w:val="00AD30E4"/>
    <w:rsid w:val="00AD3266"/>
    <w:rsid w:val="00AD3B67"/>
    <w:rsid w:val="00AD4D2C"/>
    <w:rsid w:val="00AD5192"/>
    <w:rsid w:val="00AD52EA"/>
    <w:rsid w:val="00AD55A8"/>
    <w:rsid w:val="00AD55D9"/>
    <w:rsid w:val="00AD602B"/>
    <w:rsid w:val="00AD67D1"/>
    <w:rsid w:val="00AD6A87"/>
    <w:rsid w:val="00AD6C19"/>
    <w:rsid w:val="00AD77AA"/>
    <w:rsid w:val="00AE0461"/>
    <w:rsid w:val="00AE0A53"/>
    <w:rsid w:val="00AE1B9B"/>
    <w:rsid w:val="00AE20FD"/>
    <w:rsid w:val="00AE2C62"/>
    <w:rsid w:val="00AE3350"/>
    <w:rsid w:val="00AE3A1D"/>
    <w:rsid w:val="00AE4000"/>
    <w:rsid w:val="00AE4C1E"/>
    <w:rsid w:val="00AE5012"/>
    <w:rsid w:val="00AE5983"/>
    <w:rsid w:val="00AE5A82"/>
    <w:rsid w:val="00AE7191"/>
    <w:rsid w:val="00AE79E7"/>
    <w:rsid w:val="00AE7B4A"/>
    <w:rsid w:val="00AF022E"/>
    <w:rsid w:val="00AF06B6"/>
    <w:rsid w:val="00AF06CA"/>
    <w:rsid w:val="00AF0BE7"/>
    <w:rsid w:val="00AF1E1E"/>
    <w:rsid w:val="00AF1F14"/>
    <w:rsid w:val="00AF2197"/>
    <w:rsid w:val="00AF2AC4"/>
    <w:rsid w:val="00AF32A7"/>
    <w:rsid w:val="00AF3E1C"/>
    <w:rsid w:val="00AF4A46"/>
    <w:rsid w:val="00AF4C46"/>
    <w:rsid w:val="00AF4E00"/>
    <w:rsid w:val="00AF5053"/>
    <w:rsid w:val="00AF514C"/>
    <w:rsid w:val="00AF679D"/>
    <w:rsid w:val="00AF720B"/>
    <w:rsid w:val="00AF796B"/>
    <w:rsid w:val="00B003DA"/>
    <w:rsid w:val="00B00C05"/>
    <w:rsid w:val="00B0179B"/>
    <w:rsid w:val="00B01EC3"/>
    <w:rsid w:val="00B02A31"/>
    <w:rsid w:val="00B02B2B"/>
    <w:rsid w:val="00B0334C"/>
    <w:rsid w:val="00B04718"/>
    <w:rsid w:val="00B0495D"/>
    <w:rsid w:val="00B04E4B"/>
    <w:rsid w:val="00B05325"/>
    <w:rsid w:val="00B066C7"/>
    <w:rsid w:val="00B06807"/>
    <w:rsid w:val="00B070B4"/>
    <w:rsid w:val="00B072F7"/>
    <w:rsid w:val="00B103B2"/>
    <w:rsid w:val="00B11411"/>
    <w:rsid w:val="00B12449"/>
    <w:rsid w:val="00B1245E"/>
    <w:rsid w:val="00B126C7"/>
    <w:rsid w:val="00B12C2B"/>
    <w:rsid w:val="00B12D6A"/>
    <w:rsid w:val="00B14102"/>
    <w:rsid w:val="00B14E2A"/>
    <w:rsid w:val="00B15E81"/>
    <w:rsid w:val="00B1601F"/>
    <w:rsid w:val="00B17B0B"/>
    <w:rsid w:val="00B20455"/>
    <w:rsid w:val="00B20974"/>
    <w:rsid w:val="00B2115A"/>
    <w:rsid w:val="00B21397"/>
    <w:rsid w:val="00B217A7"/>
    <w:rsid w:val="00B22013"/>
    <w:rsid w:val="00B22CB1"/>
    <w:rsid w:val="00B237BD"/>
    <w:rsid w:val="00B23873"/>
    <w:rsid w:val="00B238B9"/>
    <w:rsid w:val="00B23DE2"/>
    <w:rsid w:val="00B24118"/>
    <w:rsid w:val="00B24B3E"/>
    <w:rsid w:val="00B2509D"/>
    <w:rsid w:val="00B25151"/>
    <w:rsid w:val="00B2545C"/>
    <w:rsid w:val="00B2555A"/>
    <w:rsid w:val="00B25FBB"/>
    <w:rsid w:val="00B26CE7"/>
    <w:rsid w:val="00B301F4"/>
    <w:rsid w:val="00B30436"/>
    <w:rsid w:val="00B30775"/>
    <w:rsid w:val="00B308D8"/>
    <w:rsid w:val="00B31291"/>
    <w:rsid w:val="00B32114"/>
    <w:rsid w:val="00B32246"/>
    <w:rsid w:val="00B33726"/>
    <w:rsid w:val="00B33978"/>
    <w:rsid w:val="00B339BE"/>
    <w:rsid w:val="00B33C41"/>
    <w:rsid w:val="00B3409B"/>
    <w:rsid w:val="00B34206"/>
    <w:rsid w:val="00B34A6E"/>
    <w:rsid w:val="00B34CAA"/>
    <w:rsid w:val="00B34DA9"/>
    <w:rsid w:val="00B34ECA"/>
    <w:rsid w:val="00B35EE0"/>
    <w:rsid w:val="00B36001"/>
    <w:rsid w:val="00B404C4"/>
    <w:rsid w:val="00B40BA5"/>
    <w:rsid w:val="00B41D7C"/>
    <w:rsid w:val="00B41DE4"/>
    <w:rsid w:val="00B42019"/>
    <w:rsid w:val="00B42409"/>
    <w:rsid w:val="00B4289B"/>
    <w:rsid w:val="00B43003"/>
    <w:rsid w:val="00B43B0C"/>
    <w:rsid w:val="00B43BA8"/>
    <w:rsid w:val="00B43BD1"/>
    <w:rsid w:val="00B43C3C"/>
    <w:rsid w:val="00B43CAC"/>
    <w:rsid w:val="00B440F3"/>
    <w:rsid w:val="00B4411F"/>
    <w:rsid w:val="00B44413"/>
    <w:rsid w:val="00B451D3"/>
    <w:rsid w:val="00B458D5"/>
    <w:rsid w:val="00B466BD"/>
    <w:rsid w:val="00B4670B"/>
    <w:rsid w:val="00B46E17"/>
    <w:rsid w:val="00B4739C"/>
    <w:rsid w:val="00B4750C"/>
    <w:rsid w:val="00B51B6F"/>
    <w:rsid w:val="00B51EC4"/>
    <w:rsid w:val="00B52EAA"/>
    <w:rsid w:val="00B530F9"/>
    <w:rsid w:val="00B53DFD"/>
    <w:rsid w:val="00B55DCA"/>
    <w:rsid w:val="00B5615C"/>
    <w:rsid w:val="00B56D3A"/>
    <w:rsid w:val="00B56D9E"/>
    <w:rsid w:val="00B57AC9"/>
    <w:rsid w:val="00B57D3E"/>
    <w:rsid w:val="00B6079D"/>
    <w:rsid w:val="00B614F5"/>
    <w:rsid w:val="00B6177E"/>
    <w:rsid w:val="00B629D6"/>
    <w:rsid w:val="00B62C6A"/>
    <w:rsid w:val="00B63294"/>
    <w:rsid w:val="00B64128"/>
    <w:rsid w:val="00B65816"/>
    <w:rsid w:val="00B65848"/>
    <w:rsid w:val="00B6599D"/>
    <w:rsid w:val="00B6640D"/>
    <w:rsid w:val="00B664E0"/>
    <w:rsid w:val="00B67223"/>
    <w:rsid w:val="00B673D7"/>
    <w:rsid w:val="00B674C5"/>
    <w:rsid w:val="00B67946"/>
    <w:rsid w:val="00B679C9"/>
    <w:rsid w:val="00B67A09"/>
    <w:rsid w:val="00B70775"/>
    <w:rsid w:val="00B70870"/>
    <w:rsid w:val="00B70A74"/>
    <w:rsid w:val="00B71741"/>
    <w:rsid w:val="00B721AF"/>
    <w:rsid w:val="00B7288D"/>
    <w:rsid w:val="00B72A1A"/>
    <w:rsid w:val="00B7331B"/>
    <w:rsid w:val="00B73686"/>
    <w:rsid w:val="00B74C18"/>
    <w:rsid w:val="00B74EE2"/>
    <w:rsid w:val="00B759DD"/>
    <w:rsid w:val="00B75F91"/>
    <w:rsid w:val="00B76158"/>
    <w:rsid w:val="00B76703"/>
    <w:rsid w:val="00B77330"/>
    <w:rsid w:val="00B77743"/>
    <w:rsid w:val="00B804B8"/>
    <w:rsid w:val="00B80FCD"/>
    <w:rsid w:val="00B815E9"/>
    <w:rsid w:val="00B8226D"/>
    <w:rsid w:val="00B834A2"/>
    <w:rsid w:val="00B83B6A"/>
    <w:rsid w:val="00B83E5B"/>
    <w:rsid w:val="00B83E78"/>
    <w:rsid w:val="00B84389"/>
    <w:rsid w:val="00B84FD4"/>
    <w:rsid w:val="00B859C6"/>
    <w:rsid w:val="00B85CDB"/>
    <w:rsid w:val="00B86F34"/>
    <w:rsid w:val="00B871C0"/>
    <w:rsid w:val="00B8724F"/>
    <w:rsid w:val="00B87886"/>
    <w:rsid w:val="00B9002B"/>
    <w:rsid w:val="00B90556"/>
    <w:rsid w:val="00B91F17"/>
    <w:rsid w:val="00B9258C"/>
    <w:rsid w:val="00B92C63"/>
    <w:rsid w:val="00B935CD"/>
    <w:rsid w:val="00B9360E"/>
    <w:rsid w:val="00B93BFC"/>
    <w:rsid w:val="00B93CD4"/>
    <w:rsid w:val="00B943CC"/>
    <w:rsid w:val="00B9554C"/>
    <w:rsid w:val="00B95F65"/>
    <w:rsid w:val="00B96D61"/>
    <w:rsid w:val="00B9781C"/>
    <w:rsid w:val="00BA0142"/>
    <w:rsid w:val="00BA0D5B"/>
    <w:rsid w:val="00BA0DEC"/>
    <w:rsid w:val="00BA1569"/>
    <w:rsid w:val="00BA235E"/>
    <w:rsid w:val="00BA2644"/>
    <w:rsid w:val="00BA2CB4"/>
    <w:rsid w:val="00BA2F95"/>
    <w:rsid w:val="00BA3CBF"/>
    <w:rsid w:val="00BA450D"/>
    <w:rsid w:val="00BA48AB"/>
    <w:rsid w:val="00BA495B"/>
    <w:rsid w:val="00BA5A14"/>
    <w:rsid w:val="00BA5D6E"/>
    <w:rsid w:val="00BA619E"/>
    <w:rsid w:val="00BA673D"/>
    <w:rsid w:val="00BA6E15"/>
    <w:rsid w:val="00BA6E99"/>
    <w:rsid w:val="00BA7067"/>
    <w:rsid w:val="00BA7932"/>
    <w:rsid w:val="00BB0105"/>
    <w:rsid w:val="00BB01B8"/>
    <w:rsid w:val="00BB087E"/>
    <w:rsid w:val="00BB094F"/>
    <w:rsid w:val="00BB2307"/>
    <w:rsid w:val="00BB2607"/>
    <w:rsid w:val="00BB3C16"/>
    <w:rsid w:val="00BB43D2"/>
    <w:rsid w:val="00BB4608"/>
    <w:rsid w:val="00BB583D"/>
    <w:rsid w:val="00BB5BEF"/>
    <w:rsid w:val="00BB5FA6"/>
    <w:rsid w:val="00BB61A2"/>
    <w:rsid w:val="00BB6A49"/>
    <w:rsid w:val="00BB6C7D"/>
    <w:rsid w:val="00BB6E3B"/>
    <w:rsid w:val="00BB7BB6"/>
    <w:rsid w:val="00BB7F8A"/>
    <w:rsid w:val="00BC0193"/>
    <w:rsid w:val="00BC080C"/>
    <w:rsid w:val="00BC0A02"/>
    <w:rsid w:val="00BC0A30"/>
    <w:rsid w:val="00BC0AA6"/>
    <w:rsid w:val="00BC0EF0"/>
    <w:rsid w:val="00BC0FFB"/>
    <w:rsid w:val="00BC22B9"/>
    <w:rsid w:val="00BC255C"/>
    <w:rsid w:val="00BC2BBD"/>
    <w:rsid w:val="00BC2D86"/>
    <w:rsid w:val="00BC367B"/>
    <w:rsid w:val="00BC4E55"/>
    <w:rsid w:val="00BC63DF"/>
    <w:rsid w:val="00BC698B"/>
    <w:rsid w:val="00BC6DBD"/>
    <w:rsid w:val="00BC77C3"/>
    <w:rsid w:val="00BC7EE6"/>
    <w:rsid w:val="00BD0569"/>
    <w:rsid w:val="00BD0809"/>
    <w:rsid w:val="00BD0880"/>
    <w:rsid w:val="00BD0981"/>
    <w:rsid w:val="00BD0B01"/>
    <w:rsid w:val="00BD0E89"/>
    <w:rsid w:val="00BD121C"/>
    <w:rsid w:val="00BD17C2"/>
    <w:rsid w:val="00BD1FF2"/>
    <w:rsid w:val="00BD2F14"/>
    <w:rsid w:val="00BD396E"/>
    <w:rsid w:val="00BD49D6"/>
    <w:rsid w:val="00BD4E91"/>
    <w:rsid w:val="00BD4FAB"/>
    <w:rsid w:val="00BD5599"/>
    <w:rsid w:val="00BD5804"/>
    <w:rsid w:val="00BD5EDE"/>
    <w:rsid w:val="00BD724C"/>
    <w:rsid w:val="00BD77EC"/>
    <w:rsid w:val="00BE0439"/>
    <w:rsid w:val="00BE1129"/>
    <w:rsid w:val="00BE13AE"/>
    <w:rsid w:val="00BE1400"/>
    <w:rsid w:val="00BE1709"/>
    <w:rsid w:val="00BE17D9"/>
    <w:rsid w:val="00BE1F31"/>
    <w:rsid w:val="00BE2214"/>
    <w:rsid w:val="00BE32F8"/>
    <w:rsid w:val="00BE358E"/>
    <w:rsid w:val="00BE3931"/>
    <w:rsid w:val="00BE4619"/>
    <w:rsid w:val="00BE4A48"/>
    <w:rsid w:val="00BE6061"/>
    <w:rsid w:val="00BE61A9"/>
    <w:rsid w:val="00BE71B9"/>
    <w:rsid w:val="00BE7CE2"/>
    <w:rsid w:val="00BE7F4E"/>
    <w:rsid w:val="00BF027A"/>
    <w:rsid w:val="00BF0505"/>
    <w:rsid w:val="00BF0C29"/>
    <w:rsid w:val="00BF0E7D"/>
    <w:rsid w:val="00BF1415"/>
    <w:rsid w:val="00BF164A"/>
    <w:rsid w:val="00BF2E2C"/>
    <w:rsid w:val="00BF2FAD"/>
    <w:rsid w:val="00BF35CC"/>
    <w:rsid w:val="00BF36A3"/>
    <w:rsid w:val="00BF409F"/>
    <w:rsid w:val="00BF4886"/>
    <w:rsid w:val="00BF4F99"/>
    <w:rsid w:val="00BF5139"/>
    <w:rsid w:val="00BF51B3"/>
    <w:rsid w:val="00BF578E"/>
    <w:rsid w:val="00BF61BE"/>
    <w:rsid w:val="00BF6529"/>
    <w:rsid w:val="00BF73FA"/>
    <w:rsid w:val="00BF7542"/>
    <w:rsid w:val="00C00650"/>
    <w:rsid w:val="00C00CBA"/>
    <w:rsid w:val="00C0271E"/>
    <w:rsid w:val="00C05D51"/>
    <w:rsid w:val="00C0643F"/>
    <w:rsid w:val="00C06AB5"/>
    <w:rsid w:val="00C06D1E"/>
    <w:rsid w:val="00C0740F"/>
    <w:rsid w:val="00C07ECB"/>
    <w:rsid w:val="00C10280"/>
    <w:rsid w:val="00C11792"/>
    <w:rsid w:val="00C11F9B"/>
    <w:rsid w:val="00C13C06"/>
    <w:rsid w:val="00C13F6C"/>
    <w:rsid w:val="00C140E8"/>
    <w:rsid w:val="00C141FE"/>
    <w:rsid w:val="00C14B9C"/>
    <w:rsid w:val="00C166F6"/>
    <w:rsid w:val="00C16E5E"/>
    <w:rsid w:val="00C16EB9"/>
    <w:rsid w:val="00C1755B"/>
    <w:rsid w:val="00C17625"/>
    <w:rsid w:val="00C205C3"/>
    <w:rsid w:val="00C20BB6"/>
    <w:rsid w:val="00C211FF"/>
    <w:rsid w:val="00C21259"/>
    <w:rsid w:val="00C21637"/>
    <w:rsid w:val="00C220FD"/>
    <w:rsid w:val="00C22B32"/>
    <w:rsid w:val="00C22BC6"/>
    <w:rsid w:val="00C23C6D"/>
    <w:rsid w:val="00C23E8F"/>
    <w:rsid w:val="00C243AF"/>
    <w:rsid w:val="00C25075"/>
    <w:rsid w:val="00C252A5"/>
    <w:rsid w:val="00C25529"/>
    <w:rsid w:val="00C260CE"/>
    <w:rsid w:val="00C2639C"/>
    <w:rsid w:val="00C269AE"/>
    <w:rsid w:val="00C273A5"/>
    <w:rsid w:val="00C279AB"/>
    <w:rsid w:val="00C30336"/>
    <w:rsid w:val="00C3036C"/>
    <w:rsid w:val="00C3130D"/>
    <w:rsid w:val="00C31D36"/>
    <w:rsid w:val="00C32DDC"/>
    <w:rsid w:val="00C32EE3"/>
    <w:rsid w:val="00C33574"/>
    <w:rsid w:val="00C33F0F"/>
    <w:rsid w:val="00C3497F"/>
    <w:rsid w:val="00C34CAC"/>
    <w:rsid w:val="00C34FCC"/>
    <w:rsid w:val="00C358CC"/>
    <w:rsid w:val="00C359BF"/>
    <w:rsid w:val="00C35AB3"/>
    <w:rsid w:val="00C36296"/>
    <w:rsid w:val="00C36354"/>
    <w:rsid w:val="00C36DD6"/>
    <w:rsid w:val="00C37427"/>
    <w:rsid w:val="00C40807"/>
    <w:rsid w:val="00C40863"/>
    <w:rsid w:val="00C42040"/>
    <w:rsid w:val="00C43A4B"/>
    <w:rsid w:val="00C43BAD"/>
    <w:rsid w:val="00C449F2"/>
    <w:rsid w:val="00C44C75"/>
    <w:rsid w:val="00C463F9"/>
    <w:rsid w:val="00C464D8"/>
    <w:rsid w:val="00C46728"/>
    <w:rsid w:val="00C46CC8"/>
    <w:rsid w:val="00C47DB5"/>
    <w:rsid w:val="00C505FB"/>
    <w:rsid w:val="00C51EEB"/>
    <w:rsid w:val="00C520FD"/>
    <w:rsid w:val="00C521BB"/>
    <w:rsid w:val="00C52497"/>
    <w:rsid w:val="00C528BC"/>
    <w:rsid w:val="00C53494"/>
    <w:rsid w:val="00C54F57"/>
    <w:rsid w:val="00C55133"/>
    <w:rsid w:val="00C55172"/>
    <w:rsid w:val="00C555AC"/>
    <w:rsid w:val="00C55DE5"/>
    <w:rsid w:val="00C562F2"/>
    <w:rsid w:val="00C5712F"/>
    <w:rsid w:val="00C574C9"/>
    <w:rsid w:val="00C57A3E"/>
    <w:rsid w:val="00C60C0B"/>
    <w:rsid w:val="00C61909"/>
    <w:rsid w:val="00C61E29"/>
    <w:rsid w:val="00C6286D"/>
    <w:rsid w:val="00C62BD9"/>
    <w:rsid w:val="00C63351"/>
    <w:rsid w:val="00C63790"/>
    <w:rsid w:val="00C64012"/>
    <w:rsid w:val="00C647DD"/>
    <w:rsid w:val="00C64E0B"/>
    <w:rsid w:val="00C65516"/>
    <w:rsid w:val="00C66753"/>
    <w:rsid w:val="00C67967"/>
    <w:rsid w:val="00C704E9"/>
    <w:rsid w:val="00C70A18"/>
    <w:rsid w:val="00C70B37"/>
    <w:rsid w:val="00C716B1"/>
    <w:rsid w:val="00C71EA2"/>
    <w:rsid w:val="00C72227"/>
    <w:rsid w:val="00C72812"/>
    <w:rsid w:val="00C72D15"/>
    <w:rsid w:val="00C732A1"/>
    <w:rsid w:val="00C733AD"/>
    <w:rsid w:val="00C74E71"/>
    <w:rsid w:val="00C750A0"/>
    <w:rsid w:val="00C759D1"/>
    <w:rsid w:val="00C76431"/>
    <w:rsid w:val="00C76A7A"/>
    <w:rsid w:val="00C77146"/>
    <w:rsid w:val="00C80339"/>
    <w:rsid w:val="00C80D45"/>
    <w:rsid w:val="00C8100F"/>
    <w:rsid w:val="00C8139D"/>
    <w:rsid w:val="00C81683"/>
    <w:rsid w:val="00C81FDA"/>
    <w:rsid w:val="00C829F0"/>
    <w:rsid w:val="00C833FD"/>
    <w:rsid w:val="00C837C1"/>
    <w:rsid w:val="00C840D7"/>
    <w:rsid w:val="00C84394"/>
    <w:rsid w:val="00C857F2"/>
    <w:rsid w:val="00C86B10"/>
    <w:rsid w:val="00C86FC6"/>
    <w:rsid w:val="00C9136D"/>
    <w:rsid w:val="00C917C3"/>
    <w:rsid w:val="00C927C4"/>
    <w:rsid w:val="00C93A0C"/>
    <w:rsid w:val="00C958FB"/>
    <w:rsid w:val="00C97AB0"/>
    <w:rsid w:val="00C97FA8"/>
    <w:rsid w:val="00CA0032"/>
    <w:rsid w:val="00CA0375"/>
    <w:rsid w:val="00CA108D"/>
    <w:rsid w:val="00CA1833"/>
    <w:rsid w:val="00CA2A6B"/>
    <w:rsid w:val="00CA3176"/>
    <w:rsid w:val="00CA3FDC"/>
    <w:rsid w:val="00CA4720"/>
    <w:rsid w:val="00CA4EBD"/>
    <w:rsid w:val="00CA50B8"/>
    <w:rsid w:val="00CA51B6"/>
    <w:rsid w:val="00CA555F"/>
    <w:rsid w:val="00CA63E4"/>
    <w:rsid w:val="00CA6697"/>
    <w:rsid w:val="00CA7D6D"/>
    <w:rsid w:val="00CA7DED"/>
    <w:rsid w:val="00CB0393"/>
    <w:rsid w:val="00CB048E"/>
    <w:rsid w:val="00CB052D"/>
    <w:rsid w:val="00CB0560"/>
    <w:rsid w:val="00CB1680"/>
    <w:rsid w:val="00CB16A4"/>
    <w:rsid w:val="00CB1EFD"/>
    <w:rsid w:val="00CB2B46"/>
    <w:rsid w:val="00CB2C53"/>
    <w:rsid w:val="00CB2D04"/>
    <w:rsid w:val="00CB30D3"/>
    <w:rsid w:val="00CB3154"/>
    <w:rsid w:val="00CB33CD"/>
    <w:rsid w:val="00CB3AF5"/>
    <w:rsid w:val="00CB3E44"/>
    <w:rsid w:val="00CB4302"/>
    <w:rsid w:val="00CB486A"/>
    <w:rsid w:val="00CB4E12"/>
    <w:rsid w:val="00CB60DF"/>
    <w:rsid w:val="00CB6928"/>
    <w:rsid w:val="00CB6BA9"/>
    <w:rsid w:val="00CB7116"/>
    <w:rsid w:val="00CB7304"/>
    <w:rsid w:val="00CB7970"/>
    <w:rsid w:val="00CC03CE"/>
    <w:rsid w:val="00CC0C5E"/>
    <w:rsid w:val="00CC0DE5"/>
    <w:rsid w:val="00CC1362"/>
    <w:rsid w:val="00CC2E46"/>
    <w:rsid w:val="00CC3FF2"/>
    <w:rsid w:val="00CC5006"/>
    <w:rsid w:val="00CC5145"/>
    <w:rsid w:val="00CC51B2"/>
    <w:rsid w:val="00CC56D3"/>
    <w:rsid w:val="00CC6330"/>
    <w:rsid w:val="00CC68FE"/>
    <w:rsid w:val="00CC6BC9"/>
    <w:rsid w:val="00CC73A8"/>
    <w:rsid w:val="00CD08BB"/>
    <w:rsid w:val="00CD0C8C"/>
    <w:rsid w:val="00CD194B"/>
    <w:rsid w:val="00CD1965"/>
    <w:rsid w:val="00CD1AEE"/>
    <w:rsid w:val="00CD1AFB"/>
    <w:rsid w:val="00CD384A"/>
    <w:rsid w:val="00CD4283"/>
    <w:rsid w:val="00CD49B2"/>
    <w:rsid w:val="00CD4A11"/>
    <w:rsid w:val="00CD4F76"/>
    <w:rsid w:val="00CD665C"/>
    <w:rsid w:val="00CD6775"/>
    <w:rsid w:val="00CD70C5"/>
    <w:rsid w:val="00CD71B7"/>
    <w:rsid w:val="00CD734F"/>
    <w:rsid w:val="00CD766C"/>
    <w:rsid w:val="00CE0802"/>
    <w:rsid w:val="00CE0D0D"/>
    <w:rsid w:val="00CE14EA"/>
    <w:rsid w:val="00CE157F"/>
    <w:rsid w:val="00CE16FA"/>
    <w:rsid w:val="00CE2F3A"/>
    <w:rsid w:val="00CE3577"/>
    <w:rsid w:val="00CE3AE8"/>
    <w:rsid w:val="00CE4CB4"/>
    <w:rsid w:val="00CE5A86"/>
    <w:rsid w:val="00CE5CA9"/>
    <w:rsid w:val="00CE621D"/>
    <w:rsid w:val="00CE63D0"/>
    <w:rsid w:val="00CE650E"/>
    <w:rsid w:val="00CE6881"/>
    <w:rsid w:val="00CE6DEA"/>
    <w:rsid w:val="00CE6E45"/>
    <w:rsid w:val="00CE6ED7"/>
    <w:rsid w:val="00CE79A2"/>
    <w:rsid w:val="00CF0A04"/>
    <w:rsid w:val="00CF14DA"/>
    <w:rsid w:val="00CF20EE"/>
    <w:rsid w:val="00CF2D5A"/>
    <w:rsid w:val="00CF324E"/>
    <w:rsid w:val="00CF33DD"/>
    <w:rsid w:val="00CF3682"/>
    <w:rsid w:val="00CF36E5"/>
    <w:rsid w:val="00CF4D5D"/>
    <w:rsid w:val="00CF4E8C"/>
    <w:rsid w:val="00CF4F56"/>
    <w:rsid w:val="00CF5481"/>
    <w:rsid w:val="00CF5F8F"/>
    <w:rsid w:val="00CF6120"/>
    <w:rsid w:val="00CF6346"/>
    <w:rsid w:val="00CF68AA"/>
    <w:rsid w:val="00CF6F15"/>
    <w:rsid w:val="00CF747A"/>
    <w:rsid w:val="00CF7482"/>
    <w:rsid w:val="00CF752B"/>
    <w:rsid w:val="00D017CF"/>
    <w:rsid w:val="00D019DC"/>
    <w:rsid w:val="00D01BB4"/>
    <w:rsid w:val="00D01FDA"/>
    <w:rsid w:val="00D02F79"/>
    <w:rsid w:val="00D035B9"/>
    <w:rsid w:val="00D03A8E"/>
    <w:rsid w:val="00D03E71"/>
    <w:rsid w:val="00D0456D"/>
    <w:rsid w:val="00D045B7"/>
    <w:rsid w:val="00D050BC"/>
    <w:rsid w:val="00D05C68"/>
    <w:rsid w:val="00D05D22"/>
    <w:rsid w:val="00D05E9E"/>
    <w:rsid w:val="00D06C87"/>
    <w:rsid w:val="00D109B4"/>
    <w:rsid w:val="00D11667"/>
    <w:rsid w:val="00D11DC1"/>
    <w:rsid w:val="00D11DD6"/>
    <w:rsid w:val="00D11E5E"/>
    <w:rsid w:val="00D121BA"/>
    <w:rsid w:val="00D128E1"/>
    <w:rsid w:val="00D12CFE"/>
    <w:rsid w:val="00D13AED"/>
    <w:rsid w:val="00D14B4B"/>
    <w:rsid w:val="00D154FC"/>
    <w:rsid w:val="00D156D7"/>
    <w:rsid w:val="00D159F6"/>
    <w:rsid w:val="00D15A19"/>
    <w:rsid w:val="00D16452"/>
    <w:rsid w:val="00D175F1"/>
    <w:rsid w:val="00D17BF7"/>
    <w:rsid w:val="00D210B9"/>
    <w:rsid w:val="00D2155B"/>
    <w:rsid w:val="00D21926"/>
    <w:rsid w:val="00D21B45"/>
    <w:rsid w:val="00D24594"/>
    <w:rsid w:val="00D246BA"/>
    <w:rsid w:val="00D2472E"/>
    <w:rsid w:val="00D265B4"/>
    <w:rsid w:val="00D265DD"/>
    <w:rsid w:val="00D26FA0"/>
    <w:rsid w:val="00D270EC"/>
    <w:rsid w:val="00D27E9F"/>
    <w:rsid w:val="00D30763"/>
    <w:rsid w:val="00D30F64"/>
    <w:rsid w:val="00D31484"/>
    <w:rsid w:val="00D317C9"/>
    <w:rsid w:val="00D32847"/>
    <w:rsid w:val="00D33460"/>
    <w:rsid w:val="00D34C37"/>
    <w:rsid w:val="00D350CA"/>
    <w:rsid w:val="00D3515C"/>
    <w:rsid w:val="00D35334"/>
    <w:rsid w:val="00D35487"/>
    <w:rsid w:val="00D357F9"/>
    <w:rsid w:val="00D3582B"/>
    <w:rsid w:val="00D359ED"/>
    <w:rsid w:val="00D3610A"/>
    <w:rsid w:val="00D36169"/>
    <w:rsid w:val="00D36747"/>
    <w:rsid w:val="00D37759"/>
    <w:rsid w:val="00D404A0"/>
    <w:rsid w:val="00D41AFA"/>
    <w:rsid w:val="00D43686"/>
    <w:rsid w:val="00D45A1B"/>
    <w:rsid w:val="00D4613B"/>
    <w:rsid w:val="00D467C5"/>
    <w:rsid w:val="00D479BA"/>
    <w:rsid w:val="00D47E24"/>
    <w:rsid w:val="00D47F30"/>
    <w:rsid w:val="00D50676"/>
    <w:rsid w:val="00D50765"/>
    <w:rsid w:val="00D507B7"/>
    <w:rsid w:val="00D5117F"/>
    <w:rsid w:val="00D51182"/>
    <w:rsid w:val="00D51284"/>
    <w:rsid w:val="00D5137B"/>
    <w:rsid w:val="00D51F8C"/>
    <w:rsid w:val="00D51FDE"/>
    <w:rsid w:val="00D526E2"/>
    <w:rsid w:val="00D52CD1"/>
    <w:rsid w:val="00D536CB"/>
    <w:rsid w:val="00D53D4A"/>
    <w:rsid w:val="00D540D8"/>
    <w:rsid w:val="00D5410B"/>
    <w:rsid w:val="00D54748"/>
    <w:rsid w:val="00D54DEB"/>
    <w:rsid w:val="00D5570E"/>
    <w:rsid w:val="00D55B06"/>
    <w:rsid w:val="00D56076"/>
    <w:rsid w:val="00D562BC"/>
    <w:rsid w:val="00D569FB"/>
    <w:rsid w:val="00D56F9A"/>
    <w:rsid w:val="00D57040"/>
    <w:rsid w:val="00D6058E"/>
    <w:rsid w:val="00D6080F"/>
    <w:rsid w:val="00D60CE0"/>
    <w:rsid w:val="00D6108B"/>
    <w:rsid w:val="00D611A5"/>
    <w:rsid w:val="00D61EEA"/>
    <w:rsid w:val="00D628DC"/>
    <w:rsid w:val="00D62BF4"/>
    <w:rsid w:val="00D631EF"/>
    <w:rsid w:val="00D634C8"/>
    <w:rsid w:val="00D6371E"/>
    <w:rsid w:val="00D646CA"/>
    <w:rsid w:val="00D65061"/>
    <w:rsid w:val="00D65167"/>
    <w:rsid w:val="00D654F1"/>
    <w:rsid w:val="00D65743"/>
    <w:rsid w:val="00D65BA2"/>
    <w:rsid w:val="00D65D60"/>
    <w:rsid w:val="00D65EF8"/>
    <w:rsid w:val="00D67BBB"/>
    <w:rsid w:val="00D67BC2"/>
    <w:rsid w:val="00D67DA0"/>
    <w:rsid w:val="00D70AB9"/>
    <w:rsid w:val="00D70E10"/>
    <w:rsid w:val="00D7104A"/>
    <w:rsid w:val="00D71391"/>
    <w:rsid w:val="00D7164B"/>
    <w:rsid w:val="00D71D74"/>
    <w:rsid w:val="00D728F6"/>
    <w:rsid w:val="00D72A14"/>
    <w:rsid w:val="00D72D59"/>
    <w:rsid w:val="00D732CE"/>
    <w:rsid w:val="00D736F8"/>
    <w:rsid w:val="00D73D91"/>
    <w:rsid w:val="00D7627F"/>
    <w:rsid w:val="00D7666C"/>
    <w:rsid w:val="00D76792"/>
    <w:rsid w:val="00D768B4"/>
    <w:rsid w:val="00D768E7"/>
    <w:rsid w:val="00D76C31"/>
    <w:rsid w:val="00D76F05"/>
    <w:rsid w:val="00D773E6"/>
    <w:rsid w:val="00D77CED"/>
    <w:rsid w:val="00D80E45"/>
    <w:rsid w:val="00D816A3"/>
    <w:rsid w:val="00D82323"/>
    <w:rsid w:val="00D8277F"/>
    <w:rsid w:val="00D82837"/>
    <w:rsid w:val="00D828DB"/>
    <w:rsid w:val="00D82FE6"/>
    <w:rsid w:val="00D84123"/>
    <w:rsid w:val="00D84329"/>
    <w:rsid w:val="00D85589"/>
    <w:rsid w:val="00D85669"/>
    <w:rsid w:val="00D86969"/>
    <w:rsid w:val="00D86D60"/>
    <w:rsid w:val="00D86E25"/>
    <w:rsid w:val="00D87316"/>
    <w:rsid w:val="00D8799F"/>
    <w:rsid w:val="00D90397"/>
    <w:rsid w:val="00D90A36"/>
    <w:rsid w:val="00D90E62"/>
    <w:rsid w:val="00D912F4"/>
    <w:rsid w:val="00D92205"/>
    <w:rsid w:val="00D949FC"/>
    <w:rsid w:val="00D94D24"/>
    <w:rsid w:val="00D956A9"/>
    <w:rsid w:val="00DA065D"/>
    <w:rsid w:val="00DA096F"/>
    <w:rsid w:val="00DA1715"/>
    <w:rsid w:val="00DA2695"/>
    <w:rsid w:val="00DA29BF"/>
    <w:rsid w:val="00DA2CF2"/>
    <w:rsid w:val="00DA395E"/>
    <w:rsid w:val="00DA3C70"/>
    <w:rsid w:val="00DA3F4F"/>
    <w:rsid w:val="00DA4015"/>
    <w:rsid w:val="00DA4D2F"/>
    <w:rsid w:val="00DA52F1"/>
    <w:rsid w:val="00DA7CEE"/>
    <w:rsid w:val="00DB00FF"/>
    <w:rsid w:val="00DB0CEC"/>
    <w:rsid w:val="00DB0DF1"/>
    <w:rsid w:val="00DB140B"/>
    <w:rsid w:val="00DB15F7"/>
    <w:rsid w:val="00DB18C3"/>
    <w:rsid w:val="00DB19D3"/>
    <w:rsid w:val="00DB23C7"/>
    <w:rsid w:val="00DB2795"/>
    <w:rsid w:val="00DB307E"/>
    <w:rsid w:val="00DB3833"/>
    <w:rsid w:val="00DB3EC2"/>
    <w:rsid w:val="00DB443A"/>
    <w:rsid w:val="00DB4954"/>
    <w:rsid w:val="00DB5020"/>
    <w:rsid w:val="00DB52AA"/>
    <w:rsid w:val="00DB5C88"/>
    <w:rsid w:val="00DB5F9C"/>
    <w:rsid w:val="00DB67B5"/>
    <w:rsid w:val="00DB67F6"/>
    <w:rsid w:val="00DB6B1B"/>
    <w:rsid w:val="00DB6C78"/>
    <w:rsid w:val="00DB738A"/>
    <w:rsid w:val="00DC04DF"/>
    <w:rsid w:val="00DC27E5"/>
    <w:rsid w:val="00DC2908"/>
    <w:rsid w:val="00DC29BE"/>
    <w:rsid w:val="00DC3400"/>
    <w:rsid w:val="00DC3E30"/>
    <w:rsid w:val="00DC492D"/>
    <w:rsid w:val="00DC4D9F"/>
    <w:rsid w:val="00DC59CD"/>
    <w:rsid w:val="00DC64F6"/>
    <w:rsid w:val="00DC6F77"/>
    <w:rsid w:val="00DC76D1"/>
    <w:rsid w:val="00DD024E"/>
    <w:rsid w:val="00DD12CD"/>
    <w:rsid w:val="00DD1674"/>
    <w:rsid w:val="00DD1BE0"/>
    <w:rsid w:val="00DD2372"/>
    <w:rsid w:val="00DD2E42"/>
    <w:rsid w:val="00DD3279"/>
    <w:rsid w:val="00DD436E"/>
    <w:rsid w:val="00DD46C9"/>
    <w:rsid w:val="00DD50F3"/>
    <w:rsid w:val="00DD691A"/>
    <w:rsid w:val="00DD762B"/>
    <w:rsid w:val="00DD76F5"/>
    <w:rsid w:val="00DD7E14"/>
    <w:rsid w:val="00DD7EB6"/>
    <w:rsid w:val="00DE0DA1"/>
    <w:rsid w:val="00DE1B86"/>
    <w:rsid w:val="00DE25AF"/>
    <w:rsid w:val="00DE322D"/>
    <w:rsid w:val="00DE3B35"/>
    <w:rsid w:val="00DE3C23"/>
    <w:rsid w:val="00DE4C1F"/>
    <w:rsid w:val="00DE50E3"/>
    <w:rsid w:val="00DE61DA"/>
    <w:rsid w:val="00DE665F"/>
    <w:rsid w:val="00DE7BB2"/>
    <w:rsid w:val="00DF10FC"/>
    <w:rsid w:val="00DF16F2"/>
    <w:rsid w:val="00DF1D87"/>
    <w:rsid w:val="00DF1E4A"/>
    <w:rsid w:val="00DF211D"/>
    <w:rsid w:val="00DF23B6"/>
    <w:rsid w:val="00DF2408"/>
    <w:rsid w:val="00DF258D"/>
    <w:rsid w:val="00DF334C"/>
    <w:rsid w:val="00DF39FB"/>
    <w:rsid w:val="00DF42B6"/>
    <w:rsid w:val="00DF4C0F"/>
    <w:rsid w:val="00DF55BF"/>
    <w:rsid w:val="00DF6DBD"/>
    <w:rsid w:val="00DF7865"/>
    <w:rsid w:val="00E00121"/>
    <w:rsid w:val="00E00BFD"/>
    <w:rsid w:val="00E0159A"/>
    <w:rsid w:val="00E0286D"/>
    <w:rsid w:val="00E03BC2"/>
    <w:rsid w:val="00E03BED"/>
    <w:rsid w:val="00E04578"/>
    <w:rsid w:val="00E04A41"/>
    <w:rsid w:val="00E04EB0"/>
    <w:rsid w:val="00E04F25"/>
    <w:rsid w:val="00E0525F"/>
    <w:rsid w:val="00E052BB"/>
    <w:rsid w:val="00E06400"/>
    <w:rsid w:val="00E0672F"/>
    <w:rsid w:val="00E0690B"/>
    <w:rsid w:val="00E0702F"/>
    <w:rsid w:val="00E11059"/>
    <w:rsid w:val="00E117FC"/>
    <w:rsid w:val="00E12713"/>
    <w:rsid w:val="00E12BAC"/>
    <w:rsid w:val="00E138B8"/>
    <w:rsid w:val="00E13924"/>
    <w:rsid w:val="00E140AC"/>
    <w:rsid w:val="00E14CEE"/>
    <w:rsid w:val="00E157AB"/>
    <w:rsid w:val="00E15D1E"/>
    <w:rsid w:val="00E170DF"/>
    <w:rsid w:val="00E179D6"/>
    <w:rsid w:val="00E20676"/>
    <w:rsid w:val="00E206DF"/>
    <w:rsid w:val="00E20B74"/>
    <w:rsid w:val="00E212A5"/>
    <w:rsid w:val="00E21832"/>
    <w:rsid w:val="00E21CBE"/>
    <w:rsid w:val="00E22546"/>
    <w:rsid w:val="00E2267B"/>
    <w:rsid w:val="00E2273A"/>
    <w:rsid w:val="00E2301D"/>
    <w:rsid w:val="00E23041"/>
    <w:rsid w:val="00E233C1"/>
    <w:rsid w:val="00E23717"/>
    <w:rsid w:val="00E242DF"/>
    <w:rsid w:val="00E242ED"/>
    <w:rsid w:val="00E2504A"/>
    <w:rsid w:val="00E2544D"/>
    <w:rsid w:val="00E25993"/>
    <w:rsid w:val="00E25F87"/>
    <w:rsid w:val="00E2627B"/>
    <w:rsid w:val="00E269AB"/>
    <w:rsid w:val="00E26DEB"/>
    <w:rsid w:val="00E27506"/>
    <w:rsid w:val="00E275AE"/>
    <w:rsid w:val="00E27DFC"/>
    <w:rsid w:val="00E306DD"/>
    <w:rsid w:val="00E309E7"/>
    <w:rsid w:val="00E31661"/>
    <w:rsid w:val="00E31A4C"/>
    <w:rsid w:val="00E32A45"/>
    <w:rsid w:val="00E33048"/>
    <w:rsid w:val="00E33160"/>
    <w:rsid w:val="00E34D3D"/>
    <w:rsid w:val="00E3543F"/>
    <w:rsid w:val="00E354E9"/>
    <w:rsid w:val="00E35874"/>
    <w:rsid w:val="00E36638"/>
    <w:rsid w:val="00E40E89"/>
    <w:rsid w:val="00E418C4"/>
    <w:rsid w:val="00E4198B"/>
    <w:rsid w:val="00E41D0D"/>
    <w:rsid w:val="00E427BC"/>
    <w:rsid w:val="00E42B6F"/>
    <w:rsid w:val="00E4322E"/>
    <w:rsid w:val="00E43AEC"/>
    <w:rsid w:val="00E4464F"/>
    <w:rsid w:val="00E4488A"/>
    <w:rsid w:val="00E45C12"/>
    <w:rsid w:val="00E464B2"/>
    <w:rsid w:val="00E475CD"/>
    <w:rsid w:val="00E47853"/>
    <w:rsid w:val="00E47C3A"/>
    <w:rsid w:val="00E5047C"/>
    <w:rsid w:val="00E50500"/>
    <w:rsid w:val="00E50A18"/>
    <w:rsid w:val="00E50D2B"/>
    <w:rsid w:val="00E52724"/>
    <w:rsid w:val="00E532AC"/>
    <w:rsid w:val="00E53E9B"/>
    <w:rsid w:val="00E554F6"/>
    <w:rsid w:val="00E56A35"/>
    <w:rsid w:val="00E56CDE"/>
    <w:rsid w:val="00E574BF"/>
    <w:rsid w:val="00E575FD"/>
    <w:rsid w:val="00E57E8C"/>
    <w:rsid w:val="00E57F02"/>
    <w:rsid w:val="00E6094E"/>
    <w:rsid w:val="00E61DB5"/>
    <w:rsid w:val="00E62685"/>
    <w:rsid w:val="00E64B22"/>
    <w:rsid w:val="00E65578"/>
    <w:rsid w:val="00E65FDB"/>
    <w:rsid w:val="00E664D0"/>
    <w:rsid w:val="00E66613"/>
    <w:rsid w:val="00E6673B"/>
    <w:rsid w:val="00E66741"/>
    <w:rsid w:val="00E66761"/>
    <w:rsid w:val="00E67AE2"/>
    <w:rsid w:val="00E7037C"/>
    <w:rsid w:val="00E70430"/>
    <w:rsid w:val="00E7048E"/>
    <w:rsid w:val="00E704FF"/>
    <w:rsid w:val="00E7134D"/>
    <w:rsid w:val="00E72106"/>
    <w:rsid w:val="00E72981"/>
    <w:rsid w:val="00E74A6B"/>
    <w:rsid w:val="00E74F00"/>
    <w:rsid w:val="00E75F28"/>
    <w:rsid w:val="00E77070"/>
    <w:rsid w:val="00E77311"/>
    <w:rsid w:val="00E7747B"/>
    <w:rsid w:val="00E77883"/>
    <w:rsid w:val="00E80CB2"/>
    <w:rsid w:val="00E81225"/>
    <w:rsid w:val="00E8202A"/>
    <w:rsid w:val="00E829FC"/>
    <w:rsid w:val="00E83DDD"/>
    <w:rsid w:val="00E84042"/>
    <w:rsid w:val="00E84500"/>
    <w:rsid w:val="00E848FE"/>
    <w:rsid w:val="00E85674"/>
    <w:rsid w:val="00E858BF"/>
    <w:rsid w:val="00E8602B"/>
    <w:rsid w:val="00E86C8B"/>
    <w:rsid w:val="00E871BB"/>
    <w:rsid w:val="00E877E5"/>
    <w:rsid w:val="00E87E4D"/>
    <w:rsid w:val="00E87FFA"/>
    <w:rsid w:val="00E90790"/>
    <w:rsid w:val="00E9120B"/>
    <w:rsid w:val="00E91372"/>
    <w:rsid w:val="00E9260D"/>
    <w:rsid w:val="00E937C8"/>
    <w:rsid w:val="00E938F6"/>
    <w:rsid w:val="00E93A1A"/>
    <w:rsid w:val="00E93DF0"/>
    <w:rsid w:val="00E93F83"/>
    <w:rsid w:val="00E93F89"/>
    <w:rsid w:val="00E94301"/>
    <w:rsid w:val="00E9485B"/>
    <w:rsid w:val="00E94981"/>
    <w:rsid w:val="00E95F26"/>
    <w:rsid w:val="00E95F85"/>
    <w:rsid w:val="00E96D6A"/>
    <w:rsid w:val="00E96F07"/>
    <w:rsid w:val="00EA0AAD"/>
    <w:rsid w:val="00EA134D"/>
    <w:rsid w:val="00EA25DF"/>
    <w:rsid w:val="00EA2615"/>
    <w:rsid w:val="00EA26C3"/>
    <w:rsid w:val="00EA299A"/>
    <w:rsid w:val="00EA3200"/>
    <w:rsid w:val="00EA368C"/>
    <w:rsid w:val="00EA4207"/>
    <w:rsid w:val="00EA462F"/>
    <w:rsid w:val="00EA48E1"/>
    <w:rsid w:val="00EA4B6D"/>
    <w:rsid w:val="00EA4C98"/>
    <w:rsid w:val="00EA50A4"/>
    <w:rsid w:val="00EA5F03"/>
    <w:rsid w:val="00EA65C0"/>
    <w:rsid w:val="00EA66DD"/>
    <w:rsid w:val="00EA6B46"/>
    <w:rsid w:val="00EA7731"/>
    <w:rsid w:val="00EB09C5"/>
    <w:rsid w:val="00EB0F22"/>
    <w:rsid w:val="00EB0FB7"/>
    <w:rsid w:val="00EB1EE4"/>
    <w:rsid w:val="00EB1F14"/>
    <w:rsid w:val="00EB2665"/>
    <w:rsid w:val="00EB2E5A"/>
    <w:rsid w:val="00EB3185"/>
    <w:rsid w:val="00EB32E4"/>
    <w:rsid w:val="00EB359E"/>
    <w:rsid w:val="00EB42C5"/>
    <w:rsid w:val="00EB4891"/>
    <w:rsid w:val="00EB4D68"/>
    <w:rsid w:val="00EB553A"/>
    <w:rsid w:val="00EB5863"/>
    <w:rsid w:val="00EB7946"/>
    <w:rsid w:val="00EB7D9B"/>
    <w:rsid w:val="00EC0145"/>
    <w:rsid w:val="00EC030A"/>
    <w:rsid w:val="00EC0754"/>
    <w:rsid w:val="00EC0C31"/>
    <w:rsid w:val="00EC1225"/>
    <w:rsid w:val="00EC1348"/>
    <w:rsid w:val="00EC1A9C"/>
    <w:rsid w:val="00EC1F4A"/>
    <w:rsid w:val="00EC24E4"/>
    <w:rsid w:val="00EC2D37"/>
    <w:rsid w:val="00EC3C9A"/>
    <w:rsid w:val="00EC4143"/>
    <w:rsid w:val="00EC4207"/>
    <w:rsid w:val="00EC473B"/>
    <w:rsid w:val="00EC4A0D"/>
    <w:rsid w:val="00EC4E50"/>
    <w:rsid w:val="00EC4EA5"/>
    <w:rsid w:val="00EC5191"/>
    <w:rsid w:val="00EC5439"/>
    <w:rsid w:val="00EC58AC"/>
    <w:rsid w:val="00EC59DF"/>
    <w:rsid w:val="00EC5DE6"/>
    <w:rsid w:val="00EC5FAC"/>
    <w:rsid w:val="00EC6C82"/>
    <w:rsid w:val="00EC6DC4"/>
    <w:rsid w:val="00EC6E36"/>
    <w:rsid w:val="00EC797D"/>
    <w:rsid w:val="00ED0705"/>
    <w:rsid w:val="00ED1883"/>
    <w:rsid w:val="00ED1DD0"/>
    <w:rsid w:val="00ED2A55"/>
    <w:rsid w:val="00ED3198"/>
    <w:rsid w:val="00ED32F2"/>
    <w:rsid w:val="00ED35DC"/>
    <w:rsid w:val="00ED3C1F"/>
    <w:rsid w:val="00ED4D52"/>
    <w:rsid w:val="00ED5A09"/>
    <w:rsid w:val="00ED69B3"/>
    <w:rsid w:val="00ED7015"/>
    <w:rsid w:val="00ED7733"/>
    <w:rsid w:val="00ED78BA"/>
    <w:rsid w:val="00EE01AE"/>
    <w:rsid w:val="00EE08F0"/>
    <w:rsid w:val="00EE0982"/>
    <w:rsid w:val="00EE10D1"/>
    <w:rsid w:val="00EE1274"/>
    <w:rsid w:val="00EE15F0"/>
    <w:rsid w:val="00EE18F9"/>
    <w:rsid w:val="00EE26C6"/>
    <w:rsid w:val="00EE4388"/>
    <w:rsid w:val="00EE46B1"/>
    <w:rsid w:val="00EE540F"/>
    <w:rsid w:val="00EE570D"/>
    <w:rsid w:val="00EE573F"/>
    <w:rsid w:val="00EE57BF"/>
    <w:rsid w:val="00EE6932"/>
    <w:rsid w:val="00EE6B30"/>
    <w:rsid w:val="00EE7BC1"/>
    <w:rsid w:val="00EF04D9"/>
    <w:rsid w:val="00EF06A2"/>
    <w:rsid w:val="00EF3603"/>
    <w:rsid w:val="00EF4B2C"/>
    <w:rsid w:val="00EF6078"/>
    <w:rsid w:val="00EF666A"/>
    <w:rsid w:val="00F00B86"/>
    <w:rsid w:val="00F01113"/>
    <w:rsid w:val="00F0115A"/>
    <w:rsid w:val="00F016D0"/>
    <w:rsid w:val="00F017C1"/>
    <w:rsid w:val="00F019B6"/>
    <w:rsid w:val="00F019CA"/>
    <w:rsid w:val="00F02281"/>
    <w:rsid w:val="00F02463"/>
    <w:rsid w:val="00F026A4"/>
    <w:rsid w:val="00F0308E"/>
    <w:rsid w:val="00F04C5B"/>
    <w:rsid w:val="00F0540D"/>
    <w:rsid w:val="00F05915"/>
    <w:rsid w:val="00F05BDA"/>
    <w:rsid w:val="00F0621D"/>
    <w:rsid w:val="00F06580"/>
    <w:rsid w:val="00F06EE0"/>
    <w:rsid w:val="00F074B3"/>
    <w:rsid w:val="00F07968"/>
    <w:rsid w:val="00F07B9A"/>
    <w:rsid w:val="00F11028"/>
    <w:rsid w:val="00F120E2"/>
    <w:rsid w:val="00F12D8B"/>
    <w:rsid w:val="00F133AD"/>
    <w:rsid w:val="00F13437"/>
    <w:rsid w:val="00F13B39"/>
    <w:rsid w:val="00F13C63"/>
    <w:rsid w:val="00F13DFA"/>
    <w:rsid w:val="00F144C7"/>
    <w:rsid w:val="00F15BB4"/>
    <w:rsid w:val="00F15E49"/>
    <w:rsid w:val="00F16953"/>
    <w:rsid w:val="00F16A96"/>
    <w:rsid w:val="00F170C4"/>
    <w:rsid w:val="00F178F2"/>
    <w:rsid w:val="00F17C17"/>
    <w:rsid w:val="00F19A38"/>
    <w:rsid w:val="00F208C0"/>
    <w:rsid w:val="00F209A2"/>
    <w:rsid w:val="00F211B9"/>
    <w:rsid w:val="00F21500"/>
    <w:rsid w:val="00F21F83"/>
    <w:rsid w:val="00F22B78"/>
    <w:rsid w:val="00F23A76"/>
    <w:rsid w:val="00F2462C"/>
    <w:rsid w:val="00F24DAC"/>
    <w:rsid w:val="00F25367"/>
    <w:rsid w:val="00F25732"/>
    <w:rsid w:val="00F2580E"/>
    <w:rsid w:val="00F25FE6"/>
    <w:rsid w:val="00F25FF7"/>
    <w:rsid w:val="00F27586"/>
    <w:rsid w:val="00F27D9A"/>
    <w:rsid w:val="00F30909"/>
    <w:rsid w:val="00F311BC"/>
    <w:rsid w:val="00F31D12"/>
    <w:rsid w:val="00F32431"/>
    <w:rsid w:val="00F33A0D"/>
    <w:rsid w:val="00F33CEC"/>
    <w:rsid w:val="00F34201"/>
    <w:rsid w:val="00F34210"/>
    <w:rsid w:val="00F34319"/>
    <w:rsid w:val="00F34563"/>
    <w:rsid w:val="00F34708"/>
    <w:rsid w:val="00F353D3"/>
    <w:rsid w:val="00F3569F"/>
    <w:rsid w:val="00F358E6"/>
    <w:rsid w:val="00F35B6D"/>
    <w:rsid w:val="00F35E1B"/>
    <w:rsid w:val="00F36466"/>
    <w:rsid w:val="00F3713D"/>
    <w:rsid w:val="00F40468"/>
    <w:rsid w:val="00F40684"/>
    <w:rsid w:val="00F408A3"/>
    <w:rsid w:val="00F41188"/>
    <w:rsid w:val="00F414C9"/>
    <w:rsid w:val="00F41952"/>
    <w:rsid w:val="00F431CA"/>
    <w:rsid w:val="00F43440"/>
    <w:rsid w:val="00F435A0"/>
    <w:rsid w:val="00F43DB0"/>
    <w:rsid w:val="00F44098"/>
    <w:rsid w:val="00F447B9"/>
    <w:rsid w:val="00F44CB4"/>
    <w:rsid w:val="00F45407"/>
    <w:rsid w:val="00F45423"/>
    <w:rsid w:val="00F45ADB"/>
    <w:rsid w:val="00F46927"/>
    <w:rsid w:val="00F46F97"/>
    <w:rsid w:val="00F4719D"/>
    <w:rsid w:val="00F478A1"/>
    <w:rsid w:val="00F47B68"/>
    <w:rsid w:val="00F5003B"/>
    <w:rsid w:val="00F50885"/>
    <w:rsid w:val="00F50B3D"/>
    <w:rsid w:val="00F50DE7"/>
    <w:rsid w:val="00F52571"/>
    <w:rsid w:val="00F5362C"/>
    <w:rsid w:val="00F53CB1"/>
    <w:rsid w:val="00F53D25"/>
    <w:rsid w:val="00F53D46"/>
    <w:rsid w:val="00F548D0"/>
    <w:rsid w:val="00F54B3E"/>
    <w:rsid w:val="00F55F73"/>
    <w:rsid w:val="00F56877"/>
    <w:rsid w:val="00F572C7"/>
    <w:rsid w:val="00F57D04"/>
    <w:rsid w:val="00F615D3"/>
    <w:rsid w:val="00F6317D"/>
    <w:rsid w:val="00F632AB"/>
    <w:rsid w:val="00F6357E"/>
    <w:rsid w:val="00F63C4B"/>
    <w:rsid w:val="00F63E61"/>
    <w:rsid w:val="00F648D2"/>
    <w:rsid w:val="00F649E5"/>
    <w:rsid w:val="00F64AF2"/>
    <w:rsid w:val="00F64BC1"/>
    <w:rsid w:val="00F64EAB"/>
    <w:rsid w:val="00F6596A"/>
    <w:rsid w:val="00F66037"/>
    <w:rsid w:val="00F6668F"/>
    <w:rsid w:val="00F6670C"/>
    <w:rsid w:val="00F67E48"/>
    <w:rsid w:val="00F70ACF"/>
    <w:rsid w:val="00F712DA"/>
    <w:rsid w:val="00F71EA3"/>
    <w:rsid w:val="00F71FDF"/>
    <w:rsid w:val="00F72C62"/>
    <w:rsid w:val="00F73B27"/>
    <w:rsid w:val="00F743BB"/>
    <w:rsid w:val="00F7479D"/>
    <w:rsid w:val="00F747B3"/>
    <w:rsid w:val="00F74992"/>
    <w:rsid w:val="00F751D4"/>
    <w:rsid w:val="00F757AE"/>
    <w:rsid w:val="00F757CC"/>
    <w:rsid w:val="00F75AD7"/>
    <w:rsid w:val="00F760B6"/>
    <w:rsid w:val="00F76197"/>
    <w:rsid w:val="00F763B5"/>
    <w:rsid w:val="00F76E19"/>
    <w:rsid w:val="00F77969"/>
    <w:rsid w:val="00F77CA3"/>
    <w:rsid w:val="00F808E7"/>
    <w:rsid w:val="00F80A44"/>
    <w:rsid w:val="00F80AF3"/>
    <w:rsid w:val="00F81E7F"/>
    <w:rsid w:val="00F821DD"/>
    <w:rsid w:val="00F82938"/>
    <w:rsid w:val="00F8334C"/>
    <w:rsid w:val="00F8363C"/>
    <w:rsid w:val="00F84075"/>
    <w:rsid w:val="00F85121"/>
    <w:rsid w:val="00F87236"/>
    <w:rsid w:val="00F87F62"/>
    <w:rsid w:val="00F9133B"/>
    <w:rsid w:val="00F9240C"/>
    <w:rsid w:val="00F92964"/>
    <w:rsid w:val="00F933F8"/>
    <w:rsid w:val="00F934F9"/>
    <w:rsid w:val="00F93F06"/>
    <w:rsid w:val="00F95617"/>
    <w:rsid w:val="00F95952"/>
    <w:rsid w:val="00F96192"/>
    <w:rsid w:val="00F962E9"/>
    <w:rsid w:val="00F965A5"/>
    <w:rsid w:val="00F966C2"/>
    <w:rsid w:val="00F97136"/>
    <w:rsid w:val="00FA07C4"/>
    <w:rsid w:val="00FA0D39"/>
    <w:rsid w:val="00FA1A10"/>
    <w:rsid w:val="00FA1E57"/>
    <w:rsid w:val="00FA3861"/>
    <w:rsid w:val="00FA3CE1"/>
    <w:rsid w:val="00FA41C0"/>
    <w:rsid w:val="00FA518A"/>
    <w:rsid w:val="00FA52DC"/>
    <w:rsid w:val="00FA585F"/>
    <w:rsid w:val="00FA5CD1"/>
    <w:rsid w:val="00FA60F3"/>
    <w:rsid w:val="00FA70A1"/>
    <w:rsid w:val="00FA73FB"/>
    <w:rsid w:val="00FA7C71"/>
    <w:rsid w:val="00FA7D42"/>
    <w:rsid w:val="00FA7DC0"/>
    <w:rsid w:val="00FB03B8"/>
    <w:rsid w:val="00FB0B69"/>
    <w:rsid w:val="00FB112F"/>
    <w:rsid w:val="00FB1D58"/>
    <w:rsid w:val="00FB1FE9"/>
    <w:rsid w:val="00FB22A9"/>
    <w:rsid w:val="00FB262F"/>
    <w:rsid w:val="00FB2CE4"/>
    <w:rsid w:val="00FB2D36"/>
    <w:rsid w:val="00FB32A1"/>
    <w:rsid w:val="00FB4192"/>
    <w:rsid w:val="00FB440B"/>
    <w:rsid w:val="00FB46C9"/>
    <w:rsid w:val="00FB55E7"/>
    <w:rsid w:val="00FB6AD7"/>
    <w:rsid w:val="00FB7720"/>
    <w:rsid w:val="00FC0141"/>
    <w:rsid w:val="00FC0693"/>
    <w:rsid w:val="00FC0F3F"/>
    <w:rsid w:val="00FC1559"/>
    <w:rsid w:val="00FC23C9"/>
    <w:rsid w:val="00FC2F1E"/>
    <w:rsid w:val="00FC3D3E"/>
    <w:rsid w:val="00FC3D8D"/>
    <w:rsid w:val="00FC3E2F"/>
    <w:rsid w:val="00FC43A3"/>
    <w:rsid w:val="00FC4829"/>
    <w:rsid w:val="00FC4937"/>
    <w:rsid w:val="00FC5499"/>
    <w:rsid w:val="00FC54DA"/>
    <w:rsid w:val="00FC5606"/>
    <w:rsid w:val="00FC5620"/>
    <w:rsid w:val="00FD0275"/>
    <w:rsid w:val="00FD0816"/>
    <w:rsid w:val="00FD1382"/>
    <w:rsid w:val="00FD1A43"/>
    <w:rsid w:val="00FD1D6D"/>
    <w:rsid w:val="00FD1FC4"/>
    <w:rsid w:val="00FD2260"/>
    <w:rsid w:val="00FD2266"/>
    <w:rsid w:val="00FD4814"/>
    <w:rsid w:val="00FD49CC"/>
    <w:rsid w:val="00FD4F83"/>
    <w:rsid w:val="00FD632E"/>
    <w:rsid w:val="00FD6452"/>
    <w:rsid w:val="00FD6E28"/>
    <w:rsid w:val="00FD787F"/>
    <w:rsid w:val="00FE0D82"/>
    <w:rsid w:val="00FE19DA"/>
    <w:rsid w:val="00FE1C2C"/>
    <w:rsid w:val="00FE1D9B"/>
    <w:rsid w:val="00FE22AF"/>
    <w:rsid w:val="00FE28F2"/>
    <w:rsid w:val="00FE2F91"/>
    <w:rsid w:val="00FE31CF"/>
    <w:rsid w:val="00FE363C"/>
    <w:rsid w:val="00FE3B57"/>
    <w:rsid w:val="00FE40CD"/>
    <w:rsid w:val="00FE5C28"/>
    <w:rsid w:val="00FE5E59"/>
    <w:rsid w:val="00FE631D"/>
    <w:rsid w:val="00FE66F8"/>
    <w:rsid w:val="00FE6E07"/>
    <w:rsid w:val="00FE733C"/>
    <w:rsid w:val="00FE76FA"/>
    <w:rsid w:val="00FF00EF"/>
    <w:rsid w:val="00FF07CC"/>
    <w:rsid w:val="00FF1094"/>
    <w:rsid w:val="00FF1D54"/>
    <w:rsid w:val="00FF272D"/>
    <w:rsid w:val="00FF2EDF"/>
    <w:rsid w:val="00FF4BDB"/>
    <w:rsid w:val="00FF5233"/>
    <w:rsid w:val="00FF5320"/>
    <w:rsid w:val="00FF5394"/>
    <w:rsid w:val="00FF5701"/>
    <w:rsid w:val="00FF5832"/>
    <w:rsid w:val="00FF59DF"/>
    <w:rsid w:val="00FF6412"/>
    <w:rsid w:val="00FF6693"/>
    <w:rsid w:val="00FF689B"/>
    <w:rsid w:val="00FF69B2"/>
    <w:rsid w:val="00FF6EFB"/>
    <w:rsid w:val="00FF7E6E"/>
    <w:rsid w:val="0144FCE2"/>
    <w:rsid w:val="016B03E5"/>
    <w:rsid w:val="0182FA02"/>
    <w:rsid w:val="0194CABB"/>
    <w:rsid w:val="01D3DA61"/>
    <w:rsid w:val="01E9F8B6"/>
    <w:rsid w:val="01EB18BE"/>
    <w:rsid w:val="020DAC94"/>
    <w:rsid w:val="0230B282"/>
    <w:rsid w:val="02761076"/>
    <w:rsid w:val="0288958D"/>
    <w:rsid w:val="02D6A36E"/>
    <w:rsid w:val="02DA564F"/>
    <w:rsid w:val="033F468B"/>
    <w:rsid w:val="034DC76A"/>
    <w:rsid w:val="03597837"/>
    <w:rsid w:val="036BF0B0"/>
    <w:rsid w:val="0378C2F5"/>
    <w:rsid w:val="037D12EF"/>
    <w:rsid w:val="03A70C5A"/>
    <w:rsid w:val="03D30499"/>
    <w:rsid w:val="0416C329"/>
    <w:rsid w:val="04180068"/>
    <w:rsid w:val="0460976C"/>
    <w:rsid w:val="0463D72E"/>
    <w:rsid w:val="046A59A6"/>
    <w:rsid w:val="048DAD36"/>
    <w:rsid w:val="04A1573E"/>
    <w:rsid w:val="04B7BDF7"/>
    <w:rsid w:val="050798C7"/>
    <w:rsid w:val="0522C4DD"/>
    <w:rsid w:val="053FCB11"/>
    <w:rsid w:val="05587857"/>
    <w:rsid w:val="058AF4BD"/>
    <w:rsid w:val="05A69595"/>
    <w:rsid w:val="05B92815"/>
    <w:rsid w:val="05D7EF16"/>
    <w:rsid w:val="060D4916"/>
    <w:rsid w:val="061F9FB3"/>
    <w:rsid w:val="06316307"/>
    <w:rsid w:val="067DCE82"/>
    <w:rsid w:val="069F6212"/>
    <w:rsid w:val="06C02468"/>
    <w:rsid w:val="06F97398"/>
    <w:rsid w:val="0729C3C7"/>
    <w:rsid w:val="0743CAD2"/>
    <w:rsid w:val="074599C6"/>
    <w:rsid w:val="0778D7A9"/>
    <w:rsid w:val="077F5A02"/>
    <w:rsid w:val="07957EF4"/>
    <w:rsid w:val="079C5592"/>
    <w:rsid w:val="07B3C6DA"/>
    <w:rsid w:val="07C99871"/>
    <w:rsid w:val="07D7F2D8"/>
    <w:rsid w:val="07EA0B69"/>
    <w:rsid w:val="07EE9BA0"/>
    <w:rsid w:val="07F29D4B"/>
    <w:rsid w:val="08A24271"/>
    <w:rsid w:val="08A82123"/>
    <w:rsid w:val="08AA5A3B"/>
    <w:rsid w:val="08C47F9C"/>
    <w:rsid w:val="08D0D4A4"/>
    <w:rsid w:val="08D519BA"/>
    <w:rsid w:val="093E4459"/>
    <w:rsid w:val="096E5B79"/>
    <w:rsid w:val="09760437"/>
    <w:rsid w:val="098498BA"/>
    <w:rsid w:val="0995919A"/>
    <w:rsid w:val="09D506D7"/>
    <w:rsid w:val="09D69D32"/>
    <w:rsid w:val="09D740B9"/>
    <w:rsid w:val="0A1AB1DD"/>
    <w:rsid w:val="0A222B4A"/>
    <w:rsid w:val="0A26469D"/>
    <w:rsid w:val="0A4D1FE9"/>
    <w:rsid w:val="0A99A567"/>
    <w:rsid w:val="0A99A8C8"/>
    <w:rsid w:val="0AA1B3EA"/>
    <w:rsid w:val="0AB230D0"/>
    <w:rsid w:val="0ABBE82A"/>
    <w:rsid w:val="0AE1108E"/>
    <w:rsid w:val="0B0A0A46"/>
    <w:rsid w:val="0B4BD48A"/>
    <w:rsid w:val="0B76FF42"/>
    <w:rsid w:val="0B957D21"/>
    <w:rsid w:val="0BB72D1E"/>
    <w:rsid w:val="0BC174F9"/>
    <w:rsid w:val="0C0249CC"/>
    <w:rsid w:val="0C094956"/>
    <w:rsid w:val="0C28E728"/>
    <w:rsid w:val="0C84C1DD"/>
    <w:rsid w:val="0C942AFA"/>
    <w:rsid w:val="0C95CCAC"/>
    <w:rsid w:val="0CA45796"/>
    <w:rsid w:val="0CD5D890"/>
    <w:rsid w:val="0CD77F9A"/>
    <w:rsid w:val="0CDB4B1C"/>
    <w:rsid w:val="0CE7D57D"/>
    <w:rsid w:val="0D18908C"/>
    <w:rsid w:val="0D55E90C"/>
    <w:rsid w:val="0D71FD12"/>
    <w:rsid w:val="0D8CAF11"/>
    <w:rsid w:val="0D989695"/>
    <w:rsid w:val="0DA87CCA"/>
    <w:rsid w:val="0DE3197F"/>
    <w:rsid w:val="0E0AA36E"/>
    <w:rsid w:val="0E18FE35"/>
    <w:rsid w:val="0E2CEE67"/>
    <w:rsid w:val="0E2F8232"/>
    <w:rsid w:val="0E448A1B"/>
    <w:rsid w:val="0E6B06C1"/>
    <w:rsid w:val="0E8CC4CE"/>
    <w:rsid w:val="0E9A5053"/>
    <w:rsid w:val="0EA9D467"/>
    <w:rsid w:val="0EBF6A77"/>
    <w:rsid w:val="0EC1AC96"/>
    <w:rsid w:val="0EF1B96D"/>
    <w:rsid w:val="0EF2E33F"/>
    <w:rsid w:val="0F15A1B0"/>
    <w:rsid w:val="0F4A92B9"/>
    <w:rsid w:val="0F78CE02"/>
    <w:rsid w:val="0F7C0B67"/>
    <w:rsid w:val="0FCDC211"/>
    <w:rsid w:val="0FDB2E9F"/>
    <w:rsid w:val="101C14B2"/>
    <w:rsid w:val="1020E3F0"/>
    <w:rsid w:val="1026DFAE"/>
    <w:rsid w:val="103DB728"/>
    <w:rsid w:val="10533A83"/>
    <w:rsid w:val="1091D0E2"/>
    <w:rsid w:val="10B01E47"/>
    <w:rsid w:val="10E2B76A"/>
    <w:rsid w:val="10E91A4A"/>
    <w:rsid w:val="114EDC71"/>
    <w:rsid w:val="11A0CF08"/>
    <w:rsid w:val="11A3766C"/>
    <w:rsid w:val="12190AB4"/>
    <w:rsid w:val="12210CB2"/>
    <w:rsid w:val="122292C5"/>
    <w:rsid w:val="1223484C"/>
    <w:rsid w:val="12262A26"/>
    <w:rsid w:val="12681DF6"/>
    <w:rsid w:val="1286470E"/>
    <w:rsid w:val="1287830C"/>
    <w:rsid w:val="12A4C77C"/>
    <w:rsid w:val="12AE9EAB"/>
    <w:rsid w:val="12C930B6"/>
    <w:rsid w:val="12FF465E"/>
    <w:rsid w:val="13020AE5"/>
    <w:rsid w:val="131EBD02"/>
    <w:rsid w:val="1351A512"/>
    <w:rsid w:val="13544C6E"/>
    <w:rsid w:val="13748AA5"/>
    <w:rsid w:val="13813E5A"/>
    <w:rsid w:val="139C4AD4"/>
    <w:rsid w:val="13FC8B73"/>
    <w:rsid w:val="1428F1D9"/>
    <w:rsid w:val="142BF055"/>
    <w:rsid w:val="143989A7"/>
    <w:rsid w:val="1459EB90"/>
    <w:rsid w:val="146FAED4"/>
    <w:rsid w:val="14838747"/>
    <w:rsid w:val="1485AA1B"/>
    <w:rsid w:val="148C9BA0"/>
    <w:rsid w:val="14AE2CDA"/>
    <w:rsid w:val="150F06CA"/>
    <w:rsid w:val="15419BA4"/>
    <w:rsid w:val="155C1719"/>
    <w:rsid w:val="1581D0FE"/>
    <w:rsid w:val="15A78AEF"/>
    <w:rsid w:val="15D34339"/>
    <w:rsid w:val="15E5B89F"/>
    <w:rsid w:val="15FD248A"/>
    <w:rsid w:val="15FD9E5D"/>
    <w:rsid w:val="16020F79"/>
    <w:rsid w:val="161C4D64"/>
    <w:rsid w:val="16206BBA"/>
    <w:rsid w:val="1620EF56"/>
    <w:rsid w:val="162EB42F"/>
    <w:rsid w:val="163AD4DD"/>
    <w:rsid w:val="1644177F"/>
    <w:rsid w:val="16682DE3"/>
    <w:rsid w:val="16ABC236"/>
    <w:rsid w:val="16E9035E"/>
    <w:rsid w:val="16FC8622"/>
    <w:rsid w:val="17409351"/>
    <w:rsid w:val="174CC546"/>
    <w:rsid w:val="17912CAE"/>
    <w:rsid w:val="17AD6AF3"/>
    <w:rsid w:val="17CEEA6C"/>
    <w:rsid w:val="17E7634E"/>
    <w:rsid w:val="1802F59B"/>
    <w:rsid w:val="183584E1"/>
    <w:rsid w:val="1840F0E9"/>
    <w:rsid w:val="1845E105"/>
    <w:rsid w:val="1870A61D"/>
    <w:rsid w:val="187C257D"/>
    <w:rsid w:val="18AEC78D"/>
    <w:rsid w:val="18B640C2"/>
    <w:rsid w:val="18C5815F"/>
    <w:rsid w:val="18DB240C"/>
    <w:rsid w:val="19010978"/>
    <w:rsid w:val="190708BD"/>
    <w:rsid w:val="192026C4"/>
    <w:rsid w:val="192211E6"/>
    <w:rsid w:val="1924361E"/>
    <w:rsid w:val="1953A948"/>
    <w:rsid w:val="19F5220D"/>
    <w:rsid w:val="19FF470B"/>
    <w:rsid w:val="1A1A43A1"/>
    <w:rsid w:val="1A447718"/>
    <w:rsid w:val="1A526F6D"/>
    <w:rsid w:val="1AA02319"/>
    <w:rsid w:val="1AA5A2AD"/>
    <w:rsid w:val="1AC34D72"/>
    <w:rsid w:val="1AC9B12D"/>
    <w:rsid w:val="1AD2FD73"/>
    <w:rsid w:val="1AF5D784"/>
    <w:rsid w:val="1B1F48CE"/>
    <w:rsid w:val="1B2A729E"/>
    <w:rsid w:val="1B5AC6F7"/>
    <w:rsid w:val="1B934784"/>
    <w:rsid w:val="1BE1B4F7"/>
    <w:rsid w:val="1C4E9E2A"/>
    <w:rsid w:val="1C901B7F"/>
    <w:rsid w:val="1CF9BD6B"/>
    <w:rsid w:val="1CFE44AD"/>
    <w:rsid w:val="1D0DB11C"/>
    <w:rsid w:val="1D18984B"/>
    <w:rsid w:val="1D38FEDF"/>
    <w:rsid w:val="1D8658BD"/>
    <w:rsid w:val="1DA98B30"/>
    <w:rsid w:val="1DDD800C"/>
    <w:rsid w:val="1DECDD0B"/>
    <w:rsid w:val="1E240C4E"/>
    <w:rsid w:val="1E4CB8EE"/>
    <w:rsid w:val="1EC32E3A"/>
    <w:rsid w:val="1EC6BCA9"/>
    <w:rsid w:val="1F1F2BE9"/>
    <w:rsid w:val="1F2F9A00"/>
    <w:rsid w:val="1F58315C"/>
    <w:rsid w:val="1F5AD4CE"/>
    <w:rsid w:val="1F5E0145"/>
    <w:rsid w:val="1FBCBA0F"/>
    <w:rsid w:val="1FE23095"/>
    <w:rsid w:val="20101CA8"/>
    <w:rsid w:val="2011A471"/>
    <w:rsid w:val="2011DE75"/>
    <w:rsid w:val="201206F6"/>
    <w:rsid w:val="201CFAA5"/>
    <w:rsid w:val="202C2981"/>
    <w:rsid w:val="202CAB15"/>
    <w:rsid w:val="20530269"/>
    <w:rsid w:val="20760B18"/>
    <w:rsid w:val="207FEFF6"/>
    <w:rsid w:val="20C005E5"/>
    <w:rsid w:val="20D3ED9E"/>
    <w:rsid w:val="20DA2C37"/>
    <w:rsid w:val="20DD684C"/>
    <w:rsid w:val="20FCA72A"/>
    <w:rsid w:val="214F4345"/>
    <w:rsid w:val="216DF73B"/>
    <w:rsid w:val="218D9480"/>
    <w:rsid w:val="2197F015"/>
    <w:rsid w:val="219AD154"/>
    <w:rsid w:val="21C94774"/>
    <w:rsid w:val="21DF5C1A"/>
    <w:rsid w:val="21E89A22"/>
    <w:rsid w:val="22385794"/>
    <w:rsid w:val="224376B5"/>
    <w:rsid w:val="227E6CCF"/>
    <w:rsid w:val="23163779"/>
    <w:rsid w:val="23206423"/>
    <w:rsid w:val="232105B8"/>
    <w:rsid w:val="2342DE17"/>
    <w:rsid w:val="23453606"/>
    <w:rsid w:val="2347DC08"/>
    <w:rsid w:val="236BC4D2"/>
    <w:rsid w:val="238AA16A"/>
    <w:rsid w:val="23941A6F"/>
    <w:rsid w:val="23BB7652"/>
    <w:rsid w:val="23BEC894"/>
    <w:rsid w:val="23D0C690"/>
    <w:rsid w:val="240C8E09"/>
    <w:rsid w:val="2425D76C"/>
    <w:rsid w:val="245E1C7F"/>
    <w:rsid w:val="246764E9"/>
    <w:rsid w:val="2468BFF8"/>
    <w:rsid w:val="24A4EE3E"/>
    <w:rsid w:val="24D4636A"/>
    <w:rsid w:val="24E0B970"/>
    <w:rsid w:val="24E9A74B"/>
    <w:rsid w:val="24ED4302"/>
    <w:rsid w:val="24F0D9CD"/>
    <w:rsid w:val="24FD6C24"/>
    <w:rsid w:val="24FE04BF"/>
    <w:rsid w:val="2504DE81"/>
    <w:rsid w:val="250E690D"/>
    <w:rsid w:val="254613FF"/>
    <w:rsid w:val="2548B439"/>
    <w:rsid w:val="255A30A4"/>
    <w:rsid w:val="2589072E"/>
    <w:rsid w:val="25939EA0"/>
    <w:rsid w:val="2595730D"/>
    <w:rsid w:val="25C76921"/>
    <w:rsid w:val="25DCE182"/>
    <w:rsid w:val="2643827F"/>
    <w:rsid w:val="26475E21"/>
    <w:rsid w:val="2653C71D"/>
    <w:rsid w:val="266D6D35"/>
    <w:rsid w:val="269E84EF"/>
    <w:rsid w:val="26CAD103"/>
    <w:rsid w:val="26E4EAE3"/>
    <w:rsid w:val="26FBCC9F"/>
    <w:rsid w:val="2700E224"/>
    <w:rsid w:val="2711EB89"/>
    <w:rsid w:val="275E5110"/>
    <w:rsid w:val="2771E582"/>
    <w:rsid w:val="277C3C64"/>
    <w:rsid w:val="27934F9E"/>
    <w:rsid w:val="27D716F6"/>
    <w:rsid w:val="27E263D6"/>
    <w:rsid w:val="27E3697A"/>
    <w:rsid w:val="27F33F33"/>
    <w:rsid w:val="2833A479"/>
    <w:rsid w:val="2851844F"/>
    <w:rsid w:val="2874DAE4"/>
    <w:rsid w:val="288956FA"/>
    <w:rsid w:val="28934370"/>
    <w:rsid w:val="28A1A470"/>
    <w:rsid w:val="28D0B382"/>
    <w:rsid w:val="28E7CCA7"/>
    <w:rsid w:val="290028D2"/>
    <w:rsid w:val="292760B8"/>
    <w:rsid w:val="293A958D"/>
    <w:rsid w:val="2940A56B"/>
    <w:rsid w:val="294C5D43"/>
    <w:rsid w:val="294D27FE"/>
    <w:rsid w:val="2954189C"/>
    <w:rsid w:val="29628872"/>
    <w:rsid w:val="298417FE"/>
    <w:rsid w:val="2987C287"/>
    <w:rsid w:val="298B35F9"/>
    <w:rsid w:val="2A195999"/>
    <w:rsid w:val="2A39BED4"/>
    <w:rsid w:val="2A4FA23A"/>
    <w:rsid w:val="2A55B20C"/>
    <w:rsid w:val="2A78C44A"/>
    <w:rsid w:val="2A9B5B8E"/>
    <w:rsid w:val="2AAB63D6"/>
    <w:rsid w:val="2AB3788B"/>
    <w:rsid w:val="2ACE8296"/>
    <w:rsid w:val="2AF41D1F"/>
    <w:rsid w:val="2B078BCD"/>
    <w:rsid w:val="2B6CB3FC"/>
    <w:rsid w:val="2B7BC2D2"/>
    <w:rsid w:val="2BDB142A"/>
    <w:rsid w:val="2C01EE53"/>
    <w:rsid w:val="2C37B044"/>
    <w:rsid w:val="2C3CDEC1"/>
    <w:rsid w:val="2C3F8F53"/>
    <w:rsid w:val="2C42D0B7"/>
    <w:rsid w:val="2C87087D"/>
    <w:rsid w:val="2C871BD4"/>
    <w:rsid w:val="2CA19712"/>
    <w:rsid w:val="2CBC4BE7"/>
    <w:rsid w:val="2CCF227C"/>
    <w:rsid w:val="2CDEAE99"/>
    <w:rsid w:val="2CEBE1B5"/>
    <w:rsid w:val="2CF3D6B5"/>
    <w:rsid w:val="2D00C8A8"/>
    <w:rsid w:val="2D8A7D7D"/>
    <w:rsid w:val="2D94440E"/>
    <w:rsid w:val="2D97543F"/>
    <w:rsid w:val="2DFCF31A"/>
    <w:rsid w:val="2E0566E0"/>
    <w:rsid w:val="2E30DE97"/>
    <w:rsid w:val="2E38EFB9"/>
    <w:rsid w:val="2E58A362"/>
    <w:rsid w:val="2E6EF563"/>
    <w:rsid w:val="2E796D97"/>
    <w:rsid w:val="2EF1E6BE"/>
    <w:rsid w:val="2F0DBF66"/>
    <w:rsid w:val="2F1772DE"/>
    <w:rsid w:val="2F34B6EA"/>
    <w:rsid w:val="2F39A62A"/>
    <w:rsid w:val="2F3E9692"/>
    <w:rsid w:val="2F41D859"/>
    <w:rsid w:val="2F424326"/>
    <w:rsid w:val="2F4F92C4"/>
    <w:rsid w:val="2F53434E"/>
    <w:rsid w:val="2F55D668"/>
    <w:rsid w:val="2F991969"/>
    <w:rsid w:val="2FAC02C4"/>
    <w:rsid w:val="2FAEEEF5"/>
    <w:rsid w:val="2FDBC1F7"/>
    <w:rsid w:val="2FE044BD"/>
    <w:rsid w:val="2FF1AF41"/>
    <w:rsid w:val="301C18C3"/>
    <w:rsid w:val="30501630"/>
    <w:rsid w:val="3085E0BB"/>
    <w:rsid w:val="30917FA2"/>
    <w:rsid w:val="3098A490"/>
    <w:rsid w:val="30E6F260"/>
    <w:rsid w:val="31197A23"/>
    <w:rsid w:val="3145CD4F"/>
    <w:rsid w:val="316074BE"/>
    <w:rsid w:val="3170EEA7"/>
    <w:rsid w:val="31ADE6EC"/>
    <w:rsid w:val="31B4742E"/>
    <w:rsid w:val="31C7B773"/>
    <w:rsid w:val="31E38B31"/>
    <w:rsid w:val="31F1F282"/>
    <w:rsid w:val="327BDE81"/>
    <w:rsid w:val="327F3EE5"/>
    <w:rsid w:val="32BA5D2C"/>
    <w:rsid w:val="32C8EAB6"/>
    <w:rsid w:val="32E6018B"/>
    <w:rsid w:val="33000C47"/>
    <w:rsid w:val="3314EC6F"/>
    <w:rsid w:val="332140E7"/>
    <w:rsid w:val="3339CF44"/>
    <w:rsid w:val="3344845E"/>
    <w:rsid w:val="33D3C84E"/>
    <w:rsid w:val="34171219"/>
    <w:rsid w:val="3420D92F"/>
    <w:rsid w:val="34441BEB"/>
    <w:rsid w:val="344D309E"/>
    <w:rsid w:val="344F7A82"/>
    <w:rsid w:val="3486A6C2"/>
    <w:rsid w:val="34ADB954"/>
    <w:rsid w:val="34E2D53A"/>
    <w:rsid w:val="34EB8490"/>
    <w:rsid w:val="34F64270"/>
    <w:rsid w:val="35059CC9"/>
    <w:rsid w:val="3523C732"/>
    <w:rsid w:val="3543E76B"/>
    <w:rsid w:val="3567024E"/>
    <w:rsid w:val="3569083D"/>
    <w:rsid w:val="35750548"/>
    <w:rsid w:val="35BCB659"/>
    <w:rsid w:val="35E1BA64"/>
    <w:rsid w:val="3657F862"/>
    <w:rsid w:val="365BA8D0"/>
    <w:rsid w:val="368179FE"/>
    <w:rsid w:val="372AF1C1"/>
    <w:rsid w:val="372DBD1C"/>
    <w:rsid w:val="37483615"/>
    <w:rsid w:val="37995205"/>
    <w:rsid w:val="37C34BFB"/>
    <w:rsid w:val="37CD455E"/>
    <w:rsid w:val="37D72C63"/>
    <w:rsid w:val="37F73D89"/>
    <w:rsid w:val="38007293"/>
    <w:rsid w:val="3804FB0F"/>
    <w:rsid w:val="380EB60E"/>
    <w:rsid w:val="38292F54"/>
    <w:rsid w:val="38446661"/>
    <w:rsid w:val="389308B8"/>
    <w:rsid w:val="38A7A8B1"/>
    <w:rsid w:val="38BBD85D"/>
    <w:rsid w:val="38D5C750"/>
    <w:rsid w:val="38FFFBC6"/>
    <w:rsid w:val="3906A2E5"/>
    <w:rsid w:val="3911281A"/>
    <w:rsid w:val="3920AA74"/>
    <w:rsid w:val="392A6874"/>
    <w:rsid w:val="397B6A00"/>
    <w:rsid w:val="3A5FA04F"/>
    <w:rsid w:val="3A7122D3"/>
    <w:rsid w:val="3AC8D8E6"/>
    <w:rsid w:val="3B2E2D5D"/>
    <w:rsid w:val="3B45D440"/>
    <w:rsid w:val="3B9EFB49"/>
    <w:rsid w:val="3BA3E1E4"/>
    <w:rsid w:val="3BA4EBF5"/>
    <w:rsid w:val="3BD69F78"/>
    <w:rsid w:val="3BE7D4DB"/>
    <w:rsid w:val="3BFA6DA8"/>
    <w:rsid w:val="3C0FD44B"/>
    <w:rsid w:val="3C830856"/>
    <w:rsid w:val="3CA55BB7"/>
    <w:rsid w:val="3CAFA3DC"/>
    <w:rsid w:val="3D124B5D"/>
    <w:rsid w:val="3D40FB53"/>
    <w:rsid w:val="3D43E5C4"/>
    <w:rsid w:val="3D4EBF01"/>
    <w:rsid w:val="3D6A40D8"/>
    <w:rsid w:val="3DA00E0D"/>
    <w:rsid w:val="3DB3FE9D"/>
    <w:rsid w:val="3DBA2F48"/>
    <w:rsid w:val="3DCBEAFD"/>
    <w:rsid w:val="3DD725B7"/>
    <w:rsid w:val="3DF2515F"/>
    <w:rsid w:val="3DF647F2"/>
    <w:rsid w:val="3DFCAD2D"/>
    <w:rsid w:val="3E0BBF3C"/>
    <w:rsid w:val="3E198820"/>
    <w:rsid w:val="3E1C3154"/>
    <w:rsid w:val="3E34DDE5"/>
    <w:rsid w:val="3E42FA0F"/>
    <w:rsid w:val="3E4D9B9C"/>
    <w:rsid w:val="3E800D99"/>
    <w:rsid w:val="3E904439"/>
    <w:rsid w:val="3EA6B5CF"/>
    <w:rsid w:val="3EC6DFC6"/>
    <w:rsid w:val="3EE992B2"/>
    <w:rsid w:val="3F1587AE"/>
    <w:rsid w:val="3F451157"/>
    <w:rsid w:val="3F727821"/>
    <w:rsid w:val="3F73B72E"/>
    <w:rsid w:val="3FADEF52"/>
    <w:rsid w:val="3FB3E78A"/>
    <w:rsid w:val="3FC61A2E"/>
    <w:rsid w:val="400032C0"/>
    <w:rsid w:val="4016ACE7"/>
    <w:rsid w:val="403257AE"/>
    <w:rsid w:val="404B78FC"/>
    <w:rsid w:val="4051FB81"/>
    <w:rsid w:val="405F6E52"/>
    <w:rsid w:val="40614B3C"/>
    <w:rsid w:val="4070869D"/>
    <w:rsid w:val="40CCCECF"/>
    <w:rsid w:val="41265721"/>
    <w:rsid w:val="412E7B9D"/>
    <w:rsid w:val="415EFFA2"/>
    <w:rsid w:val="41656321"/>
    <w:rsid w:val="4166F97C"/>
    <w:rsid w:val="416D9F26"/>
    <w:rsid w:val="417341D2"/>
    <w:rsid w:val="41785E65"/>
    <w:rsid w:val="41A2C828"/>
    <w:rsid w:val="41B27D48"/>
    <w:rsid w:val="41C6F8DA"/>
    <w:rsid w:val="41E84559"/>
    <w:rsid w:val="41EB03BA"/>
    <w:rsid w:val="420E8980"/>
    <w:rsid w:val="421649E7"/>
    <w:rsid w:val="426F966A"/>
    <w:rsid w:val="4274155C"/>
    <w:rsid w:val="427B1063"/>
    <w:rsid w:val="42AA07BB"/>
    <w:rsid w:val="42ABF425"/>
    <w:rsid w:val="42AC1C74"/>
    <w:rsid w:val="42B9B142"/>
    <w:rsid w:val="42CAB2DC"/>
    <w:rsid w:val="42E125D3"/>
    <w:rsid w:val="42EC34E3"/>
    <w:rsid w:val="43021048"/>
    <w:rsid w:val="4314F5CE"/>
    <w:rsid w:val="4354216B"/>
    <w:rsid w:val="439D8E5D"/>
    <w:rsid w:val="43B2FD5F"/>
    <w:rsid w:val="43C9D9FF"/>
    <w:rsid w:val="43CCE5E6"/>
    <w:rsid w:val="43E06645"/>
    <w:rsid w:val="43E6B70D"/>
    <w:rsid w:val="43E6E644"/>
    <w:rsid w:val="43EBF03B"/>
    <w:rsid w:val="4420BFA2"/>
    <w:rsid w:val="44352FEB"/>
    <w:rsid w:val="44725DA6"/>
    <w:rsid w:val="44752A4F"/>
    <w:rsid w:val="448D357A"/>
    <w:rsid w:val="44D60111"/>
    <w:rsid w:val="44D68433"/>
    <w:rsid w:val="44E9058C"/>
    <w:rsid w:val="44EDEABB"/>
    <w:rsid w:val="44F81DD6"/>
    <w:rsid w:val="450BBC33"/>
    <w:rsid w:val="451C6E72"/>
    <w:rsid w:val="4544529F"/>
    <w:rsid w:val="455552C7"/>
    <w:rsid w:val="455DA49B"/>
    <w:rsid w:val="45670FF5"/>
    <w:rsid w:val="45728CA9"/>
    <w:rsid w:val="4584BDA3"/>
    <w:rsid w:val="45A9B71A"/>
    <w:rsid w:val="45CACB6C"/>
    <w:rsid w:val="45F101CD"/>
    <w:rsid w:val="46093528"/>
    <w:rsid w:val="461AC3CF"/>
    <w:rsid w:val="461B0CCB"/>
    <w:rsid w:val="4636D44F"/>
    <w:rsid w:val="463B6874"/>
    <w:rsid w:val="46818B57"/>
    <w:rsid w:val="46A20998"/>
    <w:rsid w:val="46C8F3CB"/>
    <w:rsid w:val="46DF7F36"/>
    <w:rsid w:val="470E78F7"/>
    <w:rsid w:val="47165152"/>
    <w:rsid w:val="473AD519"/>
    <w:rsid w:val="47578EAD"/>
    <w:rsid w:val="47677A93"/>
    <w:rsid w:val="477AAEBB"/>
    <w:rsid w:val="47949F33"/>
    <w:rsid w:val="47AFC824"/>
    <w:rsid w:val="47F4424B"/>
    <w:rsid w:val="4805D07A"/>
    <w:rsid w:val="4808D0B3"/>
    <w:rsid w:val="4821F925"/>
    <w:rsid w:val="48323EAE"/>
    <w:rsid w:val="48535583"/>
    <w:rsid w:val="48612ECE"/>
    <w:rsid w:val="4873E253"/>
    <w:rsid w:val="48747054"/>
    <w:rsid w:val="488CDA61"/>
    <w:rsid w:val="488FED59"/>
    <w:rsid w:val="489D5430"/>
    <w:rsid w:val="48AEA50D"/>
    <w:rsid w:val="48FA1CA4"/>
    <w:rsid w:val="493FF483"/>
    <w:rsid w:val="494ED9CF"/>
    <w:rsid w:val="4956FC92"/>
    <w:rsid w:val="496E7511"/>
    <w:rsid w:val="496FB22C"/>
    <w:rsid w:val="49B062D2"/>
    <w:rsid w:val="49E9A4D9"/>
    <w:rsid w:val="4A0C83E1"/>
    <w:rsid w:val="4A4A52F3"/>
    <w:rsid w:val="4A51F85D"/>
    <w:rsid w:val="4A52E605"/>
    <w:rsid w:val="4A65F012"/>
    <w:rsid w:val="4A93328B"/>
    <w:rsid w:val="4AAB893D"/>
    <w:rsid w:val="4ABC20C4"/>
    <w:rsid w:val="4AFA7887"/>
    <w:rsid w:val="4B9319A4"/>
    <w:rsid w:val="4BB149AE"/>
    <w:rsid w:val="4BB7DBE9"/>
    <w:rsid w:val="4BC6F0EB"/>
    <w:rsid w:val="4BD0EC1B"/>
    <w:rsid w:val="4BEB8C85"/>
    <w:rsid w:val="4C0648E2"/>
    <w:rsid w:val="4C1EB8C8"/>
    <w:rsid w:val="4C1FED5E"/>
    <w:rsid w:val="4C29B069"/>
    <w:rsid w:val="4C52212D"/>
    <w:rsid w:val="4C541B15"/>
    <w:rsid w:val="4C906B6B"/>
    <w:rsid w:val="4C9D67C7"/>
    <w:rsid w:val="4CA09C3B"/>
    <w:rsid w:val="4CA615D3"/>
    <w:rsid w:val="4CCC3860"/>
    <w:rsid w:val="4CF5D95C"/>
    <w:rsid w:val="4D02D69C"/>
    <w:rsid w:val="4D24FB66"/>
    <w:rsid w:val="4D25BDE3"/>
    <w:rsid w:val="4D473811"/>
    <w:rsid w:val="4D4D339E"/>
    <w:rsid w:val="4D666AFC"/>
    <w:rsid w:val="4D6D2928"/>
    <w:rsid w:val="4DB034B0"/>
    <w:rsid w:val="4DBB6F3C"/>
    <w:rsid w:val="4DCAD34D"/>
    <w:rsid w:val="4E0BDECB"/>
    <w:rsid w:val="4E136AE0"/>
    <w:rsid w:val="4E2F9936"/>
    <w:rsid w:val="4E41E634"/>
    <w:rsid w:val="4E49128E"/>
    <w:rsid w:val="4E7D3CF9"/>
    <w:rsid w:val="4E88A21D"/>
    <w:rsid w:val="4EA76ECA"/>
    <w:rsid w:val="4EA833F3"/>
    <w:rsid w:val="4EDB1FBD"/>
    <w:rsid w:val="4EE549ED"/>
    <w:rsid w:val="4EEFD7F2"/>
    <w:rsid w:val="4F109929"/>
    <w:rsid w:val="4F54E4A5"/>
    <w:rsid w:val="4F812EA4"/>
    <w:rsid w:val="4F9B2A0F"/>
    <w:rsid w:val="4FA82C06"/>
    <w:rsid w:val="4FB54C9A"/>
    <w:rsid w:val="4FBE8203"/>
    <w:rsid w:val="4FE251E7"/>
    <w:rsid w:val="500434BC"/>
    <w:rsid w:val="5020C6DA"/>
    <w:rsid w:val="502486EC"/>
    <w:rsid w:val="5029C6CD"/>
    <w:rsid w:val="502BFB39"/>
    <w:rsid w:val="507AA61A"/>
    <w:rsid w:val="5099D31E"/>
    <w:rsid w:val="50D919D8"/>
    <w:rsid w:val="50E0E127"/>
    <w:rsid w:val="50E12D98"/>
    <w:rsid w:val="5166D101"/>
    <w:rsid w:val="5177B208"/>
    <w:rsid w:val="518F17E9"/>
    <w:rsid w:val="519D0B1D"/>
    <w:rsid w:val="51A99C89"/>
    <w:rsid w:val="51AC36E0"/>
    <w:rsid w:val="51B51A9E"/>
    <w:rsid w:val="51E064B4"/>
    <w:rsid w:val="51E3E7D6"/>
    <w:rsid w:val="522AD8DD"/>
    <w:rsid w:val="52309DE3"/>
    <w:rsid w:val="52813776"/>
    <w:rsid w:val="52D72FBC"/>
    <w:rsid w:val="530F4DF7"/>
    <w:rsid w:val="533D1E7B"/>
    <w:rsid w:val="5362F1AB"/>
    <w:rsid w:val="53658E5D"/>
    <w:rsid w:val="5372FDA4"/>
    <w:rsid w:val="53872E2F"/>
    <w:rsid w:val="53A4D2F7"/>
    <w:rsid w:val="53A90E28"/>
    <w:rsid w:val="53CFD463"/>
    <w:rsid w:val="53E1FA27"/>
    <w:rsid w:val="53E222D0"/>
    <w:rsid w:val="53E91822"/>
    <w:rsid w:val="5421D3BB"/>
    <w:rsid w:val="543D55A4"/>
    <w:rsid w:val="5492A682"/>
    <w:rsid w:val="54E0E5F5"/>
    <w:rsid w:val="550829FB"/>
    <w:rsid w:val="5525FDFC"/>
    <w:rsid w:val="55914114"/>
    <w:rsid w:val="55A21DD6"/>
    <w:rsid w:val="55A71851"/>
    <w:rsid w:val="55ACBA17"/>
    <w:rsid w:val="55C076EB"/>
    <w:rsid w:val="55D57659"/>
    <w:rsid w:val="55ECC93E"/>
    <w:rsid w:val="5618E4E9"/>
    <w:rsid w:val="561FD672"/>
    <w:rsid w:val="5631D002"/>
    <w:rsid w:val="5636ADD9"/>
    <w:rsid w:val="56381792"/>
    <w:rsid w:val="56533A7A"/>
    <w:rsid w:val="56AABB94"/>
    <w:rsid w:val="570687A6"/>
    <w:rsid w:val="5714A9F9"/>
    <w:rsid w:val="573AA6BB"/>
    <w:rsid w:val="57583F4F"/>
    <w:rsid w:val="57C7988B"/>
    <w:rsid w:val="57D43419"/>
    <w:rsid w:val="57E79E4E"/>
    <w:rsid w:val="57E9C8EA"/>
    <w:rsid w:val="57EBBA1F"/>
    <w:rsid w:val="5847E030"/>
    <w:rsid w:val="587C5AF0"/>
    <w:rsid w:val="588A0E01"/>
    <w:rsid w:val="58AC361D"/>
    <w:rsid w:val="58ADFFFA"/>
    <w:rsid w:val="58CE0710"/>
    <w:rsid w:val="58D3D00B"/>
    <w:rsid w:val="58E1138A"/>
    <w:rsid w:val="58ED2854"/>
    <w:rsid w:val="58F3B5C0"/>
    <w:rsid w:val="5921DF25"/>
    <w:rsid w:val="592C44CE"/>
    <w:rsid w:val="59864098"/>
    <w:rsid w:val="59AC4598"/>
    <w:rsid w:val="59CE44C6"/>
    <w:rsid w:val="59D9C6E7"/>
    <w:rsid w:val="5A1AC1AF"/>
    <w:rsid w:val="5A27847F"/>
    <w:rsid w:val="5A287A3F"/>
    <w:rsid w:val="5A350E54"/>
    <w:rsid w:val="5A5016A9"/>
    <w:rsid w:val="5AAEC753"/>
    <w:rsid w:val="5AE0E913"/>
    <w:rsid w:val="5AE69DEC"/>
    <w:rsid w:val="5AE9CD9B"/>
    <w:rsid w:val="5AFC5CCA"/>
    <w:rsid w:val="5B2B8818"/>
    <w:rsid w:val="5B3CB0C4"/>
    <w:rsid w:val="5B64B13D"/>
    <w:rsid w:val="5B7CA0AF"/>
    <w:rsid w:val="5B7D7E93"/>
    <w:rsid w:val="5B90B77B"/>
    <w:rsid w:val="5B950202"/>
    <w:rsid w:val="5BB45D65"/>
    <w:rsid w:val="5BD36EFA"/>
    <w:rsid w:val="5BDB73B4"/>
    <w:rsid w:val="5BEF116F"/>
    <w:rsid w:val="5C2CBCCE"/>
    <w:rsid w:val="5C465252"/>
    <w:rsid w:val="5C5D1F48"/>
    <w:rsid w:val="5C683DFC"/>
    <w:rsid w:val="5C7B2FFE"/>
    <w:rsid w:val="5C84F542"/>
    <w:rsid w:val="5C87CECE"/>
    <w:rsid w:val="5C912785"/>
    <w:rsid w:val="5C9A86B9"/>
    <w:rsid w:val="5CA07EE1"/>
    <w:rsid w:val="5CA4056B"/>
    <w:rsid w:val="5CAF0240"/>
    <w:rsid w:val="5CBE4BB7"/>
    <w:rsid w:val="5CC42723"/>
    <w:rsid w:val="5CCA434A"/>
    <w:rsid w:val="5CD64FD1"/>
    <w:rsid w:val="5D342B3D"/>
    <w:rsid w:val="5D357955"/>
    <w:rsid w:val="5D42A8B0"/>
    <w:rsid w:val="5D4BAEDC"/>
    <w:rsid w:val="5D8807CD"/>
    <w:rsid w:val="5DDC0558"/>
    <w:rsid w:val="5E1FB200"/>
    <w:rsid w:val="5E26A758"/>
    <w:rsid w:val="5EA81568"/>
    <w:rsid w:val="5EDFACDA"/>
    <w:rsid w:val="5EE0B9AE"/>
    <w:rsid w:val="5EE4A1CB"/>
    <w:rsid w:val="5EFB3723"/>
    <w:rsid w:val="5F1DD0EB"/>
    <w:rsid w:val="5F2362F6"/>
    <w:rsid w:val="5F450FA5"/>
    <w:rsid w:val="5F6D8B95"/>
    <w:rsid w:val="5F9285AD"/>
    <w:rsid w:val="5FB095B5"/>
    <w:rsid w:val="5FE9B1EC"/>
    <w:rsid w:val="6020F20D"/>
    <w:rsid w:val="6031BBC2"/>
    <w:rsid w:val="6052B732"/>
    <w:rsid w:val="60569636"/>
    <w:rsid w:val="60642469"/>
    <w:rsid w:val="607976D0"/>
    <w:rsid w:val="60B54B35"/>
    <w:rsid w:val="60CE5196"/>
    <w:rsid w:val="60E46FEB"/>
    <w:rsid w:val="614B07F9"/>
    <w:rsid w:val="61574B73"/>
    <w:rsid w:val="61782DB9"/>
    <w:rsid w:val="61D465F1"/>
    <w:rsid w:val="620C15CC"/>
    <w:rsid w:val="622FBEE5"/>
    <w:rsid w:val="62325459"/>
    <w:rsid w:val="62479F46"/>
    <w:rsid w:val="624FE347"/>
    <w:rsid w:val="6260C017"/>
    <w:rsid w:val="6263B551"/>
    <w:rsid w:val="62A6420D"/>
    <w:rsid w:val="62CE68A1"/>
    <w:rsid w:val="632430A6"/>
    <w:rsid w:val="6341E0F7"/>
    <w:rsid w:val="6344C70C"/>
    <w:rsid w:val="634811CC"/>
    <w:rsid w:val="636B9E6B"/>
    <w:rsid w:val="6381B9CD"/>
    <w:rsid w:val="63974A7A"/>
    <w:rsid w:val="63A75D90"/>
    <w:rsid w:val="63C29985"/>
    <w:rsid w:val="63D49211"/>
    <w:rsid w:val="63ED94F0"/>
    <w:rsid w:val="6402124D"/>
    <w:rsid w:val="64083662"/>
    <w:rsid w:val="641AA643"/>
    <w:rsid w:val="64325459"/>
    <w:rsid w:val="646D289A"/>
    <w:rsid w:val="647D41E3"/>
    <w:rsid w:val="649CE19C"/>
    <w:rsid w:val="64A20963"/>
    <w:rsid w:val="64DDB158"/>
    <w:rsid w:val="652D61A0"/>
    <w:rsid w:val="65535627"/>
    <w:rsid w:val="658F65D5"/>
    <w:rsid w:val="65BBC527"/>
    <w:rsid w:val="65CF8952"/>
    <w:rsid w:val="65E0EE7D"/>
    <w:rsid w:val="65F296BC"/>
    <w:rsid w:val="65FCE697"/>
    <w:rsid w:val="66015041"/>
    <w:rsid w:val="6609B4A2"/>
    <w:rsid w:val="66132E08"/>
    <w:rsid w:val="66208220"/>
    <w:rsid w:val="668164CD"/>
    <w:rsid w:val="66BBEB59"/>
    <w:rsid w:val="66E99E8B"/>
    <w:rsid w:val="670E01F1"/>
    <w:rsid w:val="672A9EF0"/>
    <w:rsid w:val="672E629D"/>
    <w:rsid w:val="67365F57"/>
    <w:rsid w:val="6739DFA7"/>
    <w:rsid w:val="673C7E01"/>
    <w:rsid w:val="675B0B58"/>
    <w:rsid w:val="675EE83E"/>
    <w:rsid w:val="6767293E"/>
    <w:rsid w:val="676CA12F"/>
    <w:rsid w:val="67788666"/>
    <w:rsid w:val="67E10C60"/>
    <w:rsid w:val="68215678"/>
    <w:rsid w:val="683D1711"/>
    <w:rsid w:val="689496C9"/>
    <w:rsid w:val="68D40EE6"/>
    <w:rsid w:val="68D5FB05"/>
    <w:rsid w:val="68D76820"/>
    <w:rsid w:val="69676E98"/>
    <w:rsid w:val="69CE6D34"/>
    <w:rsid w:val="69F279B5"/>
    <w:rsid w:val="69F82C68"/>
    <w:rsid w:val="6A19A8F9"/>
    <w:rsid w:val="6A268CBF"/>
    <w:rsid w:val="6A7DE0C0"/>
    <w:rsid w:val="6A871800"/>
    <w:rsid w:val="6AA0F2BC"/>
    <w:rsid w:val="6AA6F190"/>
    <w:rsid w:val="6AB2A383"/>
    <w:rsid w:val="6ADD6BB1"/>
    <w:rsid w:val="6ADE44CF"/>
    <w:rsid w:val="6B1AB2D3"/>
    <w:rsid w:val="6B2574CB"/>
    <w:rsid w:val="6B29C82E"/>
    <w:rsid w:val="6B37624F"/>
    <w:rsid w:val="6B59DE6B"/>
    <w:rsid w:val="6B7EE3B5"/>
    <w:rsid w:val="6B8DCECA"/>
    <w:rsid w:val="6B9A23AE"/>
    <w:rsid w:val="6BA84C47"/>
    <w:rsid w:val="6BC365B5"/>
    <w:rsid w:val="6C1A80C7"/>
    <w:rsid w:val="6C4D674F"/>
    <w:rsid w:val="6C5534BB"/>
    <w:rsid w:val="6CBF15BA"/>
    <w:rsid w:val="6CEB043B"/>
    <w:rsid w:val="6CFBADF0"/>
    <w:rsid w:val="6D0E4E6D"/>
    <w:rsid w:val="6D222895"/>
    <w:rsid w:val="6D3F33AF"/>
    <w:rsid w:val="6D51B23E"/>
    <w:rsid w:val="6D78AC8E"/>
    <w:rsid w:val="6D8302BF"/>
    <w:rsid w:val="6D85CD38"/>
    <w:rsid w:val="6D8D52C6"/>
    <w:rsid w:val="6D9A7D2E"/>
    <w:rsid w:val="6DD00C9D"/>
    <w:rsid w:val="6DE2AC91"/>
    <w:rsid w:val="6DFDDD73"/>
    <w:rsid w:val="6E3E2F76"/>
    <w:rsid w:val="6E65C551"/>
    <w:rsid w:val="6E6AA060"/>
    <w:rsid w:val="6E83936D"/>
    <w:rsid w:val="6E8C9C79"/>
    <w:rsid w:val="6ED43882"/>
    <w:rsid w:val="6EE3FA84"/>
    <w:rsid w:val="6F06004E"/>
    <w:rsid w:val="6F79241B"/>
    <w:rsid w:val="6FB7F277"/>
    <w:rsid w:val="701C7125"/>
    <w:rsid w:val="705499D1"/>
    <w:rsid w:val="708876F7"/>
    <w:rsid w:val="70A3938B"/>
    <w:rsid w:val="70A5B00E"/>
    <w:rsid w:val="70BA9D1E"/>
    <w:rsid w:val="70E070D6"/>
    <w:rsid w:val="7107B3C4"/>
    <w:rsid w:val="711BA303"/>
    <w:rsid w:val="71289300"/>
    <w:rsid w:val="716302EE"/>
    <w:rsid w:val="71689795"/>
    <w:rsid w:val="7183447A"/>
    <w:rsid w:val="718813DD"/>
    <w:rsid w:val="7197CAB1"/>
    <w:rsid w:val="71C68D71"/>
    <w:rsid w:val="71F37ADC"/>
    <w:rsid w:val="7201AF15"/>
    <w:rsid w:val="720B53BB"/>
    <w:rsid w:val="720E9770"/>
    <w:rsid w:val="7219D91E"/>
    <w:rsid w:val="7246834A"/>
    <w:rsid w:val="72587531"/>
    <w:rsid w:val="7269CC6D"/>
    <w:rsid w:val="72915CCC"/>
    <w:rsid w:val="72BE4865"/>
    <w:rsid w:val="72C8DF93"/>
    <w:rsid w:val="72D6E570"/>
    <w:rsid w:val="72DCDD44"/>
    <w:rsid w:val="72DF8D32"/>
    <w:rsid w:val="7312D921"/>
    <w:rsid w:val="731EEC18"/>
    <w:rsid w:val="73305373"/>
    <w:rsid w:val="73B3E9BB"/>
    <w:rsid w:val="73E06B53"/>
    <w:rsid w:val="7430FB2E"/>
    <w:rsid w:val="74443903"/>
    <w:rsid w:val="74500612"/>
    <w:rsid w:val="749E1031"/>
    <w:rsid w:val="749F3265"/>
    <w:rsid w:val="74DF99FC"/>
    <w:rsid w:val="74E85A64"/>
    <w:rsid w:val="75058583"/>
    <w:rsid w:val="7545EE33"/>
    <w:rsid w:val="755B8D4D"/>
    <w:rsid w:val="7564AB39"/>
    <w:rsid w:val="7569E0B4"/>
    <w:rsid w:val="7587841C"/>
    <w:rsid w:val="75B8EB28"/>
    <w:rsid w:val="75EBC66E"/>
    <w:rsid w:val="760A1DA6"/>
    <w:rsid w:val="76187A23"/>
    <w:rsid w:val="76722A8F"/>
    <w:rsid w:val="767C24DC"/>
    <w:rsid w:val="767FA799"/>
    <w:rsid w:val="76B3B255"/>
    <w:rsid w:val="76DA5B0F"/>
    <w:rsid w:val="77375748"/>
    <w:rsid w:val="77476745"/>
    <w:rsid w:val="776C8B47"/>
    <w:rsid w:val="7774FA9A"/>
    <w:rsid w:val="7783FA4C"/>
    <w:rsid w:val="77D5724A"/>
    <w:rsid w:val="77E725F9"/>
    <w:rsid w:val="77F2E0FC"/>
    <w:rsid w:val="7809A764"/>
    <w:rsid w:val="780DF5B8"/>
    <w:rsid w:val="7824DB39"/>
    <w:rsid w:val="782C8733"/>
    <w:rsid w:val="7831C036"/>
    <w:rsid w:val="7843BD23"/>
    <w:rsid w:val="786E4661"/>
    <w:rsid w:val="7892D5F7"/>
    <w:rsid w:val="78B1F552"/>
    <w:rsid w:val="78B304AC"/>
    <w:rsid w:val="78B3EC0D"/>
    <w:rsid w:val="79064E44"/>
    <w:rsid w:val="79162DB5"/>
    <w:rsid w:val="7918FFED"/>
    <w:rsid w:val="79331153"/>
    <w:rsid w:val="7948212E"/>
    <w:rsid w:val="79502E79"/>
    <w:rsid w:val="79965D40"/>
    <w:rsid w:val="79A00586"/>
    <w:rsid w:val="79B07A97"/>
    <w:rsid w:val="79EBBD06"/>
    <w:rsid w:val="7A4FBD19"/>
    <w:rsid w:val="7A52A0E8"/>
    <w:rsid w:val="7A75DC64"/>
    <w:rsid w:val="7AD8C0B5"/>
    <w:rsid w:val="7ADBB3E3"/>
    <w:rsid w:val="7B044160"/>
    <w:rsid w:val="7B34E938"/>
    <w:rsid w:val="7B34FD38"/>
    <w:rsid w:val="7B3DABA0"/>
    <w:rsid w:val="7B4B11DE"/>
    <w:rsid w:val="7B4C5479"/>
    <w:rsid w:val="7B68A332"/>
    <w:rsid w:val="7B7F87A0"/>
    <w:rsid w:val="7BD5A90B"/>
    <w:rsid w:val="7C22758E"/>
    <w:rsid w:val="7C3999E2"/>
    <w:rsid w:val="7C3EE3CA"/>
    <w:rsid w:val="7C463594"/>
    <w:rsid w:val="7C6CCF17"/>
    <w:rsid w:val="7C7DC3E6"/>
    <w:rsid w:val="7C8C9887"/>
    <w:rsid w:val="7CA45927"/>
    <w:rsid w:val="7CB9450E"/>
    <w:rsid w:val="7CD97C01"/>
    <w:rsid w:val="7CDD85D9"/>
    <w:rsid w:val="7CEA667D"/>
    <w:rsid w:val="7D04E538"/>
    <w:rsid w:val="7D46817D"/>
    <w:rsid w:val="7D5D9402"/>
    <w:rsid w:val="7D64C942"/>
    <w:rsid w:val="7D7DD5B9"/>
    <w:rsid w:val="7D8A7DA2"/>
    <w:rsid w:val="7DB14429"/>
    <w:rsid w:val="7DB1B94C"/>
    <w:rsid w:val="7DFEA5E7"/>
    <w:rsid w:val="7E009CF2"/>
    <w:rsid w:val="7E02969D"/>
    <w:rsid w:val="7E0DAF99"/>
    <w:rsid w:val="7E2868E8"/>
    <w:rsid w:val="7E433939"/>
    <w:rsid w:val="7E53718E"/>
    <w:rsid w:val="7E643FD3"/>
    <w:rsid w:val="7E754C62"/>
    <w:rsid w:val="7E87DF3A"/>
    <w:rsid w:val="7E9F39FE"/>
    <w:rsid w:val="7EB16372"/>
    <w:rsid w:val="7EB6FFA1"/>
    <w:rsid w:val="7EBA43F4"/>
    <w:rsid w:val="7EC0927A"/>
    <w:rsid w:val="7EFA3F8E"/>
    <w:rsid w:val="7F01C26C"/>
    <w:rsid w:val="7F0C0E3B"/>
    <w:rsid w:val="7F2BC688"/>
    <w:rsid w:val="7F3B6F54"/>
    <w:rsid w:val="7F482BD3"/>
    <w:rsid w:val="7F57F93A"/>
    <w:rsid w:val="7F7B6B50"/>
    <w:rsid w:val="7FA3A656"/>
    <w:rsid w:val="7FB7F957"/>
    <w:rsid w:val="7FD07656"/>
    <w:rsid w:val="7FE9EB59"/>
    <w:rsid w:val="7FEE0312"/>
    <w:rsid w:val="7FF750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35912"/>
  <w15:chartTrackingRefBased/>
  <w15:docId w15:val="{AAC5E2AB-E845-44A7-B93D-8553F059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CEE"/>
    <w:rPr>
      <w:rFonts w:ascii="VIC" w:hAnsi="VIC"/>
    </w:rPr>
  </w:style>
  <w:style w:type="paragraph" w:styleId="Heading1">
    <w:name w:val="heading 1"/>
    <w:basedOn w:val="Normal"/>
    <w:next w:val="Normal"/>
    <w:link w:val="Heading1Char"/>
    <w:uiPriority w:val="9"/>
    <w:qFormat/>
    <w:rsid w:val="00A0312C"/>
    <w:pPr>
      <w:keepNext/>
      <w:keepLines/>
      <w:spacing w:before="240" w:after="0"/>
      <w:outlineLvl w:val="0"/>
    </w:pPr>
    <w:rPr>
      <w:rFonts w:eastAsiaTheme="majorEastAsia" w:cstheme="majorBidi"/>
      <w:color w:val="5C308D"/>
      <w:sz w:val="48"/>
      <w:szCs w:val="32"/>
    </w:rPr>
  </w:style>
  <w:style w:type="paragraph" w:styleId="Heading2">
    <w:name w:val="heading 2"/>
    <w:basedOn w:val="Normal"/>
    <w:next w:val="Normal"/>
    <w:link w:val="Heading2Char"/>
    <w:uiPriority w:val="9"/>
    <w:unhideWhenUsed/>
    <w:qFormat/>
    <w:rsid w:val="00A0312C"/>
    <w:pPr>
      <w:keepNext/>
      <w:keepLines/>
      <w:spacing w:before="40" w:after="0"/>
      <w:outlineLvl w:val="1"/>
    </w:pPr>
    <w:rPr>
      <w:rFonts w:eastAsiaTheme="majorEastAsia" w:cstheme="majorBidi"/>
      <w:color w:val="5C308D"/>
      <w:sz w:val="36"/>
      <w:szCs w:val="26"/>
    </w:rPr>
  </w:style>
  <w:style w:type="paragraph" w:styleId="Heading3">
    <w:name w:val="heading 3"/>
    <w:basedOn w:val="Normal"/>
    <w:next w:val="Normal"/>
    <w:link w:val="Heading3Char"/>
    <w:uiPriority w:val="9"/>
    <w:unhideWhenUsed/>
    <w:qFormat/>
    <w:rsid w:val="00DC29BE"/>
    <w:pPr>
      <w:keepNext/>
      <w:keepLines/>
      <w:spacing w:before="40" w:after="0"/>
      <w:outlineLvl w:val="2"/>
    </w:pPr>
    <w:rPr>
      <w:rFonts w:ascii="VIC SemiBold" w:eastAsiaTheme="majorEastAsia" w:hAnsi="VIC SemiBold" w:cstheme="minorHAnsi"/>
      <w:color w:val="5C308D"/>
      <w:sz w:val="24"/>
      <w:szCs w:val="24"/>
    </w:rPr>
  </w:style>
  <w:style w:type="paragraph" w:styleId="Heading4">
    <w:name w:val="heading 4"/>
    <w:basedOn w:val="Normal"/>
    <w:next w:val="Normal"/>
    <w:link w:val="Heading4Char"/>
    <w:uiPriority w:val="9"/>
    <w:unhideWhenUsed/>
    <w:qFormat/>
    <w:rsid w:val="00A0312C"/>
    <w:pPr>
      <w:keepNext/>
      <w:keepLines/>
      <w:spacing w:before="40" w:after="0"/>
      <w:outlineLvl w:val="3"/>
    </w:pPr>
    <w:rPr>
      <w:rFonts w:eastAsiaTheme="majorEastAsia" w:cstheme="majorBidi"/>
      <w:i/>
      <w:iCs/>
      <w:color w:val="5C308D"/>
    </w:rPr>
  </w:style>
  <w:style w:type="paragraph" w:styleId="Heading5">
    <w:name w:val="heading 5"/>
    <w:basedOn w:val="Normal"/>
    <w:next w:val="Normal"/>
    <w:link w:val="Heading5Char"/>
    <w:uiPriority w:val="9"/>
    <w:semiHidden/>
    <w:unhideWhenUsed/>
    <w:qFormat/>
    <w:rsid w:val="00A964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12C"/>
    <w:rPr>
      <w:rFonts w:ascii="VIC" w:eastAsiaTheme="majorEastAsia" w:hAnsi="VIC" w:cstheme="majorBidi"/>
      <w:color w:val="5C308D"/>
      <w:sz w:val="48"/>
      <w:szCs w:val="32"/>
    </w:rPr>
  </w:style>
  <w:style w:type="character" w:customStyle="1" w:styleId="Heading2Char">
    <w:name w:val="Heading 2 Char"/>
    <w:basedOn w:val="DefaultParagraphFont"/>
    <w:link w:val="Heading2"/>
    <w:uiPriority w:val="9"/>
    <w:rsid w:val="00A0312C"/>
    <w:rPr>
      <w:rFonts w:ascii="VIC" w:eastAsiaTheme="majorEastAsia" w:hAnsi="VIC" w:cstheme="majorBidi"/>
      <w:color w:val="5C308D"/>
      <w:sz w:val="36"/>
      <w:szCs w:val="26"/>
    </w:rPr>
  </w:style>
  <w:style w:type="character" w:styleId="IntenseEmphasis">
    <w:name w:val="Intense Emphasis"/>
    <w:basedOn w:val="DefaultParagraphFont"/>
    <w:uiPriority w:val="21"/>
    <w:qFormat/>
    <w:rsid w:val="004316A9"/>
    <w:rPr>
      <w:rFonts w:ascii="VIC" w:hAnsi="VIC"/>
      <w:i/>
      <w:iCs/>
      <w:color w:val="287E84"/>
    </w:rPr>
  </w:style>
  <w:style w:type="paragraph" w:styleId="IntenseQuote">
    <w:name w:val="Intense Quote"/>
    <w:aliases w:val="Callout box Jade"/>
    <w:basedOn w:val="Normal"/>
    <w:next w:val="Normal"/>
    <w:link w:val="IntenseQuoteChar"/>
    <w:autoRedefine/>
    <w:uiPriority w:val="30"/>
    <w:qFormat/>
    <w:rsid w:val="007D1487"/>
    <w:pPr>
      <w:framePr w:wrap="notBeside" w:vAnchor="text" w:hAnchor="text" w:y="1"/>
      <w:pBdr>
        <w:top w:val="single" w:sz="12" w:space="10" w:color="287E84"/>
        <w:left w:val="single" w:sz="12" w:space="4" w:color="287E84"/>
        <w:bottom w:val="single" w:sz="12" w:space="10" w:color="287E84"/>
        <w:right w:val="single" w:sz="12" w:space="4" w:color="287E84"/>
      </w:pBdr>
      <w:spacing w:before="240" w:after="240" w:line="240" w:lineRule="auto"/>
      <w:ind w:left="510" w:right="510"/>
      <w:contextualSpacing/>
    </w:pPr>
    <w:rPr>
      <w:iCs/>
      <w:color w:val="287E84"/>
    </w:rPr>
  </w:style>
  <w:style w:type="character" w:customStyle="1" w:styleId="IntenseQuoteChar">
    <w:name w:val="Intense Quote Char"/>
    <w:aliases w:val="Callout box Jade Char"/>
    <w:basedOn w:val="DefaultParagraphFont"/>
    <w:link w:val="IntenseQuote"/>
    <w:uiPriority w:val="30"/>
    <w:rsid w:val="007D1487"/>
    <w:rPr>
      <w:rFonts w:ascii="VIC" w:hAnsi="VIC"/>
      <w:iCs/>
      <w:color w:val="287E84"/>
    </w:rPr>
  </w:style>
  <w:style w:type="character" w:styleId="IntenseReference">
    <w:name w:val="Intense Reference"/>
    <w:basedOn w:val="DefaultParagraphFont"/>
    <w:uiPriority w:val="32"/>
    <w:qFormat/>
    <w:rsid w:val="004316A9"/>
    <w:rPr>
      <w:rFonts w:ascii="VIC" w:hAnsi="VIC"/>
      <w:b/>
      <w:bCs/>
      <w:smallCaps/>
      <w:color w:val="287E84"/>
      <w:spacing w:val="5"/>
    </w:rPr>
  </w:style>
  <w:style w:type="paragraph" w:styleId="Title">
    <w:name w:val="Title"/>
    <w:basedOn w:val="Normal"/>
    <w:next w:val="Normal"/>
    <w:link w:val="TitleChar"/>
    <w:uiPriority w:val="10"/>
    <w:qFormat/>
    <w:rsid w:val="004316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6A9"/>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4316A9"/>
    <w:rPr>
      <w:rFonts w:ascii="VIC" w:hAnsi="VIC"/>
      <w:i/>
      <w:iCs/>
      <w:color w:val="404040" w:themeColor="text1" w:themeTint="BF"/>
    </w:rPr>
  </w:style>
  <w:style w:type="character" w:styleId="Emphasis">
    <w:name w:val="Emphasis"/>
    <w:basedOn w:val="DefaultParagraphFont"/>
    <w:uiPriority w:val="20"/>
    <w:qFormat/>
    <w:rsid w:val="004316A9"/>
    <w:rPr>
      <w:rFonts w:ascii="VIC" w:hAnsi="VIC"/>
      <w:i/>
      <w:iCs/>
    </w:rPr>
  </w:style>
  <w:style w:type="character" w:styleId="Strong">
    <w:name w:val="Strong"/>
    <w:basedOn w:val="DefaultParagraphFont"/>
    <w:uiPriority w:val="22"/>
    <w:qFormat/>
    <w:rsid w:val="004316A9"/>
    <w:rPr>
      <w:rFonts w:ascii="VIC" w:hAnsi="VIC"/>
      <w:b/>
      <w:bCs/>
    </w:rPr>
  </w:style>
  <w:style w:type="character" w:styleId="SubtleReference">
    <w:name w:val="Subtle Reference"/>
    <w:basedOn w:val="DefaultParagraphFont"/>
    <w:uiPriority w:val="31"/>
    <w:qFormat/>
    <w:rsid w:val="004316A9"/>
    <w:rPr>
      <w:rFonts w:ascii="VIC" w:hAnsi="VIC"/>
      <w:smallCaps/>
      <w:color w:val="5A5A5A" w:themeColor="text1" w:themeTint="A5"/>
    </w:rPr>
  </w:style>
  <w:style w:type="character" w:styleId="BookTitle">
    <w:name w:val="Book Title"/>
    <w:basedOn w:val="DefaultParagraphFont"/>
    <w:uiPriority w:val="33"/>
    <w:qFormat/>
    <w:rsid w:val="004316A9"/>
    <w:rPr>
      <w:rFonts w:ascii="VIC" w:hAnsi="VIC"/>
      <w:b/>
      <w:bCs/>
      <w:i/>
      <w:iCs/>
      <w:spacing w:val="5"/>
    </w:rPr>
  </w:style>
  <w:style w:type="character" w:customStyle="1" w:styleId="Heading3Char">
    <w:name w:val="Heading 3 Char"/>
    <w:basedOn w:val="DefaultParagraphFont"/>
    <w:link w:val="Heading3"/>
    <w:uiPriority w:val="9"/>
    <w:rsid w:val="00DC29BE"/>
    <w:rPr>
      <w:rFonts w:ascii="VIC SemiBold" w:eastAsiaTheme="majorEastAsia" w:hAnsi="VIC SemiBold" w:cstheme="minorHAnsi"/>
      <w:color w:val="5C308D"/>
      <w:sz w:val="24"/>
      <w:szCs w:val="24"/>
    </w:rPr>
  </w:style>
  <w:style w:type="table" w:styleId="TableGrid">
    <w:name w:val="Table Grid"/>
    <w:basedOn w:val="TableNormal"/>
    <w:rsid w:val="004316A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4316A9"/>
    <w:pPr>
      <w:spacing w:after="80" w:line="460" w:lineRule="atLeast"/>
    </w:pPr>
    <w:rPr>
      <w:rFonts w:ascii="Arial" w:eastAsia="Times New Roman" w:hAnsi="Arial" w:cs="Times New Roman"/>
      <w:b/>
      <w:color w:val="201547"/>
      <w:sz w:val="44"/>
      <w:szCs w:val="50"/>
    </w:rPr>
  </w:style>
  <w:style w:type="paragraph" w:customStyle="1" w:styleId="Documentsubtitle">
    <w:name w:val="Document subtitle"/>
    <w:uiPriority w:val="8"/>
    <w:rsid w:val="004316A9"/>
    <w:pPr>
      <w:spacing w:after="100" w:line="240" w:lineRule="auto"/>
    </w:pPr>
    <w:rPr>
      <w:rFonts w:ascii="Arial" w:eastAsia="Times New Roman" w:hAnsi="Arial" w:cs="Times New Roman"/>
      <w:color w:val="201547"/>
      <w:sz w:val="28"/>
      <w:szCs w:val="24"/>
    </w:rPr>
  </w:style>
  <w:style w:type="paragraph" w:customStyle="1" w:styleId="Bannermarking">
    <w:name w:val="Banner marking"/>
    <w:basedOn w:val="Normal"/>
    <w:uiPriority w:val="11"/>
    <w:rsid w:val="004316A9"/>
    <w:pPr>
      <w:spacing w:after="0" w:line="280" w:lineRule="atLeast"/>
    </w:pPr>
    <w:rPr>
      <w:rFonts w:ascii="Arial" w:eastAsia="Times" w:hAnsi="Arial" w:cs="Times New Roman"/>
      <w:b/>
      <w:bCs/>
      <w:color w:val="000000" w:themeColor="text1"/>
      <w:sz w:val="21"/>
      <w:szCs w:val="20"/>
    </w:rPr>
  </w:style>
  <w:style w:type="table" w:styleId="PlainTable4">
    <w:name w:val="Plain Table 4"/>
    <w:basedOn w:val="TableNormal"/>
    <w:uiPriority w:val="44"/>
    <w:rsid w:val="004316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31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A9"/>
    <w:rPr>
      <w:rFonts w:ascii="VIC" w:hAnsi="VIC"/>
    </w:rPr>
  </w:style>
  <w:style w:type="paragraph" w:styleId="Footer">
    <w:name w:val="footer"/>
    <w:basedOn w:val="Normal"/>
    <w:link w:val="FooterChar"/>
    <w:uiPriority w:val="99"/>
    <w:unhideWhenUsed/>
    <w:rsid w:val="00431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A9"/>
    <w:rPr>
      <w:rFonts w:ascii="VIC" w:hAnsi="VIC"/>
    </w:rPr>
  </w:style>
  <w:style w:type="character" w:customStyle="1" w:styleId="Heading4Char">
    <w:name w:val="Heading 4 Char"/>
    <w:basedOn w:val="DefaultParagraphFont"/>
    <w:link w:val="Heading4"/>
    <w:uiPriority w:val="9"/>
    <w:rsid w:val="00A0312C"/>
    <w:rPr>
      <w:rFonts w:ascii="VIC" w:eastAsiaTheme="majorEastAsia" w:hAnsi="VIC" w:cstheme="majorBidi"/>
      <w:i/>
      <w:iCs/>
      <w:color w:val="5C308D"/>
    </w:rPr>
  </w:style>
  <w:style w:type="character" w:customStyle="1" w:styleId="Heading5Char">
    <w:name w:val="Heading 5 Char"/>
    <w:basedOn w:val="DefaultParagraphFont"/>
    <w:link w:val="Heading5"/>
    <w:uiPriority w:val="9"/>
    <w:semiHidden/>
    <w:rsid w:val="00A964EC"/>
    <w:rPr>
      <w:rFonts w:asciiTheme="majorHAnsi" w:eastAsiaTheme="majorEastAsia" w:hAnsiTheme="majorHAnsi" w:cstheme="majorBidi"/>
      <w:color w:val="2F5496" w:themeColor="accent1" w:themeShade="BF"/>
    </w:rPr>
  </w:style>
  <w:style w:type="paragraph" w:customStyle="1" w:styleId="Body">
    <w:name w:val="Body"/>
    <w:link w:val="BodyChar"/>
    <w:qFormat/>
    <w:rsid w:val="00A964EC"/>
    <w:pPr>
      <w:spacing w:after="120" w:line="280" w:lineRule="atLeast"/>
    </w:pPr>
    <w:rPr>
      <w:rFonts w:ascii="VIC" w:eastAsia="Times" w:hAnsi="VIC" w:cs="Times New Roman"/>
      <w:szCs w:val="20"/>
    </w:rPr>
  </w:style>
  <w:style w:type="paragraph" w:customStyle="1" w:styleId="Bullet1">
    <w:name w:val="Bullet 1"/>
    <w:basedOn w:val="Body"/>
    <w:qFormat/>
    <w:rsid w:val="00A964EC"/>
    <w:pPr>
      <w:numPr>
        <w:numId w:val="1"/>
      </w:numPr>
      <w:tabs>
        <w:tab w:val="num" w:pos="360"/>
      </w:tabs>
      <w:spacing w:after="40"/>
      <w:ind w:left="0" w:firstLine="0"/>
    </w:pPr>
  </w:style>
  <w:style w:type="paragraph" w:customStyle="1" w:styleId="Bullet2">
    <w:name w:val="Bullet 2"/>
    <w:basedOn w:val="Body"/>
    <w:uiPriority w:val="2"/>
    <w:qFormat/>
    <w:rsid w:val="00A964EC"/>
    <w:pPr>
      <w:numPr>
        <w:ilvl w:val="1"/>
        <w:numId w:val="1"/>
      </w:numPr>
      <w:tabs>
        <w:tab w:val="num" w:pos="360"/>
      </w:tabs>
      <w:spacing w:after="40"/>
      <w:ind w:left="0" w:firstLine="0"/>
    </w:pPr>
  </w:style>
  <w:style w:type="paragraph" w:customStyle="1" w:styleId="Bodyafterbullets">
    <w:name w:val="Body after bullets"/>
    <w:basedOn w:val="Body"/>
    <w:uiPriority w:val="11"/>
    <w:rsid w:val="00A964EC"/>
    <w:pPr>
      <w:spacing w:before="120"/>
    </w:pPr>
  </w:style>
  <w:style w:type="character" w:styleId="Hyperlink">
    <w:name w:val="Hyperlink"/>
    <w:uiPriority w:val="99"/>
    <w:rsid w:val="00FD2260"/>
    <w:rPr>
      <w:color w:val="287E84"/>
      <w:u w:val="dotted"/>
    </w:rPr>
  </w:style>
  <w:style w:type="numbering" w:customStyle="1" w:styleId="ZZBullets">
    <w:name w:val="ZZ Bullets"/>
    <w:rsid w:val="00A964EC"/>
    <w:pPr>
      <w:numPr>
        <w:numId w:val="1"/>
      </w:numPr>
    </w:pPr>
  </w:style>
  <w:style w:type="character" w:customStyle="1" w:styleId="BodyChar">
    <w:name w:val="Body Char"/>
    <w:basedOn w:val="DefaultParagraphFont"/>
    <w:link w:val="Body"/>
    <w:rsid w:val="00A964EC"/>
    <w:rPr>
      <w:rFonts w:ascii="VIC" w:eastAsia="Times" w:hAnsi="VIC" w:cs="Times New Roman"/>
      <w:szCs w:val="20"/>
    </w:rPr>
  </w:style>
  <w:style w:type="character" w:styleId="UnresolvedMention">
    <w:name w:val="Unresolved Mention"/>
    <w:basedOn w:val="DefaultParagraphFont"/>
    <w:uiPriority w:val="99"/>
    <w:unhideWhenUsed/>
    <w:rsid w:val="00A0312C"/>
    <w:rPr>
      <w:color w:val="605E5C"/>
      <w:shd w:val="clear" w:color="auto" w:fill="E1DFDD"/>
    </w:rPr>
  </w:style>
  <w:style w:type="paragraph" w:styleId="ListParagraph">
    <w:name w:val="List Paragraph"/>
    <w:basedOn w:val="Normal"/>
    <w:uiPriority w:val="34"/>
    <w:qFormat/>
    <w:rsid w:val="002C7991"/>
    <w:pPr>
      <w:ind w:left="720"/>
      <w:contextualSpacing/>
    </w:pPr>
  </w:style>
  <w:style w:type="paragraph" w:customStyle="1" w:styleId="Default">
    <w:name w:val="Default"/>
    <w:rsid w:val="00BC0A02"/>
    <w:pPr>
      <w:autoSpaceDE w:val="0"/>
      <w:autoSpaceDN w:val="0"/>
      <w:adjustRightInd w:val="0"/>
      <w:spacing w:after="0" w:line="240" w:lineRule="auto"/>
    </w:pPr>
    <w:rPr>
      <w:rFonts w:ascii="Segoe UI Light" w:hAnsi="Segoe UI Light" w:cs="Segoe UI Light"/>
      <w:color w:val="000000"/>
      <w:sz w:val="24"/>
      <w:szCs w:val="24"/>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uiPriority w:val="99"/>
    <w:unhideWhenUsed/>
    <w:qFormat/>
    <w:rsid w:val="00465FA6"/>
    <w:pPr>
      <w:spacing w:after="0" w:line="240" w:lineRule="auto"/>
    </w:pPr>
    <w:rPr>
      <w:sz w:val="20"/>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basedOn w:val="DefaultParagraphFont"/>
    <w:link w:val="FootnoteText"/>
    <w:uiPriority w:val="99"/>
    <w:rsid w:val="00465FA6"/>
    <w:rPr>
      <w:rFonts w:ascii="VIC" w:hAnsi="VIC"/>
      <w:sz w:val="20"/>
      <w:szCs w:val="20"/>
    </w:rPr>
  </w:style>
  <w:style w:type="character" w:styleId="FootnoteReference">
    <w:name w:val="footnote reference"/>
    <w:aliases w:val="fr,(NECG) Footnote Reference,Ref,de nota al pie"/>
    <w:basedOn w:val="DefaultParagraphFont"/>
    <w:uiPriority w:val="99"/>
    <w:unhideWhenUsed/>
    <w:rsid w:val="00465FA6"/>
    <w:rPr>
      <w:vertAlign w:val="superscript"/>
    </w:rPr>
  </w:style>
  <w:style w:type="paragraph" w:styleId="Revision">
    <w:name w:val="Revision"/>
    <w:hidden/>
    <w:uiPriority w:val="99"/>
    <w:semiHidden/>
    <w:rsid w:val="00164923"/>
    <w:pPr>
      <w:spacing w:after="0" w:line="240" w:lineRule="auto"/>
    </w:pPr>
    <w:rPr>
      <w:rFonts w:ascii="VIC" w:hAnsi="VIC"/>
    </w:rPr>
  </w:style>
  <w:style w:type="character" w:styleId="CommentReference">
    <w:name w:val="annotation reference"/>
    <w:basedOn w:val="DefaultParagraphFont"/>
    <w:uiPriority w:val="99"/>
    <w:semiHidden/>
    <w:unhideWhenUsed/>
    <w:rsid w:val="00DB307E"/>
    <w:rPr>
      <w:sz w:val="16"/>
      <w:szCs w:val="16"/>
    </w:rPr>
  </w:style>
  <w:style w:type="paragraph" w:styleId="CommentText">
    <w:name w:val="annotation text"/>
    <w:basedOn w:val="Normal"/>
    <w:link w:val="CommentTextChar"/>
    <w:uiPriority w:val="99"/>
    <w:unhideWhenUsed/>
    <w:rsid w:val="00DB307E"/>
    <w:pPr>
      <w:spacing w:line="240" w:lineRule="auto"/>
    </w:pPr>
    <w:rPr>
      <w:sz w:val="20"/>
      <w:szCs w:val="20"/>
    </w:rPr>
  </w:style>
  <w:style w:type="character" w:customStyle="1" w:styleId="CommentTextChar">
    <w:name w:val="Comment Text Char"/>
    <w:basedOn w:val="DefaultParagraphFont"/>
    <w:link w:val="CommentText"/>
    <w:uiPriority w:val="99"/>
    <w:rsid w:val="00DB307E"/>
    <w:rPr>
      <w:rFonts w:ascii="VIC" w:hAnsi="VIC"/>
      <w:sz w:val="20"/>
      <w:szCs w:val="20"/>
    </w:rPr>
  </w:style>
  <w:style w:type="paragraph" w:styleId="CommentSubject">
    <w:name w:val="annotation subject"/>
    <w:basedOn w:val="CommentText"/>
    <w:next w:val="CommentText"/>
    <w:link w:val="CommentSubjectChar"/>
    <w:uiPriority w:val="99"/>
    <w:semiHidden/>
    <w:unhideWhenUsed/>
    <w:rsid w:val="00DB307E"/>
    <w:rPr>
      <w:b/>
      <w:bCs/>
    </w:rPr>
  </w:style>
  <w:style w:type="character" w:customStyle="1" w:styleId="CommentSubjectChar">
    <w:name w:val="Comment Subject Char"/>
    <w:basedOn w:val="CommentTextChar"/>
    <w:link w:val="CommentSubject"/>
    <w:uiPriority w:val="99"/>
    <w:semiHidden/>
    <w:rsid w:val="00DB307E"/>
    <w:rPr>
      <w:rFonts w:ascii="VIC" w:hAnsi="VIC"/>
      <w:b/>
      <w:bCs/>
      <w:sz w:val="20"/>
      <w:szCs w:val="20"/>
    </w:rPr>
  </w:style>
  <w:style w:type="character" w:styleId="FollowedHyperlink">
    <w:name w:val="FollowedHyperlink"/>
    <w:basedOn w:val="DefaultParagraphFont"/>
    <w:uiPriority w:val="99"/>
    <w:semiHidden/>
    <w:unhideWhenUsed/>
    <w:rsid w:val="00866E32"/>
    <w:rPr>
      <w:color w:val="954F72" w:themeColor="followedHyperlink"/>
      <w:u w:val="single"/>
    </w:rPr>
  </w:style>
  <w:style w:type="paragraph" w:customStyle="1" w:styleId="Style1">
    <w:name w:val="Style1"/>
    <w:basedOn w:val="Heading2"/>
    <w:qFormat/>
    <w:rsid w:val="00815C8F"/>
    <w:pPr>
      <w:numPr>
        <w:ilvl w:val="2"/>
        <w:numId w:val="3"/>
      </w:numPr>
      <w:tabs>
        <w:tab w:val="num" w:pos="360"/>
      </w:tabs>
      <w:ind w:left="0" w:firstLine="0"/>
    </w:pPr>
    <w:rPr>
      <w:rFonts w:ascii="VIC SemiBold" w:hAnsi="VIC SemiBold" w:cstheme="minorHAnsi"/>
      <w:sz w:val="24"/>
      <w:szCs w:val="24"/>
    </w:rPr>
  </w:style>
  <w:style w:type="character" w:styleId="Mention">
    <w:name w:val="Mention"/>
    <w:basedOn w:val="DefaultParagraphFont"/>
    <w:uiPriority w:val="99"/>
    <w:unhideWhenUsed/>
    <w:rsid w:val="00440886"/>
    <w:rPr>
      <w:color w:val="2B579A"/>
      <w:shd w:val="clear" w:color="auto" w:fill="E1DFDD"/>
    </w:rPr>
  </w:style>
  <w:style w:type="character" w:customStyle="1" w:styleId="normaltextrun">
    <w:name w:val="normaltextrun"/>
    <w:basedOn w:val="DefaultParagraphFont"/>
    <w:rsid w:val="0055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2382">
      <w:bodyDiv w:val="1"/>
      <w:marLeft w:val="0"/>
      <w:marRight w:val="0"/>
      <w:marTop w:val="0"/>
      <w:marBottom w:val="0"/>
      <w:divBdr>
        <w:top w:val="none" w:sz="0" w:space="0" w:color="auto"/>
        <w:left w:val="none" w:sz="0" w:space="0" w:color="auto"/>
        <w:bottom w:val="none" w:sz="0" w:space="0" w:color="auto"/>
        <w:right w:val="none" w:sz="0" w:space="0" w:color="auto"/>
      </w:divBdr>
    </w:div>
    <w:div w:id="181435625">
      <w:bodyDiv w:val="1"/>
      <w:marLeft w:val="0"/>
      <w:marRight w:val="0"/>
      <w:marTop w:val="0"/>
      <w:marBottom w:val="0"/>
      <w:divBdr>
        <w:top w:val="none" w:sz="0" w:space="0" w:color="auto"/>
        <w:left w:val="none" w:sz="0" w:space="0" w:color="auto"/>
        <w:bottom w:val="none" w:sz="0" w:space="0" w:color="auto"/>
        <w:right w:val="none" w:sz="0" w:space="0" w:color="auto"/>
      </w:divBdr>
    </w:div>
    <w:div w:id="196088006">
      <w:bodyDiv w:val="1"/>
      <w:marLeft w:val="0"/>
      <w:marRight w:val="0"/>
      <w:marTop w:val="0"/>
      <w:marBottom w:val="0"/>
      <w:divBdr>
        <w:top w:val="none" w:sz="0" w:space="0" w:color="auto"/>
        <w:left w:val="none" w:sz="0" w:space="0" w:color="auto"/>
        <w:bottom w:val="none" w:sz="0" w:space="0" w:color="auto"/>
        <w:right w:val="none" w:sz="0" w:space="0" w:color="auto"/>
      </w:divBdr>
    </w:div>
    <w:div w:id="873033335">
      <w:bodyDiv w:val="1"/>
      <w:marLeft w:val="0"/>
      <w:marRight w:val="0"/>
      <w:marTop w:val="0"/>
      <w:marBottom w:val="0"/>
      <w:divBdr>
        <w:top w:val="none" w:sz="0" w:space="0" w:color="auto"/>
        <w:left w:val="none" w:sz="0" w:space="0" w:color="auto"/>
        <w:bottom w:val="none" w:sz="0" w:space="0" w:color="auto"/>
        <w:right w:val="none" w:sz="0" w:space="0" w:color="auto"/>
      </w:divBdr>
    </w:div>
    <w:div w:id="1249273066">
      <w:bodyDiv w:val="1"/>
      <w:marLeft w:val="0"/>
      <w:marRight w:val="0"/>
      <w:marTop w:val="0"/>
      <w:marBottom w:val="0"/>
      <w:divBdr>
        <w:top w:val="none" w:sz="0" w:space="0" w:color="auto"/>
        <w:left w:val="none" w:sz="0" w:space="0" w:color="auto"/>
        <w:bottom w:val="none" w:sz="0" w:space="0" w:color="auto"/>
        <w:right w:val="none" w:sz="0" w:space="0" w:color="auto"/>
      </w:divBdr>
    </w:div>
    <w:div w:id="1439980876">
      <w:bodyDiv w:val="1"/>
      <w:marLeft w:val="0"/>
      <w:marRight w:val="0"/>
      <w:marTop w:val="0"/>
      <w:marBottom w:val="0"/>
      <w:divBdr>
        <w:top w:val="none" w:sz="0" w:space="0" w:color="auto"/>
        <w:left w:val="none" w:sz="0" w:space="0" w:color="auto"/>
        <w:bottom w:val="none" w:sz="0" w:space="0" w:color="auto"/>
        <w:right w:val="none" w:sz="0" w:space="0" w:color="auto"/>
      </w:divBdr>
    </w:div>
    <w:div w:id="1494687949">
      <w:bodyDiv w:val="1"/>
      <w:marLeft w:val="0"/>
      <w:marRight w:val="0"/>
      <w:marTop w:val="0"/>
      <w:marBottom w:val="0"/>
      <w:divBdr>
        <w:top w:val="none" w:sz="0" w:space="0" w:color="auto"/>
        <w:left w:val="none" w:sz="0" w:space="0" w:color="auto"/>
        <w:bottom w:val="none" w:sz="0" w:space="0" w:color="auto"/>
        <w:right w:val="none" w:sz="0" w:space="0" w:color="auto"/>
      </w:divBdr>
    </w:div>
    <w:div w:id="1740011004">
      <w:bodyDiv w:val="1"/>
      <w:marLeft w:val="0"/>
      <w:marRight w:val="0"/>
      <w:marTop w:val="0"/>
      <w:marBottom w:val="0"/>
      <w:divBdr>
        <w:top w:val="none" w:sz="0" w:space="0" w:color="auto"/>
        <w:left w:val="none" w:sz="0" w:space="0" w:color="auto"/>
        <w:bottom w:val="none" w:sz="0" w:space="0" w:color="auto"/>
        <w:right w:val="none" w:sz="0" w:space="0" w:color="auto"/>
      </w:divBdr>
    </w:div>
    <w:div w:id="20928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ilo.org/declaration/info/publications/eliminationofdiscrimination/WCMS_122372/lang--en/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ultivatesponsorship.com/about-u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enderequalitycommission.vic.gov.au/baseline-audit-report-20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sights.genderequalitycommission.vic.gov.au/application-dashboard" TargetMode="External"/><Relationship Id="rId20" Type="http://schemas.openxmlformats.org/officeDocument/2006/relationships/hyperlink" Target="https://www.vic.gov.au/building-equalit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enderequalitycommission.vic.gov.au/insights-and-researc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ontent.vic.gov.au/sites/default/files/2022-03/Determining%20whether%20a%20GIA%20is%20required%20Guidance%20Note%20v1%20%286%2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ilo.org/declaration/info/publications/eliminationofdiscrimination/WCMS_122372/lang--en/index.htm" TargetMode="Externa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26" Type="http://schemas.openxmlformats.org/officeDocument/2006/relationships/hyperlink" Target="https://www.humanrights.vic.gov.au/static/8070e6b04cd51969490ccdecddff0c00/Resource-Guidelines-Workplace_sexual_harassment-Aug20.pdf" TargetMode="External"/><Relationship Id="rId21" Type="http://schemas.openxmlformats.org/officeDocument/2006/relationships/hyperlink" Target="https://www.legislation.gov.au/Details/F2023L00086" TargetMode="External"/><Relationship Id="rId42" Type="http://schemas.openxmlformats.org/officeDocument/2006/relationships/hyperlink" Target="https://doi.org/10.1787/eba5b91d-en" TargetMode="External"/><Relationship Id="rId47" Type="http://schemas.openxmlformats.org/officeDocument/2006/relationships/hyperlink" Target="https://www.dca.org.au/media-releases/motherhood-penalty-why-mothers-face-widest-gender-pay-gap" TargetMode="External"/><Relationship Id="rId63" Type="http://schemas.openxmlformats.org/officeDocument/2006/relationships/hyperlink" Target="https://bcec.edu.au/publications/gender-equity-insights-2021-making-it-a-priority/" TargetMode="External"/><Relationship Id="rId68" Type="http://schemas.openxmlformats.org/officeDocument/2006/relationships/hyperlink" Target="https://www.bi.team/wp-content/uploads/2023/03/How-to-Improve-Workplace-Equity.pdf" TargetMode="External"/><Relationship Id="rId2" Type="http://schemas.openxmlformats.org/officeDocument/2006/relationships/hyperlink" Target="https://www3.weforum.org/docs/WEF_GGGR_2022.pdf" TargetMode="External"/><Relationship Id="rId16" Type="http://schemas.openxmlformats.org/officeDocument/2006/relationships/hyperlink" Target="https://www.genderequalitycommission.vic.gov.au/completed-research-projects" TargetMode="External"/><Relationship Id="rId29" Type="http://schemas.openxmlformats.org/officeDocument/2006/relationships/hyperlink" Target="https://www.wgea.gov.au/gender-equality-and-caring" TargetMode="External"/><Relationship Id="rId11" Type="http://schemas.openxmlformats.org/officeDocument/2006/relationships/hyperlink" Target="https://www.wgea.gov.au/publications/women-in-leadership-lessons-from-australian-companies-leading-the-way" TargetMode="External"/><Relationship Id="rId24" Type="http://schemas.openxmlformats.org/officeDocument/2006/relationships/hyperlink" Target="https://www.humanrights.vic.gov.au/static/4d3ee647378fcb6cad9ebdcd3e6282e1/Resource-Equal_pay_matters-Aug_2021.pdf" TargetMode="External"/><Relationship Id="rId32" Type="http://schemas.openxmlformats.org/officeDocument/2006/relationships/hyperlink" Target="https://heinonline.org/HOL/LandingPage?handle=hein.journals/cllpj42&amp;div=13&amp;id=&amp;page=" TargetMode="External"/><Relationship Id="rId37" Type="http://schemas.openxmlformats.org/officeDocument/2006/relationships/hyperlink" Target="https://www.vic.gov.au/sites/default/files/2020-10/Victorian-Public-Service-Enterprise-Agreement-2020.pdf" TargetMode="External"/><Relationship Id="rId40" Type="http://schemas.openxmlformats.org/officeDocument/2006/relationships/hyperlink" Target="https://agedcare.royalcommission.gov.au/publications/research-paper-2-review-international-systems-long-term-care-older-people" TargetMode="External"/><Relationship Id="rId45" Type="http://schemas.openxmlformats.org/officeDocument/2006/relationships/hyperlink" Target="https://percapita.org.au/wp-content/uploads/2018/05/Not-So-Super_FINAL-v2-2.pdf" TargetMode="External"/><Relationship Id="rId53" Type="http://schemas.openxmlformats.org/officeDocument/2006/relationships/hyperlink" Target="https://melbourneinstitute.unimelb.edu.au/hilda/publications/hilda-statistical-reports" TargetMode="External"/><Relationship Id="rId58" Type="http://schemas.openxmlformats.org/officeDocument/2006/relationships/hyperlink" Target="https://www.abs.gov.au/statistics/labour/employment-and-unemployment/labour-force-status-families/latest-release" TargetMode="External"/><Relationship Id="rId66" Type="http://schemas.openxmlformats.org/officeDocument/2006/relationships/hyperlink" Target="https://onlinelibrary.wiley.com/doi/10.1111/jan.14370" TargetMode="External"/><Relationship Id="rId74" Type="http://schemas.openxmlformats.org/officeDocument/2006/relationships/hyperlink" Target="https://cultivatesponsorship.com/about-us/" TargetMode="External"/><Relationship Id="rId5" Type="http://schemas.openxmlformats.org/officeDocument/2006/relationships/hyperlink" Target="https://www.government.is/publications/legislation/lex/2021/04/16/Act-on-Equal-Status-and-Equal-Rights-Irrespective-of-Gender/" TargetMode="External"/><Relationship Id="rId61" Type="http://schemas.openxmlformats.org/officeDocument/2006/relationships/hyperlink" Target="https://www.mckinsey.com/featured-insights/gender-equality/women-in-leadership-lessons-from-australian-companies-leading-the-way" TargetMode="External"/><Relationship Id="rId19" Type="http://schemas.openxmlformats.org/officeDocument/2006/relationships/hyperlink" Target="https://www.legislation.vic.gov.au/in-force/statutory-rules/gender-equality-regulations-2020/" TargetMode="External"/><Relationship Id="rId14" Type="http://schemas.openxmlformats.org/officeDocument/2006/relationships/hyperlink" Target="https://dspace.ceid.org.tr/xmlui/handle/1/2001" TargetMode="External"/><Relationship Id="rId22" Type="http://schemas.openxmlformats.org/officeDocument/2006/relationships/hyperlink" Target="https://parlinfo.aph.gov.au/parlInfo/search/display/display.w3p;query=Id%3A%22chamber%2Fhansards%2F26439%2F0170%22" TargetMode="External"/><Relationship Id="rId27" Type="http://schemas.openxmlformats.org/officeDocument/2006/relationships/hyperlink" Target="https://humanrights.gov.au/time-for-respect-2022" TargetMode="External"/><Relationship Id="rId30" Type="http://schemas.openxmlformats.org/officeDocument/2006/relationships/hyperlink" Target="https://lsj.com.au/articles/should-law-firms-introduce-menstrual-leave/" TargetMode="External"/><Relationship Id="rId35" Type="http://schemas.openxmlformats.org/officeDocument/2006/relationships/hyperlink" Target="https://lsj.com.au/articles/should-law-firms-introduce-menstrual-leave/" TargetMode="External"/><Relationship Id="rId43" Type="http://schemas.openxmlformats.org/officeDocument/2006/relationships/hyperlink" Target="https://kpmg.com/au/en/home/insights/2021/05/parental-equality-reforms.html" TargetMode="External"/><Relationship Id="rId48" Type="http://schemas.openxmlformats.org/officeDocument/2006/relationships/hyperlink" Target="https://data.oecd.org/benwage/net-childcare-costs.htm" TargetMode="External"/><Relationship Id="rId56" Type="http://schemas.openxmlformats.org/officeDocument/2006/relationships/hyperlink" Target="https://www.oecd-ilibrary.org/social-issues-migration-health/bringing-household-services-out-of-the-shadows_fbea8f6e-en" TargetMode="External"/><Relationship Id="rId64" Type="http://schemas.openxmlformats.org/officeDocument/2006/relationships/hyperlink" Target="https://www.vic.gov.au/building-equality-policy" TargetMode="External"/><Relationship Id="rId69" Type="http://schemas.openxmlformats.org/officeDocument/2006/relationships/hyperlink" Target="https://vpsc.vic.gov.au/data-and-research/data-facts-visuals-state-of-the-sector/board-numbers-and-demographics-2021/" TargetMode="External"/><Relationship Id="rId8" Type="http://schemas.openxmlformats.org/officeDocument/2006/relationships/hyperlink" Target="https://www.asx.com.au/documents/about/gsjbw_economic_case_for_increasing_female_participation.pdf" TargetMode="External"/><Relationship Id="rId51" Type="http://schemas.openxmlformats.org/officeDocument/2006/relationships/hyperlink" Target="https://budget.gov.au/2022-23-october/content/womens-statement/download/womens_budget_statement_2022-23.pdf" TargetMode="External"/><Relationship Id="rId72" Type="http://schemas.openxmlformats.org/officeDocument/2006/relationships/hyperlink" Target="https://content.vic.gov.au/sites/default/files/2022-12/Baseline-report-2021-workplace-gender-audit-data-analysis.pdf" TargetMode="External"/><Relationship Id="rId3" Type="http://schemas.openxmlformats.org/officeDocument/2006/relationships/hyperlink" Target="https://www.legislation.gov.au/Details/C2023C00003" TargetMode="External"/><Relationship Id="rId12" Type="http://schemas.openxmlformats.org/officeDocument/2006/relationships/hyperlink" Target="https://www.volunteeringaustralia.org/resources/national-standards-and-supporting-material/" TargetMode="External"/><Relationship Id="rId17" Type="http://schemas.openxmlformats.org/officeDocument/2006/relationships/hyperlink" Target="https://engage.dss.gov.au/wp-content/uploads/2021/06/WWDA_NDES_May2021_FINAL.pdf" TargetMode="External"/><Relationship Id="rId25" Type="http://schemas.openxmlformats.org/officeDocument/2006/relationships/hyperlink" Target="https://www.aph.gov.au/Parliamentary_Business/Committees/Senate/Economics/Economic_security_for_women_in_retirement/Report/c03" TargetMode="External"/><Relationship Id="rId33" Type="http://schemas.openxmlformats.org/officeDocument/2006/relationships/hyperlink" Target="https://www.euronews.com/next/2023/02/16/spain-set-to-become-the-first-european-country-to-introduce-a-3-day-menstrual-leave-for-wo" TargetMode="External"/><Relationship Id="rId38" Type="http://schemas.openxmlformats.org/officeDocument/2006/relationships/hyperlink" Target="https://www.abc.net.au/news/2022-06-07/anz-bank-gender-affirmation-leave-types-of-leave/101130954" TargetMode="External"/><Relationship Id="rId46" Type="http://schemas.openxmlformats.org/officeDocument/2006/relationships/hyperlink" Target="https://health-policy-systems.biomedcentral.com/articles/10.1186/s12961-016-0126-z" TargetMode="External"/><Relationship Id="rId59" Type="http://schemas.openxmlformats.org/officeDocument/2006/relationships/hyperlink" Target="https://www.violenceorpoverty.com/" TargetMode="External"/><Relationship Id="rId67" Type="http://schemas.openxmlformats.org/officeDocument/2006/relationships/hyperlink" Target="https://gender-pay-gap.service.gov.uk/public/assets/pdf/Evidence-based_actions_for_employers.pdf" TargetMode="External"/><Relationship Id="rId20" Type="http://schemas.openxmlformats.org/officeDocument/2006/relationships/hyperlink" Target="https://www.pmc.gov.au/publications/wgea-review-report" TargetMode="External"/><Relationship Id="rId41" Type="http://schemas.openxmlformats.org/officeDocument/2006/relationships/hyperlink" Target="https://www.oecd-ilibrary.org/sites/eba5b91d-en/1/3/2/index.html?itemId=/content/publication/eba5b91d-en&amp;_csp_=c4d781ebd7ae527d3e8f943290ceaa76&amp;itemIGO=oecd&amp;itemContentType=book" TargetMode="External"/><Relationship Id="rId54" Type="http://schemas.openxmlformats.org/officeDocument/2006/relationships/hyperlink" Target="https://www.abs.gov.au/statistics/people/people-and-communities/unpaid-work-and-care-census/2021" TargetMode="External"/><Relationship Id="rId62" Type="http://schemas.openxmlformats.org/officeDocument/2006/relationships/hyperlink" Target="https://www.wgea.gov.au/newsroom/men-twice-as-likely-to-be-highly-paid-than-women" TargetMode="External"/><Relationship Id="rId70" Type="http://schemas.openxmlformats.org/officeDocument/2006/relationships/hyperlink" Target="https://www.premier.vic.gov.au/celebrating-women-now-and-always" TargetMode="External"/><Relationship Id="rId75" Type="http://schemas.openxmlformats.org/officeDocument/2006/relationships/hyperlink" Target="https://www.vic.gov.au/women-colour-executive-leadership-program" TargetMode="External"/><Relationship Id="rId1" Type="http://schemas.openxmlformats.org/officeDocument/2006/relationships/hyperlink" Target="https://www.legislation.gov.au/Details/C2022A00085" TargetMode="External"/><Relationship Id="rId6" Type="http://schemas.openxmlformats.org/officeDocument/2006/relationships/hyperlink" Target="https://www.government.is/equality" TargetMode="External"/><Relationship Id="rId15" Type="http://schemas.openxmlformats.org/officeDocument/2006/relationships/hyperlink" Target="https://read.oecd-ilibrary.org/governance/2015-oecd-recommendation-of-the-council-on-gender-equality-in-public-life_9789264252820-en" TargetMode="External"/><Relationship Id="rId23" Type="http://schemas.openxmlformats.org/officeDocument/2006/relationships/hyperlink" Target="https://www.abs.gov.au/statistics/industry/industry-overview/australian-industry/latest-release" TargetMode="External"/><Relationship Id="rId28" Type="http://schemas.openxmlformats.org/officeDocument/2006/relationships/hyperlink" Target="https://content.vic.gov.au/sites/default/files/2022-12/Baseline-report-2021-workplace-gender-audit-data-analysis.pdf" TargetMode="External"/><Relationship Id="rId36" Type="http://schemas.openxmlformats.org/officeDocument/2006/relationships/hyperlink" Target="https://www.mckinsey.com/featured-insights/diversity-and-inclusion/being-transgender-at-work" TargetMode="External"/><Relationship Id="rId49" Type="http://schemas.openxmlformats.org/officeDocument/2006/relationships/hyperlink" Target="https://percapita.org.au/our_work/measure-for-measure-gender-equality-in-australia/" TargetMode="External"/><Relationship Id="rId57" Type="http://schemas.openxmlformats.org/officeDocument/2006/relationships/hyperlink" Target="https://antipovertyweek.org.au/2022/10/all-parliamentarians-urged-to-commit-to-halve-child-poverty-by-2030/" TargetMode="External"/><Relationship Id="rId10" Type="http://schemas.openxmlformats.org/officeDocument/2006/relationships/hyperlink" Target="https://action.ourwatch.org.au/resource/change-the-story/" TargetMode="External"/><Relationship Id="rId31" Type="http://schemas.openxmlformats.org/officeDocument/2006/relationships/hyperlink" Target="https://circlein.com/research-and-guides/menopause-at-work/" TargetMode="External"/><Relationship Id="rId44" Type="http://schemas.openxmlformats.org/officeDocument/2006/relationships/hyperlink" Target="https://treasury.gov.au/publication/p2020-100554" TargetMode="External"/><Relationship Id="rId52" Type="http://schemas.openxmlformats.org/officeDocument/2006/relationships/hyperlink" Target="https://www.unescwa.org/publications/empowering-women-arab-world-advancing-care-economy" TargetMode="External"/><Relationship Id="rId60" Type="http://schemas.openxmlformats.org/officeDocument/2006/relationships/hyperlink" Target="https://www.weforum.org/reports/global-gender-gap-report-2021/" TargetMode="External"/><Relationship Id="rId65" Type="http://schemas.openxmlformats.org/officeDocument/2006/relationships/hyperlink" Target="https://www.premier.vic.gov.au/creating-more-economic-opportunities-victorian-women" TargetMode="External"/><Relationship Id="rId73" Type="http://schemas.openxmlformats.org/officeDocument/2006/relationships/hyperlink" Target="https://www.wgea.gov.au/publications/women-in-leadership-lessons-from-australian-companies-leading-the-way" TargetMode="External"/><Relationship Id="rId4" Type="http://schemas.openxmlformats.org/officeDocument/2006/relationships/hyperlink" Target="https://www.legislation.gov.au/Details/C2023C00009" TargetMode="External"/><Relationship Id="rId9" Type="http://schemas.openxmlformats.org/officeDocument/2006/relationships/hyperlink" Target="https://www.dss.gov.au/women-programs-services-reducing-violence/the-national-plan-to-end-violence-against-women-and-children-2022-2032" TargetMode="External"/><Relationship Id="rId13" Type="http://schemas.openxmlformats.org/officeDocument/2006/relationships/hyperlink" Target="https://www.28toomany.org/media/uploads/Thematic%20Research%20and%20Resources/SDGs/em2030_2019_global_report_english_web.pdf" TargetMode="External"/><Relationship Id="rId18" Type="http://schemas.openxmlformats.org/officeDocument/2006/relationships/hyperlink" Target="https://www.forgov.qld.gov.au/__data/assets/pdf_file/0029/183926/lgbtiq-inclusion-strategy.pdf" TargetMode="External"/><Relationship Id="rId39" Type="http://schemas.openxmlformats.org/officeDocument/2006/relationships/hyperlink" Target="https://www2.deloitte.com/content/dam/Deloitte/au/Documents/Economics/deloitte-au-dae-value-of-informal-care-310820.pdf" TargetMode="External"/><Relationship Id="rId34" Type="http://schemas.openxmlformats.org/officeDocument/2006/relationships/hyperlink" Target="https://www.vwt.org.au/menstrual-and-menopause-wellbeing-policy/" TargetMode="External"/><Relationship Id="rId50" Type="http://schemas.openxmlformats.org/officeDocument/2006/relationships/hyperlink" Target="https://www.unimelb.edu.au/__data/assets/pdf_file/0007/4117192/Kate-J_FoWL-Report.pdf" TargetMode="External"/><Relationship Id="rId55" Type="http://schemas.openxmlformats.org/officeDocument/2006/relationships/hyperlink" Target="https://www.oecd-ilibrary.org/social-issues-migration-health/bringing-household-services-out-of-the-shadows_fbea8f6e-en" TargetMode="External"/><Relationship Id="rId7" Type="http://schemas.openxmlformats.org/officeDocument/2006/relationships/hyperlink" Target="https://www.vic.gov.au/economic-equity-victorian-women-inquiry" TargetMode="External"/><Relationship Id="rId71" Type="http://schemas.openxmlformats.org/officeDocument/2006/relationships/hyperlink" Target="https://www.wgea.gov.au/publications/women-in-leadership-lessons-from-australian-companies-leading-the-wa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F7B4C3396B4DA0F821E47AA844D3" ma:contentTypeVersion="26" ma:contentTypeDescription="Create a new document." ma:contentTypeScope="" ma:versionID="a84452663b352aab70d8919d62b23749">
  <xsd:schema xmlns:xsd="http://www.w3.org/2001/XMLSchema" xmlns:xs="http://www.w3.org/2001/XMLSchema" xmlns:p="http://schemas.microsoft.com/office/2006/metadata/properties" xmlns:ns2="50f00e27-c35f-46eb-9301-c9e2bd24673f" xmlns:ns3="27cb37dd-16a1-4d7b-8276-5c0e4168f63b" xmlns:ns4="5ce0f2b5-5be5-4508-bce9-d7011ece0659" targetNamespace="http://schemas.microsoft.com/office/2006/metadata/properties" ma:root="true" ma:fieldsID="bec87a90878aeecb994ddb9ee8637ae3" ns2:_="" ns3:_="" ns4:_="">
    <xsd:import namespace="50f00e27-c35f-46eb-9301-c9e2bd24673f"/>
    <xsd:import namespace="27cb37dd-16a1-4d7b-8276-5c0e4168f63b"/>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TRIMstatus" minOccurs="0"/>
                <xsd:element ref="ns2:TRIMreference"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TRIMstatus" ma:index="24" nillable="true" ma:displayName="TRIM status" ma:description="Use to tag files to be TRIMed." ma:format="Dropdown" ma:indexed="true" ma:internalName="TRIMstatus">
      <xsd:simpleType>
        <xsd:union memberTypes="dms:Text">
          <xsd:simpleType>
            <xsd:restriction base="dms:Choice">
              <xsd:enumeration value="Add to TRIM"/>
              <xsd:enumeration value="In TRIM"/>
            </xsd:restriction>
          </xsd:simpleType>
        </xsd:union>
      </xsd:simpleType>
    </xsd:element>
    <xsd:element name="TRIMreference" ma:index="25" nillable="true" ma:displayName="TRIM reference" ma:description="reference number of the item once added to TRIM" ma:format="Dropdown" ma:internalName="TRIMreference">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6a2839-b962-4dc1-b61e-14f2804e3be3}" ma:internalName="TaxCatchAll" ma:showField="CatchAllData" ma:web="27cb37dd-16a1-4d7b-8276-5c0e4168f6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7cb37dd-16a1-4d7b-8276-5c0e4168f63b">
      <UserInfo>
        <DisplayName>Margot Paxman (CGEPS)</DisplayName>
        <AccountId>18</AccountId>
        <AccountType/>
      </UserInfo>
      <UserInfo>
        <DisplayName>Tassia Locke (CGEPS)</DisplayName>
        <AccountId>20</AccountId>
        <AccountType/>
      </UserInfo>
      <UserInfo>
        <DisplayName>Enya Cai (DFFH)</DisplayName>
        <AccountId>13</AccountId>
        <AccountType/>
      </UserInfo>
      <UserInfo>
        <DisplayName>Lilli White (CGEPS)</DisplayName>
        <AccountId>16</AccountId>
        <AccountType/>
      </UserInfo>
      <UserInfo>
        <DisplayName>Kate Berry (DFFH)</DisplayName>
        <AccountId>21</AccountId>
        <AccountType/>
      </UserInfo>
      <UserInfo>
        <DisplayName>Holly Tan (CGEPS)</DisplayName>
        <AccountId>12</AccountId>
        <AccountType/>
      </UserInfo>
      <UserInfo>
        <DisplayName>Jo Richardson (CGEPS)</DisplayName>
        <AccountId>14</AccountId>
        <AccountType/>
      </UserInfo>
      <UserInfo>
        <DisplayName>Kate Joffe (CGEPS)</DisplayName>
        <AccountId>26</AccountId>
        <AccountType/>
      </UserInfo>
      <UserInfo>
        <DisplayName>Niki Vincent (CGEPS)</DisplayName>
        <AccountId>24</AccountId>
        <AccountType/>
      </UserInfo>
      <UserInfo>
        <DisplayName>Stefani Cooper (CGEPS)</DisplayName>
        <AccountId>25</AccountId>
        <AccountType/>
      </UserInfo>
      <UserInfo>
        <DisplayName>Andrew Elkson (CGEPS)</DisplayName>
        <AccountId>17</AccountId>
        <AccountType/>
      </UserInfo>
      <UserInfo>
        <DisplayName>Kate Farhall (CGEPS)</DisplayName>
        <AccountId>57</AccountId>
        <AccountType/>
      </UserInfo>
      <UserInfo>
        <DisplayName>Simon Glynn (CGEPS)</DisplayName>
        <AccountId>22</AccountId>
        <AccountType/>
      </UserInfo>
      <UserInfo>
        <DisplayName>Emma Gibson (CGEPS)</DisplayName>
        <AccountId>23</AccountId>
        <AccountType/>
      </UserInfo>
      <UserInfo>
        <DisplayName>Natalie Russell (Health)</DisplayName>
        <AccountId>79</AccountId>
        <AccountType/>
      </UserInfo>
      <UserInfo>
        <DisplayName>Xy-Za Vargas (CGEPS)</DisplayName>
        <AccountId>96</AccountId>
        <AccountType/>
      </UserInfo>
      <UserInfo>
        <DisplayName>Jacqueline Wright (DFFH)</DisplayName>
        <AccountId>556</AccountId>
        <AccountType/>
      </UserInfo>
      <UserInfo>
        <DisplayName>Monique Failla (CGEPS)</DisplayName>
        <AccountId>465</AccountId>
        <AccountType/>
      </UserInfo>
      <UserInfo>
        <DisplayName>Nicky Tsiamis (CGEPS)</DisplayName>
        <AccountId>468</AccountId>
        <AccountType/>
      </UserInfo>
    </SharedWithUsers>
    <lcf76f155ced4ddcb4097134ff3c332f xmlns="50f00e27-c35f-46eb-9301-c9e2bd24673f">
      <Terms xmlns="http://schemas.microsoft.com/office/infopath/2007/PartnerControls"/>
    </lcf76f155ced4ddcb4097134ff3c332f>
    <TaxCatchAll xmlns="5ce0f2b5-5be5-4508-bce9-d7011ece0659" xsi:nil="true"/>
    <TRIMstatus xmlns="50f00e27-c35f-46eb-9301-c9e2bd24673f" xsi:nil="true"/>
    <TRIMreference xmlns="50f00e27-c35f-46eb-9301-c9e2bd24673f" xsi:nil="true"/>
    <_Flow_SignoffStatus xmlns="50f00e27-c35f-46eb-9301-c9e2bd2467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034B6-B52B-432F-971A-6B1A19AAA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B266F-1517-47E5-85F9-29752D7348E2}">
  <ds:schemaRefs>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http://purl.org/dc/terms/"/>
    <ds:schemaRef ds:uri="5ce0f2b5-5be5-4508-bce9-d7011ece0659"/>
    <ds:schemaRef ds:uri="http://schemas.microsoft.com/office/2006/documentManagement/types"/>
    <ds:schemaRef ds:uri="http://schemas.openxmlformats.org/package/2006/metadata/core-properties"/>
    <ds:schemaRef ds:uri="27cb37dd-16a1-4d7b-8276-5c0e4168f63b"/>
    <ds:schemaRef ds:uri="50f00e27-c35f-46eb-9301-c9e2bd24673f"/>
  </ds:schemaRefs>
</ds:datastoreItem>
</file>

<file path=customXml/itemProps3.xml><?xml version="1.0" encoding="utf-8"?>
<ds:datastoreItem xmlns:ds="http://schemas.openxmlformats.org/officeDocument/2006/customXml" ds:itemID="{EEA46C72-2603-48DF-ACEE-3F8825F6FED1}">
  <ds:schemaRefs>
    <ds:schemaRef ds:uri="http://schemas.microsoft.com/sharepoint/v3/contenttype/forms"/>
  </ds:schemaRefs>
</ds:datastoreItem>
</file>

<file path=customXml/itemProps4.xml><?xml version="1.0" encoding="utf-8"?>
<ds:datastoreItem xmlns:ds="http://schemas.openxmlformats.org/officeDocument/2006/customXml" ds:itemID="{2DF1DF2E-5ECD-484C-9DFF-468AA6FB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9378</Words>
  <Characters>53459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Commissioner submission - National Strategy to Achieve Gender Equality</vt:lpstr>
    </vt:vector>
  </TitlesOfParts>
  <Company>Victoria State Government, Commission for Gender Equality in the Public Sector</Company>
  <LinksUpToDate>false</LinksUpToDate>
  <CharactersWithSpaces>62712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submission: National Strategy to Achieve Gender Equality</dc:title>
  <dc:subject>Commissioner submission: National Strategy to Achieve Gender Equality</dc:subject>
  <dc:creator>Commission for Gender Equality in the Public Sector</dc:creator>
  <cp:keywords>Commissioner, submission, gender equality, national strategy</cp:keywords>
  <dc:description/>
  <cp:lastModifiedBy>Andrew Elkson (CGEPS)</cp:lastModifiedBy>
  <cp:revision>2</cp:revision>
  <cp:lastPrinted>2023-02-22T15:29:00Z</cp:lastPrinted>
  <dcterms:created xsi:type="dcterms:W3CDTF">2026-01-08T22:56:00Z</dcterms:created>
  <dcterms:modified xsi:type="dcterms:W3CDTF">2026-01-08T22:56:00Z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0x010100555DF7B4C3396B4DA0F821E47AA844D3</vt:lpwstr>
  </property>
  <property fmtid="{D5CDD505-2E9C-101B-9397-08002B2CF9AE}" pid="3" name="MediaServiceImageTags">
    <vt:lpwstr/>
  </property>
  <property fmtid="{D5CDD505-2E9C-101B-9397-08002B2CF9AE}" pid="4" name="MSIP_Label_43e64453-338c-4f93-8a4d-0039a0a41f2a_Enabled">
    <vt:lpwstr>true</vt:lpwstr>
  </property>
  <property fmtid="{D5CDD505-2E9C-101B-9397-08002B2CF9AE}" pid="5" name="MSIP_Label_43e64453-338c-4f93-8a4d-0039a0a41f2a_SetDate">
    <vt:lpwstr>2023-03-03T04:19:55Z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c47beaff-55d2-4235-a4a3-091042ee5876</vt:lpwstr>
  </property>
  <property fmtid="{D5CDD505-2E9C-101B-9397-08002B2CF9AE}" pid="10" name="MSIP_Label_43e64453-338c-4f93-8a4d-0039a0a41f2a_ContentBits">
    <vt:lpwstr>2</vt:lpwstr>
  </property>
  <property fmtid="{D5CDD505-2E9C-101B-9397-08002B2CF9AE}" pid="11" name="GrammarlyDocumentId">
    <vt:lpwstr>0d1b59532b6ccc8ee8faaea09c13e71ef05b972bb27b65d25d643b610c848787</vt:lpwstr>
  </property>
</Properties>
</file>